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交银施罗德先锋股票证券投资基金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二〇一五年一月二十二日</w:t>
      </w:r>
    </w:p>
    <w:p w:rsidR="004061AC" w:rsidRPr="00414345" w:rsidRDefault="004061AC" w:rsidP="00324474">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D63C8" w:rsidRDefault="0036604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D63C8" w:rsidRDefault="00366042">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D63C8" w:rsidRDefault="0036604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D63C8" w:rsidRDefault="00366042">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D63C8" w:rsidRDefault="00366042">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32447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573,609,894.67</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中信标普全债指数</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本基金是一只股票型基金，以具有持续成长潜力企业</w:t>
            </w:r>
            <w:r w:rsidRPr="00414345">
              <w:rPr>
                <w:color w:val="000000"/>
                <w:kern w:val="0"/>
                <w:sz w:val="24"/>
                <w:szCs w:val="24"/>
              </w:rPr>
              <w:lastRenderedPageBreak/>
              <w:t>的股票，特别是处于快速成长过程中的中型及小型企业为主要投资对象，属于证券投资基金中较高预期收益和较高风险的品种。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32447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66042" w:rsidRPr="00414345" w:rsidTr="00366042">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366042" w:rsidRPr="00414345" w:rsidTr="003660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76,947,744.15</w:t>
            </w:r>
          </w:p>
        </w:tc>
      </w:tr>
      <w:tr w:rsidR="00366042" w:rsidRPr="00414345" w:rsidTr="003660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40,875,705.66</w:t>
            </w:r>
          </w:p>
        </w:tc>
      </w:tr>
      <w:tr w:rsidR="00366042" w:rsidRPr="00414345" w:rsidTr="003660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0.0607</w:t>
            </w:r>
          </w:p>
        </w:tc>
      </w:tr>
      <w:tr w:rsidR="00366042" w:rsidRPr="00414345" w:rsidTr="00366042">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764,942,467.80</w:t>
            </w:r>
          </w:p>
        </w:tc>
      </w:tr>
      <w:tr w:rsidR="00366042" w:rsidRPr="00414345" w:rsidTr="00366042">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1.3336</w:t>
            </w:r>
          </w:p>
        </w:tc>
      </w:tr>
    </w:tbl>
    <w:p w:rsidR="001D63C8" w:rsidRDefault="0036604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D63C8">
        <w:trPr>
          <w:jc w:val="center"/>
        </w:trPr>
        <w:tc>
          <w:tcPr>
            <w:tcW w:w="1701" w:type="dxa"/>
            <w:vAlign w:val="center"/>
          </w:tcPr>
          <w:p w:rsidR="001D63C8" w:rsidRDefault="00366042">
            <w:pPr>
              <w:jc w:val="left"/>
            </w:pPr>
            <w:r>
              <w:rPr>
                <w:color w:val="000000"/>
                <w:sz w:val="24"/>
                <w:szCs w:val="24"/>
              </w:rPr>
              <w:t>过去三个月</w:t>
            </w:r>
          </w:p>
        </w:tc>
        <w:tc>
          <w:tcPr>
            <w:tcW w:w="1045" w:type="dxa"/>
            <w:vAlign w:val="center"/>
          </w:tcPr>
          <w:p w:rsidR="001D63C8" w:rsidRDefault="00366042">
            <w:pPr>
              <w:jc w:val="center"/>
            </w:pPr>
            <w:r>
              <w:rPr>
                <w:color w:val="000000"/>
                <w:sz w:val="24"/>
                <w:szCs w:val="24"/>
              </w:rPr>
              <w:t>4.98%</w:t>
            </w:r>
          </w:p>
        </w:tc>
        <w:tc>
          <w:tcPr>
            <w:tcW w:w="1344" w:type="dxa"/>
            <w:vAlign w:val="center"/>
          </w:tcPr>
          <w:p w:rsidR="001D63C8" w:rsidRDefault="00366042">
            <w:pPr>
              <w:jc w:val="center"/>
            </w:pPr>
            <w:r>
              <w:rPr>
                <w:color w:val="000000"/>
                <w:sz w:val="24"/>
                <w:szCs w:val="24"/>
              </w:rPr>
              <w:t>1.16%</w:t>
            </w:r>
          </w:p>
        </w:tc>
        <w:tc>
          <w:tcPr>
            <w:tcW w:w="1194" w:type="dxa"/>
            <w:vAlign w:val="center"/>
          </w:tcPr>
          <w:p w:rsidR="001D63C8" w:rsidRDefault="00366042">
            <w:pPr>
              <w:jc w:val="center"/>
            </w:pPr>
            <w:r>
              <w:rPr>
                <w:color w:val="000000"/>
                <w:sz w:val="24"/>
                <w:szCs w:val="24"/>
              </w:rPr>
              <w:t>12.79%</w:t>
            </w:r>
          </w:p>
        </w:tc>
        <w:tc>
          <w:tcPr>
            <w:tcW w:w="1492" w:type="dxa"/>
            <w:vAlign w:val="center"/>
          </w:tcPr>
          <w:p w:rsidR="001D63C8" w:rsidRDefault="00366042">
            <w:pPr>
              <w:jc w:val="center"/>
            </w:pPr>
            <w:r>
              <w:rPr>
                <w:color w:val="000000"/>
                <w:sz w:val="24"/>
                <w:szCs w:val="24"/>
              </w:rPr>
              <w:t>1.07%</w:t>
            </w:r>
          </w:p>
        </w:tc>
        <w:tc>
          <w:tcPr>
            <w:tcW w:w="1194" w:type="dxa"/>
            <w:vAlign w:val="center"/>
          </w:tcPr>
          <w:p w:rsidR="001D63C8" w:rsidRDefault="00366042">
            <w:pPr>
              <w:jc w:val="center"/>
            </w:pPr>
            <w:r>
              <w:rPr>
                <w:color w:val="000000"/>
                <w:sz w:val="24"/>
                <w:szCs w:val="24"/>
              </w:rPr>
              <w:t>-7.81%</w:t>
            </w:r>
          </w:p>
        </w:tc>
        <w:tc>
          <w:tcPr>
            <w:tcW w:w="898" w:type="dxa"/>
            <w:vAlign w:val="center"/>
          </w:tcPr>
          <w:p w:rsidR="001D63C8" w:rsidRDefault="00366042">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lastRenderedPageBreak/>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324474">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D63C8">
        <w:trPr>
          <w:jc w:val="center"/>
        </w:trPr>
        <w:tc>
          <w:tcPr>
            <w:tcW w:w="846" w:type="dxa"/>
            <w:vAlign w:val="center"/>
          </w:tcPr>
          <w:p w:rsidR="001D63C8" w:rsidRDefault="00366042">
            <w:pPr>
              <w:jc w:val="center"/>
            </w:pPr>
            <w:r>
              <w:rPr>
                <w:color w:val="000000"/>
                <w:sz w:val="24"/>
                <w:szCs w:val="24"/>
              </w:rPr>
              <w:t>王少成</w:t>
            </w:r>
          </w:p>
        </w:tc>
        <w:tc>
          <w:tcPr>
            <w:tcW w:w="845" w:type="dxa"/>
            <w:vAlign w:val="center"/>
          </w:tcPr>
          <w:p w:rsidR="001D63C8" w:rsidRDefault="00366042">
            <w:pPr>
              <w:jc w:val="center"/>
            </w:pPr>
            <w:r>
              <w:rPr>
                <w:color w:val="000000"/>
                <w:sz w:val="24"/>
                <w:szCs w:val="24"/>
              </w:rPr>
              <w:t>本基金、交银先进制造股票、交银成长</w:t>
            </w:r>
            <w:r>
              <w:rPr>
                <w:color w:val="000000"/>
                <w:sz w:val="24"/>
                <w:szCs w:val="24"/>
              </w:rPr>
              <w:t>30</w:t>
            </w:r>
            <w:r>
              <w:rPr>
                <w:color w:val="000000"/>
                <w:sz w:val="24"/>
                <w:szCs w:val="24"/>
              </w:rPr>
              <w:t>股票的基金经理，公司权益部副总经理</w:t>
            </w:r>
          </w:p>
        </w:tc>
        <w:tc>
          <w:tcPr>
            <w:tcW w:w="1549" w:type="dxa"/>
            <w:vAlign w:val="center"/>
          </w:tcPr>
          <w:p w:rsidR="001D63C8" w:rsidRDefault="00366042">
            <w:pPr>
              <w:jc w:val="center"/>
            </w:pPr>
            <w:r>
              <w:rPr>
                <w:color w:val="000000"/>
                <w:sz w:val="24"/>
                <w:szCs w:val="24"/>
              </w:rPr>
              <w:t>2013-05-29</w:t>
            </w:r>
          </w:p>
        </w:tc>
        <w:tc>
          <w:tcPr>
            <w:tcW w:w="1548" w:type="dxa"/>
            <w:vAlign w:val="center"/>
          </w:tcPr>
          <w:p w:rsidR="001D63C8" w:rsidRDefault="00366042">
            <w:pPr>
              <w:jc w:val="center"/>
            </w:pPr>
            <w:r>
              <w:rPr>
                <w:color w:val="000000"/>
                <w:sz w:val="24"/>
                <w:szCs w:val="24"/>
              </w:rPr>
              <w:t>-</w:t>
            </w:r>
          </w:p>
        </w:tc>
        <w:tc>
          <w:tcPr>
            <w:tcW w:w="1407" w:type="dxa"/>
            <w:vAlign w:val="center"/>
          </w:tcPr>
          <w:p w:rsidR="001D63C8" w:rsidRDefault="00366042">
            <w:pPr>
              <w:jc w:val="center"/>
            </w:pPr>
            <w:r>
              <w:rPr>
                <w:color w:val="000000"/>
                <w:sz w:val="24"/>
                <w:szCs w:val="24"/>
              </w:rPr>
              <w:t>10</w:t>
            </w:r>
            <w:r>
              <w:rPr>
                <w:color w:val="000000"/>
                <w:sz w:val="24"/>
                <w:szCs w:val="24"/>
              </w:rPr>
              <w:t>年</w:t>
            </w:r>
          </w:p>
        </w:tc>
        <w:tc>
          <w:tcPr>
            <w:tcW w:w="2673" w:type="dxa"/>
            <w:vAlign w:val="center"/>
          </w:tcPr>
          <w:p w:rsidR="001D63C8" w:rsidRDefault="00366042">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D63C8" w:rsidRDefault="0036604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D63C8" w:rsidRDefault="0036604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D63C8" w:rsidRDefault="0036604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D63C8" w:rsidRDefault="00366042">
      <w:pPr>
        <w:spacing w:before="29" w:line="288" w:lineRule="auto"/>
        <w:ind w:firstLineChars="200" w:firstLine="480"/>
        <w:rPr>
          <w:color w:val="000000"/>
          <w:sz w:val="24"/>
          <w:szCs w:val="24"/>
        </w:rPr>
      </w:pPr>
      <w:r>
        <w:rPr>
          <w:color w:val="000000"/>
          <w:sz w:val="24"/>
          <w:szCs w:val="24"/>
        </w:rPr>
        <w:t>2014</w:t>
      </w:r>
      <w:r>
        <w:rPr>
          <w:color w:val="000000"/>
          <w:sz w:val="24"/>
          <w:szCs w:val="24"/>
        </w:rPr>
        <w:t>年四季度</w:t>
      </w:r>
      <w:r>
        <w:rPr>
          <w:color w:val="000000"/>
          <w:sz w:val="24"/>
          <w:szCs w:val="24"/>
        </w:rPr>
        <w:t>A</w:t>
      </w:r>
      <w:r>
        <w:rPr>
          <w:color w:val="000000"/>
          <w:sz w:val="24"/>
          <w:szCs w:val="24"/>
        </w:rPr>
        <w:t>股市场呈现单边快速上涨的态势。降息后，股票市场火爆，而实体经济的流动性未见立刻缓解，中小企业融资依旧困难。实体经济发出明确向好信号前的牛市，其持续性有待考验，趋势的决定变量从基本面研判切换为增量资金流入规模和持续性。金融市场的流动性虽然得到了稳定，而实体经济中仍见局部信用风险，但总体而言判断不太会出现流动性危机。</w:t>
      </w:r>
    </w:p>
    <w:p w:rsidR="001D63C8" w:rsidRDefault="00366042">
      <w:pPr>
        <w:spacing w:before="29" w:line="288" w:lineRule="auto"/>
        <w:ind w:firstLineChars="200" w:firstLine="480"/>
        <w:rPr>
          <w:color w:val="000000"/>
          <w:sz w:val="24"/>
          <w:szCs w:val="24"/>
        </w:rPr>
      </w:pPr>
      <w:r>
        <w:rPr>
          <w:color w:val="000000"/>
          <w:sz w:val="24"/>
          <w:szCs w:val="24"/>
        </w:rPr>
        <w:t>四季度本基金净值上涨</w:t>
      </w:r>
      <w:r>
        <w:rPr>
          <w:color w:val="000000"/>
          <w:sz w:val="24"/>
          <w:szCs w:val="24"/>
        </w:rPr>
        <w:t>4.98%</w:t>
      </w:r>
      <w:r>
        <w:rPr>
          <w:color w:val="000000"/>
          <w:sz w:val="24"/>
          <w:szCs w:val="24"/>
        </w:rPr>
        <w:t>，由于消费和医药配置比重较高，未能跑赢业绩比较基准。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年一季度</w:t>
      </w:r>
      <w:r w:rsidRPr="00414345">
        <w:rPr>
          <w:color w:val="000000"/>
          <w:sz w:val="24"/>
          <w:szCs w:val="24"/>
        </w:rPr>
        <w:t>A</w:t>
      </w:r>
      <w:r w:rsidRPr="00414345">
        <w:rPr>
          <w:color w:val="000000"/>
          <w:sz w:val="24"/>
          <w:szCs w:val="24"/>
        </w:rPr>
        <w:t>股市场注定是个动荡的阶段。对</w:t>
      </w:r>
      <w:r w:rsidRPr="00414345">
        <w:rPr>
          <w:color w:val="000000"/>
          <w:sz w:val="24"/>
          <w:szCs w:val="24"/>
        </w:rPr>
        <w:t>A</w:t>
      </w:r>
      <w:r w:rsidRPr="00414345">
        <w:rPr>
          <w:color w:val="000000"/>
          <w:sz w:val="24"/>
          <w:szCs w:val="24"/>
        </w:rPr>
        <w:t>股的投资者来说，用当下的股票类比十年前的房地产，是不恰当的。房地产资产虽然流动性差，但其上升周期往往很长。而权益资产价格波动更多受到人们观念变化的影响，天然的不稳定。在流动性的驱动下，</w:t>
      </w:r>
      <w:r w:rsidRPr="00414345">
        <w:rPr>
          <w:color w:val="000000"/>
          <w:sz w:val="24"/>
          <w:szCs w:val="24"/>
        </w:rPr>
        <w:t>A</w:t>
      </w:r>
      <w:r w:rsidRPr="00414345">
        <w:rPr>
          <w:color w:val="000000"/>
          <w:sz w:val="24"/>
          <w:szCs w:val="24"/>
        </w:rPr>
        <w:t>股牛市氛围已成，增量资金主导的特征会淡化，存量资金博弈下，代表转型方向的优质个股依然可能会有超额收益。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1.3336</w:t>
      </w:r>
      <w:r w:rsidRPr="00414345">
        <w:rPr>
          <w:color w:val="000000"/>
          <w:sz w:val="24"/>
          <w:szCs w:val="24"/>
        </w:rPr>
        <w:t>元，本报告期份额净值增长率为</w:t>
      </w:r>
      <w:r w:rsidRPr="00414345">
        <w:rPr>
          <w:color w:val="000000"/>
          <w:sz w:val="24"/>
          <w:szCs w:val="24"/>
        </w:rPr>
        <w:t>4.98%</w:t>
      </w:r>
      <w:r w:rsidRPr="00414345">
        <w:rPr>
          <w:color w:val="000000"/>
          <w:sz w:val="24"/>
          <w:szCs w:val="24"/>
        </w:rPr>
        <w:t>，同期业绩比较基准增长率为</w:t>
      </w:r>
      <w:r w:rsidRPr="00414345">
        <w:rPr>
          <w:color w:val="000000"/>
          <w:sz w:val="24"/>
          <w:szCs w:val="24"/>
        </w:rPr>
        <w:t>12.79%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32447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695,264,044.90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90.12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695,264,044.90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90.12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76,031,898.35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9.85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230,732.81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0.03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771,526,676.06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484,915,815.29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9,740,667.51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19,992,637.86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3,122,639.52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103,060,885.00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19,815,748.00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6,534,030.08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0.85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48,081,621.64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695,264,044.90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90.89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D63C8">
        <w:trPr>
          <w:jc w:val="center"/>
        </w:trPr>
        <w:tc>
          <w:tcPr>
            <w:tcW w:w="855" w:type="dxa"/>
            <w:vAlign w:val="center"/>
          </w:tcPr>
          <w:p w:rsidR="001D63C8" w:rsidRDefault="00366042">
            <w:pPr>
              <w:jc w:val="center"/>
            </w:pPr>
            <w:r>
              <w:rPr>
                <w:color w:val="000000"/>
                <w:sz w:val="24"/>
                <w:szCs w:val="24"/>
              </w:rPr>
              <w:t>1</w:t>
            </w:r>
          </w:p>
        </w:tc>
        <w:tc>
          <w:tcPr>
            <w:tcW w:w="1334" w:type="dxa"/>
            <w:vAlign w:val="center"/>
          </w:tcPr>
          <w:p w:rsidR="001D63C8" w:rsidRDefault="00366042">
            <w:pPr>
              <w:jc w:val="center"/>
            </w:pPr>
            <w:r>
              <w:rPr>
                <w:color w:val="000000"/>
                <w:sz w:val="24"/>
                <w:szCs w:val="24"/>
              </w:rPr>
              <w:t>600389</w:t>
            </w:r>
          </w:p>
        </w:tc>
        <w:tc>
          <w:tcPr>
            <w:tcW w:w="1777" w:type="dxa"/>
            <w:vAlign w:val="center"/>
          </w:tcPr>
          <w:p w:rsidR="001D63C8" w:rsidRDefault="00366042">
            <w:pPr>
              <w:jc w:val="center"/>
            </w:pPr>
            <w:r>
              <w:rPr>
                <w:color w:val="000000"/>
                <w:sz w:val="24"/>
                <w:szCs w:val="24"/>
              </w:rPr>
              <w:t>江山股份</w:t>
            </w:r>
          </w:p>
        </w:tc>
        <w:tc>
          <w:tcPr>
            <w:tcW w:w="1334" w:type="dxa"/>
            <w:vAlign w:val="center"/>
          </w:tcPr>
          <w:p w:rsidR="001D63C8" w:rsidRDefault="00366042">
            <w:pPr>
              <w:jc w:val="right"/>
            </w:pPr>
            <w:r>
              <w:rPr>
                <w:color w:val="000000"/>
                <w:sz w:val="24"/>
                <w:szCs w:val="24"/>
              </w:rPr>
              <w:t>2,579,821</w:t>
            </w:r>
          </w:p>
        </w:tc>
        <w:tc>
          <w:tcPr>
            <w:tcW w:w="1924" w:type="dxa"/>
            <w:vAlign w:val="center"/>
          </w:tcPr>
          <w:p w:rsidR="001D63C8" w:rsidRDefault="00366042">
            <w:pPr>
              <w:jc w:val="right"/>
            </w:pPr>
            <w:r>
              <w:rPr>
                <w:color w:val="000000"/>
                <w:sz w:val="24"/>
                <w:szCs w:val="24"/>
              </w:rPr>
              <w:t>68,571,642.18</w:t>
            </w:r>
          </w:p>
        </w:tc>
        <w:tc>
          <w:tcPr>
            <w:tcW w:w="1644" w:type="dxa"/>
            <w:vAlign w:val="center"/>
          </w:tcPr>
          <w:p w:rsidR="001D63C8" w:rsidRDefault="00366042">
            <w:pPr>
              <w:jc w:val="right"/>
            </w:pPr>
            <w:r>
              <w:rPr>
                <w:color w:val="000000"/>
                <w:sz w:val="24"/>
                <w:szCs w:val="24"/>
              </w:rPr>
              <w:t>8.96</w:t>
            </w:r>
          </w:p>
        </w:tc>
      </w:tr>
      <w:tr w:rsidR="001D63C8">
        <w:trPr>
          <w:jc w:val="center"/>
        </w:trPr>
        <w:tc>
          <w:tcPr>
            <w:tcW w:w="855" w:type="dxa"/>
            <w:vAlign w:val="center"/>
          </w:tcPr>
          <w:p w:rsidR="001D63C8" w:rsidRDefault="00366042">
            <w:pPr>
              <w:jc w:val="center"/>
            </w:pPr>
            <w:r>
              <w:rPr>
                <w:color w:val="000000"/>
                <w:sz w:val="24"/>
                <w:szCs w:val="24"/>
              </w:rPr>
              <w:t>2</w:t>
            </w:r>
          </w:p>
        </w:tc>
        <w:tc>
          <w:tcPr>
            <w:tcW w:w="1334" w:type="dxa"/>
            <w:vAlign w:val="center"/>
          </w:tcPr>
          <w:p w:rsidR="001D63C8" w:rsidRDefault="00366042">
            <w:pPr>
              <w:jc w:val="center"/>
            </w:pPr>
            <w:r>
              <w:rPr>
                <w:color w:val="000000"/>
                <w:sz w:val="24"/>
                <w:szCs w:val="24"/>
              </w:rPr>
              <w:t>000100</w:t>
            </w:r>
          </w:p>
        </w:tc>
        <w:tc>
          <w:tcPr>
            <w:tcW w:w="1777" w:type="dxa"/>
            <w:vAlign w:val="center"/>
          </w:tcPr>
          <w:p w:rsidR="001D63C8" w:rsidRDefault="00366042">
            <w:pPr>
              <w:jc w:val="center"/>
            </w:pPr>
            <w:r>
              <w:rPr>
                <w:color w:val="000000"/>
                <w:sz w:val="24"/>
                <w:szCs w:val="24"/>
              </w:rPr>
              <w:t xml:space="preserve">TCL </w:t>
            </w:r>
            <w:r>
              <w:rPr>
                <w:color w:val="000000"/>
                <w:sz w:val="24"/>
                <w:szCs w:val="24"/>
              </w:rPr>
              <w:t>集团</w:t>
            </w:r>
          </w:p>
        </w:tc>
        <w:tc>
          <w:tcPr>
            <w:tcW w:w="1334" w:type="dxa"/>
            <w:vAlign w:val="center"/>
          </w:tcPr>
          <w:p w:rsidR="001D63C8" w:rsidRDefault="00366042">
            <w:pPr>
              <w:jc w:val="right"/>
            </w:pPr>
            <w:r>
              <w:rPr>
                <w:color w:val="000000"/>
                <w:sz w:val="24"/>
                <w:szCs w:val="24"/>
              </w:rPr>
              <w:t>16,467,784</w:t>
            </w:r>
          </w:p>
        </w:tc>
        <w:tc>
          <w:tcPr>
            <w:tcW w:w="1924" w:type="dxa"/>
            <w:vAlign w:val="center"/>
          </w:tcPr>
          <w:p w:rsidR="001D63C8" w:rsidRDefault="00366042">
            <w:pPr>
              <w:jc w:val="right"/>
            </w:pPr>
            <w:r>
              <w:rPr>
                <w:color w:val="000000"/>
                <w:sz w:val="24"/>
                <w:szCs w:val="24"/>
              </w:rPr>
              <w:t>62,577,579.20</w:t>
            </w:r>
          </w:p>
        </w:tc>
        <w:tc>
          <w:tcPr>
            <w:tcW w:w="1644" w:type="dxa"/>
            <w:vAlign w:val="center"/>
          </w:tcPr>
          <w:p w:rsidR="001D63C8" w:rsidRDefault="00366042">
            <w:pPr>
              <w:jc w:val="right"/>
            </w:pPr>
            <w:r>
              <w:rPr>
                <w:color w:val="000000"/>
                <w:sz w:val="24"/>
                <w:szCs w:val="24"/>
              </w:rPr>
              <w:t>8.18</w:t>
            </w:r>
          </w:p>
        </w:tc>
      </w:tr>
      <w:tr w:rsidR="001D63C8">
        <w:trPr>
          <w:jc w:val="center"/>
        </w:trPr>
        <w:tc>
          <w:tcPr>
            <w:tcW w:w="855" w:type="dxa"/>
            <w:vAlign w:val="center"/>
          </w:tcPr>
          <w:p w:rsidR="001D63C8" w:rsidRDefault="00366042">
            <w:pPr>
              <w:jc w:val="center"/>
            </w:pPr>
            <w:r>
              <w:rPr>
                <w:color w:val="000000"/>
                <w:sz w:val="24"/>
                <w:szCs w:val="24"/>
              </w:rPr>
              <w:t>3</w:t>
            </w:r>
          </w:p>
        </w:tc>
        <w:tc>
          <w:tcPr>
            <w:tcW w:w="1334" w:type="dxa"/>
            <w:vAlign w:val="center"/>
          </w:tcPr>
          <w:p w:rsidR="001D63C8" w:rsidRDefault="00366042">
            <w:pPr>
              <w:jc w:val="center"/>
            </w:pPr>
            <w:r>
              <w:rPr>
                <w:color w:val="000000"/>
                <w:sz w:val="24"/>
                <w:szCs w:val="24"/>
              </w:rPr>
              <w:t>601318</w:t>
            </w:r>
          </w:p>
        </w:tc>
        <w:tc>
          <w:tcPr>
            <w:tcW w:w="1777" w:type="dxa"/>
            <w:vAlign w:val="center"/>
          </w:tcPr>
          <w:p w:rsidR="001D63C8" w:rsidRDefault="00366042">
            <w:pPr>
              <w:jc w:val="center"/>
            </w:pPr>
            <w:r>
              <w:rPr>
                <w:color w:val="000000"/>
                <w:sz w:val="24"/>
                <w:szCs w:val="24"/>
              </w:rPr>
              <w:t>中国平安</w:t>
            </w:r>
          </w:p>
        </w:tc>
        <w:tc>
          <w:tcPr>
            <w:tcW w:w="1334" w:type="dxa"/>
            <w:vAlign w:val="center"/>
          </w:tcPr>
          <w:p w:rsidR="001D63C8" w:rsidRDefault="00366042">
            <w:pPr>
              <w:jc w:val="right"/>
            </w:pPr>
            <w:r>
              <w:rPr>
                <w:color w:val="000000"/>
                <w:sz w:val="24"/>
                <w:szCs w:val="24"/>
              </w:rPr>
              <w:t>723,994</w:t>
            </w:r>
          </w:p>
        </w:tc>
        <w:tc>
          <w:tcPr>
            <w:tcW w:w="1924" w:type="dxa"/>
            <w:vAlign w:val="center"/>
          </w:tcPr>
          <w:p w:rsidR="001D63C8" w:rsidRDefault="00366042">
            <w:pPr>
              <w:jc w:val="right"/>
            </w:pPr>
            <w:r>
              <w:rPr>
                <w:color w:val="000000"/>
                <w:sz w:val="24"/>
                <w:szCs w:val="24"/>
              </w:rPr>
              <w:t>54,089,591.74</w:t>
            </w:r>
          </w:p>
        </w:tc>
        <w:tc>
          <w:tcPr>
            <w:tcW w:w="1644" w:type="dxa"/>
            <w:vAlign w:val="center"/>
          </w:tcPr>
          <w:p w:rsidR="001D63C8" w:rsidRDefault="00366042">
            <w:pPr>
              <w:jc w:val="right"/>
            </w:pPr>
            <w:r>
              <w:rPr>
                <w:color w:val="000000"/>
                <w:sz w:val="24"/>
                <w:szCs w:val="24"/>
              </w:rPr>
              <w:t>7.07</w:t>
            </w:r>
          </w:p>
        </w:tc>
      </w:tr>
      <w:tr w:rsidR="001D63C8">
        <w:trPr>
          <w:jc w:val="center"/>
        </w:trPr>
        <w:tc>
          <w:tcPr>
            <w:tcW w:w="855" w:type="dxa"/>
            <w:vAlign w:val="center"/>
          </w:tcPr>
          <w:p w:rsidR="001D63C8" w:rsidRDefault="00366042">
            <w:pPr>
              <w:jc w:val="center"/>
            </w:pPr>
            <w:r>
              <w:rPr>
                <w:color w:val="000000"/>
                <w:sz w:val="24"/>
                <w:szCs w:val="24"/>
              </w:rPr>
              <w:t>4</w:t>
            </w:r>
          </w:p>
        </w:tc>
        <w:tc>
          <w:tcPr>
            <w:tcW w:w="1334" w:type="dxa"/>
            <w:vAlign w:val="center"/>
          </w:tcPr>
          <w:p w:rsidR="001D63C8" w:rsidRDefault="00366042">
            <w:pPr>
              <w:jc w:val="center"/>
            </w:pPr>
            <w:r>
              <w:rPr>
                <w:color w:val="000000"/>
                <w:sz w:val="24"/>
                <w:szCs w:val="24"/>
              </w:rPr>
              <w:t>600967</w:t>
            </w:r>
          </w:p>
        </w:tc>
        <w:tc>
          <w:tcPr>
            <w:tcW w:w="1777" w:type="dxa"/>
            <w:vAlign w:val="center"/>
          </w:tcPr>
          <w:p w:rsidR="001D63C8" w:rsidRDefault="00366042">
            <w:pPr>
              <w:jc w:val="center"/>
            </w:pPr>
            <w:r>
              <w:rPr>
                <w:color w:val="000000"/>
                <w:sz w:val="24"/>
                <w:szCs w:val="24"/>
              </w:rPr>
              <w:t>北方创业</w:t>
            </w:r>
          </w:p>
        </w:tc>
        <w:tc>
          <w:tcPr>
            <w:tcW w:w="1334" w:type="dxa"/>
            <w:vAlign w:val="center"/>
          </w:tcPr>
          <w:p w:rsidR="001D63C8" w:rsidRDefault="00366042">
            <w:pPr>
              <w:jc w:val="right"/>
            </w:pPr>
            <w:r>
              <w:rPr>
                <w:color w:val="000000"/>
                <w:sz w:val="24"/>
                <w:szCs w:val="24"/>
              </w:rPr>
              <w:t>3,642,334</w:t>
            </w:r>
          </w:p>
        </w:tc>
        <w:tc>
          <w:tcPr>
            <w:tcW w:w="1924" w:type="dxa"/>
            <w:vAlign w:val="center"/>
          </w:tcPr>
          <w:p w:rsidR="001D63C8" w:rsidRDefault="00366042">
            <w:pPr>
              <w:jc w:val="right"/>
            </w:pPr>
            <w:r>
              <w:rPr>
                <w:color w:val="000000"/>
                <w:sz w:val="24"/>
                <w:szCs w:val="24"/>
              </w:rPr>
              <w:t>53,760,849.84</w:t>
            </w:r>
          </w:p>
        </w:tc>
        <w:tc>
          <w:tcPr>
            <w:tcW w:w="1644" w:type="dxa"/>
            <w:vAlign w:val="center"/>
          </w:tcPr>
          <w:p w:rsidR="001D63C8" w:rsidRDefault="00366042">
            <w:pPr>
              <w:jc w:val="right"/>
            </w:pPr>
            <w:r>
              <w:rPr>
                <w:color w:val="000000"/>
                <w:sz w:val="24"/>
                <w:szCs w:val="24"/>
              </w:rPr>
              <w:t>7.03</w:t>
            </w:r>
          </w:p>
        </w:tc>
      </w:tr>
      <w:tr w:rsidR="001D63C8">
        <w:trPr>
          <w:jc w:val="center"/>
        </w:trPr>
        <w:tc>
          <w:tcPr>
            <w:tcW w:w="855" w:type="dxa"/>
            <w:vAlign w:val="center"/>
          </w:tcPr>
          <w:p w:rsidR="001D63C8" w:rsidRDefault="00366042">
            <w:pPr>
              <w:jc w:val="center"/>
            </w:pPr>
            <w:r>
              <w:rPr>
                <w:color w:val="000000"/>
                <w:sz w:val="24"/>
                <w:szCs w:val="24"/>
              </w:rPr>
              <w:t>5</w:t>
            </w:r>
          </w:p>
        </w:tc>
        <w:tc>
          <w:tcPr>
            <w:tcW w:w="1334" w:type="dxa"/>
            <w:vAlign w:val="center"/>
          </w:tcPr>
          <w:p w:rsidR="001D63C8" w:rsidRDefault="00366042">
            <w:pPr>
              <w:jc w:val="center"/>
            </w:pPr>
            <w:r>
              <w:rPr>
                <w:color w:val="000000"/>
                <w:sz w:val="24"/>
                <w:szCs w:val="24"/>
              </w:rPr>
              <w:t>600763</w:t>
            </w:r>
          </w:p>
        </w:tc>
        <w:tc>
          <w:tcPr>
            <w:tcW w:w="1777" w:type="dxa"/>
            <w:vAlign w:val="center"/>
          </w:tcPr>
          <w:p w:rsidR="001D63C8" w:rsidRDefault="00366042">
            <w:pPr>
              <w:jc w:val="center"/>
            </w:pPr>
            <w:r>
              <w:rPr>
                <w:color w:val="000000"/>
                <w:sz w:val="24"/>
                <w:szCs w:val="24"/>
              </w:rPr>
              <w:t>通策医疗</w:t>
            </w:r>
          </w:p>
        </w:tc>
        <w:tc>
          <w:tcPr>
            <w:tcW w:w="1334" w:type="dxa"/>
            <w:vAlign w:val="center"/>
          </w:tcPr>
          <w:p w:rsidR="001D63C8" w:rsidRDefault="00366042">
            <w:pPr>
              <w:jc w:val="right"/>
            </w:pPr>
            <w:r>
              <w:rPr>
                <w:color w:val="000000"/>
                <w:sz w:val="24"/>
                <w:szCs w:val="24"/>
              </w:rPr>
              <w:t>1,002,118</w:t>
            </w:r>
          </w:p>
        </w:tc>
        <w:tc>
          <w:tcPr>
            <w:tcW w:w="1924" w:type="dxa"/>
            <w:vAlign w:val="center"/>
          </w:tcPr>
          <w:p w:rsidR="001D63C8" w:rsidRDefault="00366042">
            <w:pPr>
              <w:jc w:val="right"/>
            </w:pPr>
            <w:r>
              <w:rPr>
                <w:color w:val="000000"/>
                <w:sz w:val="24"/>
                <w:szCs w:val="24"/>
              </w:rPr>
              <w:t>48,081,621.64</w:t>
            </w:r>
          </w:p>
        </w:tc>
        <w:tc>
          <w:tcPr>
            <w:tcW w:w="1644" w:type="dxa"/>
            <w:vAlign w:val="center"/>
          </w:tcPr>
          <w:p w:rsidR="001D63C8" w:rsidRDefault="00366042">
            <w:pPr>
              <w:jc w:val="right"/>
            </w:pPr>
            <w:r>
              <w:rPr>
                <w:color w:val="000000"/>
                <w:sz w:val="24"/>
                <w:szCs w:val="24"/>
              </w:rPr>
              <w:t>6.29</w:t>
            </w:r>
          </w:p>
        </w:tc>
      </w:tr>
      <w:tr w:rsidR="001D63C8">
        <w:trPr>
          <w:jc w:val="center"/>
        </w:trPr>
        <w:tc>
          <w:tcPr>
            <w:tcW w:w="855" w:type="dxa"/>
            <w:vAlign w:val="center"/>
          </w:tcPr>
          <w:p w:rsidR="001D63C8" w:rsidRDefault="00366042">
            <w:pPr>
              <w:jc w:val="center"/>
            </w:pPr>
            <w:r>
              <w:rPr>
                <w:color w:val="000000"/>
                <w:sz w:val="24"/>
                <w:szCs w:val="24"/>
              </w:rPr>
              <w:t>6</w:t>
            </w:r>
          </w:p>
        </w:tc>
        <w:tc>
          <w:tcPr>
            <w:tcW w:w="1334" w:type="dxa"/>
            <w:vAlign w:val="center"/>
          </w:tcPr>
          <w:p w:rsidR="001D63C8" w:rsidRDefault="00366042">
            <w:pPr>
              <w:jc w:val="center"/>
            </w:pPr>
            <w:r>
              <w:rPr>
                <w:color w:val="000000"/>
                <w:sz w:val="24"/>
                <w:szCs w:val="24"/>
              </w:rPr>
              <w:t>300005</w:t>
            </w:r>
          </w:p>
        </w:tc>
        <w:tc>
          <w:tcPr>
            <w:tcW w:w="1777" w:type="dxa"/>
            <w:vAlign w:val="center"/>
          </w:tcPr>
          <w:p w:rsidR="001D63C8" w:rsidRDefault="00366042">
            <w:pPr>
              <w:jc w:val="center"/>
            </w:pPr>
            <w:r>
              <w:rPr>
                <w:color w:val="000000"/>
                <w:sz w:val="24"/>
                <w:szCs w:val="24"/>
              </w:rPr>
              <w:t>探路者</w:t>
            </w:r>
          </w:p>
        </w:tc>
        <w:tc>
          <w:tcPr>
            <w:tcW w:w="1334" w:type="dxa"/>
            <w:vAlign w:val="center"/>
          </w:tcPr>
          <w:p w:rsidR="001D63C8" w:rsidRDefault="00366042">
            <w:pPr>
              <w:jc w:val="right"/>
            </w:pPr>
            <w:r>
              <w:rPr>
                <w:color w:val="000000"/>
                <w:sz w:val="24"/>
                <w:szCs w:val="24"/>
              </w:rPr>
              <w:t>2,502,116</w:t>
            </w:r>
          </w:p>
        </w:tc>
        <w:tc>
          <w:tcPr>
            <w:tcW w:w="1924" w:type="dxa"/>
            <w:vAlign w:val="center"/>
          </w:tcPr>
          <w:p w:rsidR="001D63C8" w:rsidRDefault="00366042">
            <w:pPr>
              <w:jc w:val="right"/>
            </w:pPr>
            <w:r>
              <w:rPr>
                <w:color w:val="000000"/>
                <w:sz w:val="24"/>
                <w:szCs w:val="24"/>
              </w:rPr>
              <w:t>46,439,272.96</w:t>
            </w:r>
          </w:p>
        </w:tc>
        <w:tc>
          <w:tcPr>
            <w:tcW w:w="1644" w:type="dxa"/>
            <w:vAlign w:val="center"/>
          </w:tcPr>
          <w:p w:rsidR="001D63C8" w:rsidRDefault="00366042">
            <w:pPr>
              <w:jc w:val="right"/>
            </w:pPr>
            <w:r>
              <w:rPr>
                <w:color w:val="000000"/>
                <w:sz w:val="24"/>
                <w:szCs w:val="24"/>
              </w:rPr>
              <w:t>6.07</w:t>
            </w:r>
          </w:p>
        </w:tc>
      </w:tr>
      <w:tr w:rsidR="001D63C8">
        <w:trPr>
          <w:jc w:val="center"/>
        </w:trPr>
        <w:tc>
          <w:tcPr>
            <w:tcW w:w="855" w:type="dxa"/>
            <w:vAlign w:val="center"/>
          </w:tcPr>
          <w:p w:rsidR="001D63C8" w:rsidRDefault="00366042">
            <w:pPr>
              <w:jc w:val="center"/>
            </w:pPr>
            <w:r>
              <w:rPr>
                <w:color w:val="000000"/>
                <w:sz w:val="24"/>
                <w:szCs w:val="24"/>
              </w:rPr>
              <w:t>7</w:t>
            </w:r>
          </w:p>
        </w:tc>
        <w:tc>
          <w:tcPr>
            <w:tcW w:w="1334" w:type="dxa"/>
            <w:vAlign w:val="center"/>
          </w:tcPr>
          <w:p w:rsidR="001D63C8" w:rsidRDefault="00366042">
            <w:pPr>
              <w:jc w:val="center"/>
            </w:pPr>
            <w:r>
              <w:rPr>
                <w:color w:val="000000"/>
                <w:sz w:val="24"/>
                <w:szCs w:val="24"/>
              </w:rPr>
              <w:t>600887</w:t>
            </w:r>
          </w:p>
        </w:tc>
        <w:tc>
          <w:tcPr>
            <w:tcW w:w="1777" w:type="dxa"/>
            <w:vAlign w:val="center"/>
          </w:tcPr>
          <w:p w:rsidR="001D63C8" w:rsidRDefault="00366042">
            <w:pPr>
              <w:jc w:val="center"/>
            </w:pPr>
            <w:r>
              <w:rPr>
                <w:color w:val="000000"/>
                <w:sz w:val="24"/>
                <w:szCs w:val="24"/>
              </w:rPr>
              <w:t>伊利股份</w:t>
            </w:r>
          </w:p>
        </w:tc>
        <w:tc>
          <w:tcPr>
            <w:tcW w:w="1334" w:type="dxa"/>
            <w:vAlign w:val="center"/>
          </w:tcPr>
          <w:p w:rsidR="001D63C8" w:rsidRDefault="00366042">
            <w:pPr>
              <w:jc w:val="right"/>
            </w:pPr>
            <w:r>
              <w:rPr>
                <w:color w:val="000000"/>
                <w:sz w:val="24"/>
                <w:szCs w:val="24"/>
              </w:rPr>
              <w:t>1,244,548</w:t>
            </w:r>
          </w:p>
        </w:tc>
        <w:tc>
          <w:tcPr>
            <w:tcW w:w="1924" w:type="dxa"/>
            <w:vAlign w:val="center"/>
          </w:tcPr>
          <w:p w:rsidR="001D63C8" w:rsidRDefault="00366042">
            <w:pPr>
              <w:jc w:val="right"/>
            </w:pPr>
            <w:r>
              <w:rPr>
                <w:color w:val="000000"/>
                <w:sz w:val="24"/>
                <w:szCs w:val="24"/>
              </w:rPr>
              <w:t>35,631,409.24</w:t>
            </w:r>
          </w:p>
        </w:tc>
        <w:tc>
          <w:tcPr>
            <w:tcW w:w="1644" w:type="dxa"/>
            <w:vAlign w:val="center"/>
          </w:tcPr>
          <w:p w:rsidR="001D63C8" w:rsidRDefault="00366042">
            <w:pPr>
              <w:jc w:val="right"/>
            </w:pPr>
            <w:r>
              <w:rPr>
                <w:color w:val="000000"/>
                <w:sz w:val="24"/>
                <w:szCs w:val="24"/>
              </w:rPr>
              <w:t>4.66</w:t>
            </w:r>
          </w:p>
        </w:tc>
      </w:tr>
      <w:tr w:rsidR="001D63C8">
        <w:trPr>
          <w:jc w:val="center"/>
        </w:trPr>
        <w:tc>
          <w:tcPr>
            <w:tcW w:w="855" w:type="dxa"/>
            <w:vAlign w:val="center"/>
          </w:tcPr>
          <w:p w:rsidR="001D63C8" w:rsidRDefault="00366042">
            <w:pPr>
              <w:jc w:val="center"/>
            </w:pPr>
            <w:r>
              <w:rPr>
                <w:color w:val="000000"/>
                <w:sz w:val="24"/>
                <w:szCs w:val="24"/>
              </w:rPr>
              <w:t>8</w:t>
            </w:r>
          </w:p>
        </w:tc>
        <w:tc>
          <w:tcPr>
            <w:tcW w:w="1334" w:type="dxa"/>
            <w:vAlign w:val="center"/>
          </w:tcPr>
          <w:p w:rsidR="001D63C8" w:rsidRDefault="00366042">
            <w:pPr>
              <w:jc w:val="center"/>
            </w:pPr>
            <w:r>
              <w:rPr>
                <w:color w:val="000000"/>
                <w:sz w:val="24"/>
                <w:szCs w:val="24"/>
              </w:rPr>
              <w:t>002568</w:t>
            </w:r>
          </w:p>
        </w:tc>
        <w:tc>
          <w:tcPr>
            <w:tcW w:w="1777" w:type="dxa"/>
            <w:vAlign w:val="center"/>
          </w:tcPr>
          <w:p w:rsidR="001D63C8" w:rsidRDefault="00366042">
            <w:pPr>
              <w:jc w:val="center"/>
            </w:pPr>
            <w:r>
              <w:rPr>
                <w:color w:val="000000"/>
                <w:sz w:val="24"/>
                <w:szCs w:val="24"/>
              </w:rPr>
              <w:t>百润股份</w:t>
            </w:r>
          </w:p>
        </w:tc>
        <w:tc>
          <w:tcPr>
            <w:tcW w:w="1334" w:type="dxa"/>
            <w:vAlign w:val="center"/>
          </w:tcPr>
          <w:p w:rsidR="001D63C8" w:rsidRDefault="00366042">
            <w:pPr>
              <w:jc w:val="right"/>
            </w:pPr>
            <w:r>
              <w:rPr>
                <w:color w:val="000000"/>
                <w:sz w:val="24"/>
                <w:szCs w:val="24"/>
              </w:rPr>
              <w:t>802,250</w:t>
            </w:r>
          </w:p>
        </w:tc>
        <w:tc>
          <w:tcPr>
            <w:tcW w:w="1924" w:type="dxa"/>
            <w:vAlign w:val="center"/>
          </w:tcPr>
          <w:p w:rsidR="001D63C8" w:rsidRDefault="00366042">
            <w:pPr>
              <w:jc w:val="right"/>
            </w:pPr>
            <w:r>
              <w:rPr>
                <w:color w:val="000000"/>
                <w:sz w:val="24"/>
                <w:szCs w:val="24"/>
              </w:rPr>
              <w:t>32,667,620.00</w:t>
            </w:r>
          </w:p>
        </w:tc>
        <w:tc>
          <w:tcPr>
            <w:tcW w:w="1644" w:type="dxa"/>
            <w:vAlign w:val="center"/>
          </w:tcPr>
          <w:p w:rsidR="001D63C8" w:rsidRDefault="00366042">
            <w:pPr>
              <w:jc w:val="right"/>
            </w:pPr>
            <w:r>
              <w:rPr>
                <w:color w:val="000000"/>
                <w:sz w:val="24"/>
                <w:szCs w:val="24"/>
              </w:rPr>
              <w:t>4.27</w:t>
            </w:r>
          </w:p>
        </w:tc>
      </w:tr>
      <w:tr w:rsidR="001D63C8">
        <w:trPr>
          <w:jc w:val="center"/>
        </w:trPr>
        <w:tc>
          <w:tcPr>
            <w:tcW w:w="855" w:type="dxa"/>
            <w:vAlign w:val="center"/>
          </w:tcPr>
          <w:p w:rsidR="001D63C8" w:rsidRDefault="00366042">
            <w:pPr>
              <w:jc w:val="center"/>
            </w:pPr>
            <w:r>
              <w:rPr>
                <w:color w:val="000000"/>
                <w:sz w:val="24"/>
                <w:szCs w:val="24"/>
              </w:rPr>
              <w:t>9</w:t>
            </w:r>
          </w:p>
        </w:tc>
        <w:tc>
          <w:tcPr>
            <w:tcW w:w="1334" w:type="dxa"/>
            <w:vAlign w:val="center"/>
          </w:tcPr>
          <w:p w:rsidR="001D63C8" w:rsidRDefault="00366042">
            <w:pPr>
              <w:jc w:val="center"/>
            </w:pPr>
            <w:r>
              <w:rPr>
                <w:color w:val="000000"/>
                <w:sz w:val="24"/>
                <w:szCs w:val="24"/>
              </w:rPr>
              <w:t>000423</w:t>
            </w:r>
          </w:p>
        </w:tc>
        <w:tc>
          <w:tcPr>
            <w:tcW w:w="1777" w:type="dxa"/>
            <w:vAlign w:val="center"/>
          </w:tcPr>
          <w:p w:rsidR="001D63C8" w:rsidRDefault="00366042">
            <w:pPr>
              <w:jc w:val="center"/>
            </w:pPr>
            <w:r>
              <w:rPr>
                <w:color w:val="000000"/>
                <w:sz w:val="24"/>
                <w:szCs w:val="24"/>
              </w:rPr>
              <w:t>东阿阿胶</w:t>
            </w:r>
          </w:p>
        </w:tc>
        <w:tc>
          <w:tcPr>
            <w:tcW w:w="1334" w:type="dxa"/>
            <w:vAlign w:val="center"/>
          </w:tcPr>
          <w:p w:rsidR="001D63C8" w:rsidRDefault="00366042">
            <w:pPr>
              <w:jc w:val="right"/>
            </w:pPr>
            <w:r>
              <w:rPr>
                <w:color w:val="000000"/>
                <w:sz w:val="24"/>
                <w:szCs w:val="24"/>
              </w:rPr>
              <w:t>854,240</w:t>
            </w:r>
          </w:p>
        </w:tc>
        <w:tc>
          <w:tcPr>
            <w:tcW w:w="1924" w:type="dxa"/>
            <w:vAlign w:val="center"/>
          </w:tcPr>
          <w:p w:rsidR="001D63C8" w:rsidRDefault="00366042">
            <w:pPr>
              <w:jc w:val="right"/>
            </w:pPr>
            <w:r>
              <w:rPr>
                <w:color w:val="000000"/>
                <w:sz w:val="24"/>
                <w:szCs w:val="24"/>
              </w:rPr>
              <w:t>31,846,067.20</w:t>
            </w:r>
          </w:p>
        </w:tc>
        <w:tc>
          <w:tcPr>
            <w:tcW w:w="1644" w:type="dxa"/>
            <w:vAlign w:val="center"/>
          </w:tcPr>
          <w:p w:rsidR="001D63C8" w:rsidRDefault="00366042">
            <w:pPr>
              <w:jc w:val="right"/>
            </w:pPr>
            <w:r>
              <w:rPr>
                <w:color w:val="000000"/>
                <w:sz w:val="24"/>
                <w:szCs w:val="24"/>
              </w:rPr>
              <w:t>4.16</w:t>
            </w:r>
          </w:p>
        </w:tc>
      </w:tr>
      <w:tr w:rsidR="001D63C8">
        <w:trPr>
          <w:jc w:val="center"/>
        </w:trPr>
        <w:tc>
          <w:tcPr>
            <w:tcW w:w="855" w:type="dxa"/>
            <w:vAlign w:val="center"/>
          </w:tcPr>
          <w:p w:rsidR="001D63C8" w:rsidRDefault="00366042">
            <w:pPr>
              <w:jc w:val="center"/>
            </w:pPr>
            <w:r>
              <w:rPr>
                <w:color w:val="000000"/>
                <w:sz w:val="24"/>
                <w:szCs w:val="24"/>
              </w:rPr>
              <w:t>10</w:t>
            </w:r>
          </w:p>
        </w:tc>
        <w:tc>
          <w:tcPr>
            <w:tcW w:w="1334" w:type="dxa"/>
            <w:vAlign w:val="center"/>
          </w:tcPr>
          <w:p w:rsidR="001D63C8" w:rsidRDefault="00366042">
            <w:pPr>
              <w:jc w:val="center"/>
            </w:pPr>
            <w:r>
              <w:rPr>
                <w:color w:val="000000"/>
                <w:sz w:val="24"/>
                <w:szCs w:val="24"/>
              </w:rPr>
              <w:t>601628</w:t>
            </w:r>
          </w:p>
        </w:tc>
        <w:tc>
          <w:tcPr>
            <w:tcW w:w="1777" w:type="dxa"/>
            <w:vAlign w:val="center"/>
          </w:tcPr>
          <w:p w:rsidR="001D63C8" w:rsidRDefault="00366042">
            <w:pPr>
              <w:jc w:val="center"/>
            </w:pPr>
            <w:r>
              <w:rPr>
                <w:color w:val="000000"/>
                <w:sz w:val="24"/>
                <w:szCs w:val="24"/>
              </w:rPr>
              <w:t>中国人寿</w:t>
            </w:r>
          </w:p>
        </w:tc>
        <w:tc>
          <w:tcPr>
            <w:tcW w:w="1334" w:type="dxa"/>
            <w:vAlign w:val="center"/>
          </w:tcPr>
          <w:p w:rsidR="001D63C8" w:rsidRDefault="00366042">
            <w:pPr>
              <w:jc w:val="right"/>
            </w:pPr>
            <w:r>
              <w:rPr>
                <w:color w:val="000000"/>
                <w:sz w:val="24"/>
                <w:szCs w:val="24"/>
              </w:rPr>
              <w:t>921,000</w:t>
            </w:r>
          </w:p>
        </w:tc>
        <w:tc>
          <w:tcPr>
            <w:tcW w:w="1924" w:type="dxa"/>
            <w:vAlign w:val="center"/>
          </w:tcPr>
          <w:p w:rsidR="001D63C8" w:rsidRDefault="00366042">
            <w:pPr>
              <w:jc w:val="right"/>
            </w:pPr>
            <w:r>
              <w:rPr>
                <w:color w:val="000000"/>
                <w:sz w:val="24"/>
                <w:szCs w:val="24"/>
              </w:rPr>
              <w:t>31,452,150.00</w:t>
            </w:r>
          </w:p>
        </w:tc>
        <w:tc>
          <w:tcPr>
            <w:tcW w:w="1644" w:type="dxa"/>
            <w:vAlign w:val="center"/>
          </w:tcPr>
          <w:p w:rsidR="001D63C8" w:rsidRDefault="00366042">
            <w:pPr>
              <w:jc w:val="right"/>
            </w:pPr>
            <w:r>
              <w:rPr>
                <w:color w:val="000000"/>
                <w:sz w:val="24"/>
                <w:szCs w:val="24"/>
              </w:rPr>
              <w:t>4.11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122,288.78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19,048.99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89,395.04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230,732.81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本基金本报告期末前十名股票中不存在流通受限的情况。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779,101,343.65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14,643,588.53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220,135,037.51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573,609,894.67</w:t>
            </w:r>
          </w:p>
        </w:tc>
      </w:tr>
    </w:tbl>
    <w:p w:rsidR="001D63C8" w:rsidRDefault="0036604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324474">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32,044,493.17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32,044,493.17</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bl>
    <w:p w:rsidR="001D63C8" w:rsidRDefault="0036604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tbl>
      <w:tblPr>
        <w:tblW w:w="9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032"/>
        <w:gridCol w:w="1356"/>
        <w:gridCol w:w="1516"/>
        <w:gridCol w:w="2096"/>
        <w:gridCol w:w="1767"/>
        <w:gridCol w:w="1356"/>
      </w:tblGrid>
      <w:tr w:rsidR="00320300" w:rsidRPr="00414345" w:rsidTr="00366042">
        <w:trPr>
          <w:trHeight w:val="340"/>
          <w:jc w:val="center"/>
        </w:trPr>
        <w:tc>
          <w:tcPr>
            <w:tcW w:w="1032" w:type="dxa"/>
            <w:vAlign w:val="center"/>
          </w:tcPr>
          <w:p w:rsidR="00320300" w:rsidRPr="00414345" w:rsidRDefault="00320300" w:rsidP="00C15CAC">
            <w:pPr>
              <w:pStyle w:val="ad"/>
              <w:adjustRightInd w:val="0"/>
              <w:snapToGrid w:val="0"/>
              <w:spacing w:before="29" w:line="288" w:lineRule="auto"/>
              <w:jc w:val="center"/>
              <w:rPr>
                <w:color w:val="000000"/>
                <w:kern w:val="0"/>
              </w:rPr>
            </w:pPr>
            <w:r w:rsidRPr="00414345">
              <w:rPr>
                <w:color w:val="000000"/>
                <w:kern w:val="0"/>
              </w:rPr>
              <w:t>序号</w:t>
            </w:r>
          </w:p>
        </w:tc>
        <w:tc>
          <w:tcPr>
            <w:tcW w:w="135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交易方式</w:t>
            </w:r>
          </w:p>
        </w:tc>
        <w:tc>
          <w:tcPr>
            <w:tcW w:w="1516" w:type="dxa"/>
            <w:vAlign w:val="center"/>
          </w:tcPr>
          <w:p w:rsidR="00320300" w:rsidRPr="00414345" w:rsidRDefault="00320300" w:rsidP="00C15CAC">
            <w:pPr>
              <w:adjustRightInd w:val="0"/>
              <w:snapToGrid w:val="0"/>
              <w:spacing w:before="29" w:line="288" w:lineRule="auto"/>
              <w:rPr>
                <w:color w:val="000000"/>
                <w:kern w:val="0"/>
                <w:sz w:val="24"/>
              </w:rPr>
            </w:pPr>
            <w:r w:rsidRPr="00414345">
              <w:rPr>
                <w:color w:val="000000"/>
                <w:kern w:val="0"/>
                <w:sz w:val="24"/>
              </w:rPr>
              <w:t>交易日期</w:t>
            </w:r>
          </w:p>
        </w:tc>
        <w:tc>
          <w:tcPr>
            <w:tcW w:w="209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交易份额（份）</w:t>
            </w:r>
          </w:p>
        </w:tc>
        <w:tc>
          <w:tcPr>
            <w:tcW w:w="1767"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交易金额（元）</w:t>
            </w:r>
          </w:p>
        </w:tc>
        <w:tc>
          <w:tcPr>
            <w:tcW w:w="1356" w:type="dxa"/>
            <w:vAlign w:val="center"/>
          </w:tcPr>
          <w:p w:rsidR="00320300" w:rsidRPr="00414345" w:rsidRDefault="00320300" w:rsidP="00C15CAC">
            <w:pPr>
              <w:adjustRightInd w:val="0"/>
              <w:snapToGrid w:val="0"/>
              <w:spacing w:before="29" w:line="288" w:lineRule="auto"/>
              <w:jc w:val="center"/>
              <w:rPr>
                <w:color w:val="000000"/>
                <w:kern w:val="0"/>
                <w:sz w:val="24"/>
              </w:rPr>
            </w:pPr>
            <w:r w:rsidRPr="00414345">
              <w:rPr>
                <w:color w:val="000000"/>
                <w:kern w:val="0"/>
                <w:sz w:val="24"/>
              </w:rPr>
              <w:t>适用费率</w:t>
            </w:r>
          </w:p>
        </w:tc>
      </w:tr>
      <w:tr w:rsidR="00007393" w:rsidTr="00366042">
        <w:trPr>
          <w:jc w:val="center"/>
        </w:trPr>
        <w:tc>
          <w:tcPr>
            <w:tcW w:w="1032" w:type="dxa"/>
            <w:vAlign w:val="center"/>
          </w:tcPr>
          <w:p w:rsidR="00007393" w:rsidRDefault="00007393">
            <w:pPr>
              <w:jc w:val="center"/>
            </w:pPr>
            <w:r>
              <w:rPr>
                <w:rFonts w:hint="eastAsia"/>
                <w:color w:val="000000"/>
                <w:sz w:val="24"/>
              </w:rPr>
              <w:t>1</w:t>
            </w:r>
          </w:p>
        </w:tc>
        <w:tc>
          <w:tcPr>
            <w:tcW w:w="1356" w:type="dxa"/>
            <w:vAlign w:val="center"/>
          </w:tcPr>
          <w:p w:rsidR="00007393" w:rsidRDefault="00007393">
            <w:pPr>
              <w:jc w:val="center"/>
            </w:pPr>
            <w:r>
              <w:rPr>
                <w:color w:val="000000"/>
                <w:sz w:val="24"/>
              </w:rPr>
              <w:t>赎回</w:t>
            </w:r>
          </w:p>
        </w:tc>
        <w:tc>
          <w:tcPr>
            <w:tcW w:w="1516" w:type="dxa"/>
            <w:vAlign w:val="center"/>
          </w:tcPr>
          <w:p w:rsidR="00007393" w:rsidRDefault="00007393">
            <w:pPr>
              <w:jc w:val="center"/>
            </w:pPr>
            <w:r>
              <w:rPr>
                <w:color w:val="000000"/>
                <w:sz w:val="24"/>
              </w:rPr>
              <w:t>2014-10-08</w:t>
            </w:r>
          </w:p>
        </w:tc>
        <w:tc>
          <w:tcPr>
            <w:tcW w:w="2096" w:type="dxa"/>
            <w:vAlign w:val="center"/>
          </w:tcPr>
          <w:p w:rsidR="00007393" w:rsidRDefault="00007393" w:rsidP="00007393">
            <w:pPr>
              <w:ind w:right="240"/>
              <w:jc w:val="right"/>
            </w:pPr>
            <w:r>
              <w:rPr>
                <w:color w:val="000000"/>
                <w:sz w:val="24"/>
              </w:rPr>
              <w:t>-31,383,498.04</w:t>
            </w:r>
          </w:p>
        </w:tc>
        <w:tc>
          <w:tcPr>
            <w:tcW w:w="1767" w:type="dxa"/>
            <w:vAlign w:val="center"/>
          </w:tcPr>
          <w:p w:rsidR="00007393" w:rsidRDefault="00007393" w:rsidP="00007393">
            <w:pPr>
              <w:jc w:val="right"/>
            </w:pPr>
            <w:r>
              <w:rPr>
                <w:color w:val="000000"/>
                <w:sz w:val="24"/>
              </w:rPr>
              <w:t>-39,862,259.25</w:t>
            </w:r>
          </w:p>
        </w:tc>
        <w:tc>
          <w:tcPr>
            <w:tcW w:w="1356" w:type="dxa"/>
            <w:vAlign w:val="center"/>
          </w:tcPr>
          <w:p w:rsidR="00007393" w:rsidRDefault="00007393">
            <w:pPr>
              <w:jc w:val="center"/>
            </w:pPr>
            <w:r>
              <w:rPr>
                <w:color w:val="000000"/>
                <w:sz w:val="24"/>
              </w:rPr>
              <w:t>0.00%</w:t>
            </w:r>
          </w:p>
        </w:tc>
      </w:tr>
      <w:tr w:rsidR="00007393" w:rsidRPr="00007393" w:rsidTr="00366042">
        <w:trPr>
          <w:trHeight w:val="340"/>
          <w:jc w:val="center"/>
        </w:trPr>
        <w:tc>
          <w:tcPr>
            <w:tcW w:w="1032" w:type="dxa"/>
            <w:vAlign w:val="center"/>
          </w:tcPr>
          <w:p w:rsidR="00C24330" w:rsidRPr="00B00160" w:rsidRDefault="002355F6" w:rsidP="00B00160">
            <w:pPr>
              <w:jc w:val="center"/>
              <w:rPr>
                <w:color w:val="000000"/>
                <w:szCs w:val="22"/>
              </w:rPr>
            </w:pPr>
            <w:r w:rsidRPr="00B00160">
              <w:rPr>
                <w:color w:val="000000"/>
                <w:sz w:val="24"/>
              </w:rPr>
              <w:t>2</w:t>
            </w:r>
          </w:p>
        </w:tc>
        <w:tc>
          <w:tcPr>
            <w:tcW w:w="1356" w:type="dxa"/>
            <w:vAlign w:val="center"/>
          </w:tcPr>
          <w:p w:rsidR="00C24330" w:rsidRPr="00B00160" w:rsidRDefault="00007393" w:rsidP="00B00160">
            <w:pPr>
              <w:jc w:val="center"/>
              <w:rPr>
                <w:color w:val="000000"/>
                <w:sz w:val="24"/>
              </w:rPr>
            </w:pPr>
            <w:r>
              <w:rPr>
                <w:color w:val="000000"/>
                <w:sz w:val="24"/>
              </w:rPr>
              <w:t>赎回</w:t>
            </w:r>
          </w:p>
        </w:tc>
        <w:tc>
          <w:tcPr>
            <w:tcW w:w="1516" w:type="dxa"/>
            <w:vAlign w:val="center"/>
          </w:tcPr>
          <w:p w:rsidR="00C24330" w:rsidRPr="00B00160" w:rsidRDefault="00007393" w:rsidP="00B00160">
            <w:pPr>
              <w:jc w:val="center"/>
              <w:rPr>
                <w:color w:val="000000"/>
                <w:sz w:val="24"/>
              </w:rPr>
            </w:pPr>
            <w:r>
              <w:rPr>
                <w:color w:val="000000"/>
                <w:sz w:val="24"/>
              </w:rPr>
              <w:t>2014-10-08</w:t>
            </w:r>
          </w:p>
        </w:tc>
        <w:tc>
          <w:tcPr>
            <w:tcW w:w="2096" w:type="dxa"/>
            <w:vAlign w:val="center"/>
          </w:tcPr>
          <w:p w:rsidR="00C24330" w:rsidRDefault="00007393" w:rsidP="00B00160">
            <w:pPr>
              <w:wordWrap w:val="0"/>
              <w:jc w:val="right"/>
              <w:rPr>
                <w:color w:val="000000"/>
                <w:sz w:val="24"/>
              </w:rPr>
            </w:pPr>
            <w:r>
              <w:rPr>
                <w:color w:val="000000"/>
                <w:sz w:val="24"/>
              </w:rPr>
              <w:t>-660,995.13</w:t>
            </w:r>
            <w:r>
              <w:rPr>
                <w:rFonts w:hint="eastAsia"/>
                <w:color w:val="000000"/>
                <w:sz w:val="24"/>
              </w:rPr>
              <w:t xml:space="preserve">  </w:t>
            </w:r>
          </w:p>
        </w:tc>
        <w:tc>
          <w:tcPr>
            <w:tcW w:w="1767" w:type="dxa"/>
            <w:vAlign w:val="center"/>
          </w:tcPr>
          <w:p w:rsidR="00C24330" w:rsidRDefault="00007393" w:rsidP="00B00160">
            <w:pPr>
              <w:jc w:val="right"/>
              <w:rPr>
                <w:color w:val="000000"/>
                <w:sz w:val="24"/>
              </w:rPr>
            </w:pPr>
            <w:r>
              <w:rPr>
                <w:color w:val="000000"/>
                <w:sz w:val="24"/>
              </w:rPr>
              <w:t>-839,662.11</w:t>
            </w:r>
          </w:p>
        </w:tc>
        <w:tc>
          <w:tcPr>
            <w:tcW w:w="1356" w:type="dxa"/>
            <w:vAlign w:val="center"/>
          </w:tcPr>
          <w:p w:rsidR="00C24330" w:rsidRPr="00B00160" w:rsidRDefault="00007393" w:rsidP="00B00160">
            <w:pPr>
              <w:jc w:val="center"/>
              <w:rPr>
                <w:color w:val="000000"/>
                <w:sz w:val="24"/>
              </w:rPr>
            </w:pPr>
            <w:r>
              <w:rPr>
                <w:color w:val="000000"/>
                <w:sz w:val="24"/>
              </w:rPr>
              <w:t>0.50%</w:t>
            </w:r>
          </w:p>
        </w:tc>
      </w:tr>
      <w:tr w:rsidR="00007393" w:rsidRPr="00414345" w:rsidTr="00366042">
        <w:trPr>
          <w:trHeight w:val="340"/>
          <w:jc w:val="center"/>
        </w:trPr>
        <w:tc>
          <w:tcPr>
            <w:tcW w:w="1032" w:type="dxa"/>
            <w:vAlign w:val="center"/>
          </w:tcPr>
          <w:p w:rsidR="00007393" w:rsidRPr="00414345" w:rsidRDefault="00007393" w:rsidP="00C15CAC">
            <w:pPr>
              <w:pStyle w:val="ad"/>
              <w:adjustRightInd w:val="0"/>
              <w:snapToGrid w:val="0"/>
              <w:spacing w:before="29" w:line="288" w:lineRule="auto"/>
              <w:jc w:val="center"/>
              <w:rPr>
                <w:color w:val="000000"/>
                <w:kern w:val="0"/>
              </w:rPr>
            </w:pPr>
            <w:r w:rsidRPr="00414345">
              <w:rPr>
                <w:color w:val="000000"/>
                <w:kern w:val="0"/>
              </w:rPr>
              <w:t>合计</w:t>
            </w:r>
          </w:p>
        </w:tc>
        <w:tc>
          <w:tcPr>
            <w:tcW w:w="1356" w:type="dxa"/>
            <w:vAlign w:val="center"/>
          </w:tcPr>
          <w:p w:rsidR="00007393" w:rsidRPr="00414345" w:rsidRDefault="00007393" w:rsidP="00C15CAC">
            <w:pPr>
              <w:adjustRightInd w:val="0"/>
              <w:snapToGrid w:val="0"/>
              <w:spacing w:before="29" w:line="288" w:lineRule="auto"/>
              <w:jc w:val="right"/>
              <w:rPr>
                <w:color w:val="0000FF"/>
                <w:kern w:val="0"/>
                <w:sz w:val="18"/>
              </w:rPr>
            </w:pPr>
          </w:p>
        </w:tc>
        <w:tc>
          <w:tcPr>
            <w:tcW w:w="1516" w:type="dxa"/>
            <w:vAlign w:val="center"/>
          </w:tcPr>
          <w:p w:rsidR="00007393" w:rsidRPr="00414345" w:rsidRDefault="00007393" w:rsidP="00C15CAC">
            <w:pPr>
              <w:adjustRightInd w:val="0"/>
              <w:snapToGrid w:val="0"/>
              <w:spacing w:before="29" w:line="288" w:lineRule="auto"/>
              <w:jc w:val="right"/>
              <w:rPr>
                <w:color w:val="0000FF"/>
                <w:kern w:val="0"/>
                <w:sz w:val="18"/>
              </w:rPr>
            </w:pPr>
          </w:p>
        </w:tc>
        <w:tc>
          <w:tcPr>
            <w:tcW w:w="2096" w:type="dxa"/>
            <w:vAlign w:val="center"/>
          </w:tcPr>
          <w:p w:rsidR="00007393" w:rsidRPr="00414345" w:rsidRDefault="00007393" w:rsidP="00007393">
            <w:pPr>
              <w:adjustRightInd w:val="0"/>
              <w:snapToGrid w:val="0"/>
              <w:spacing w:before="29" w:line="288" w:lineRule="auto"/>
              <w:ind w:right="240"/>
              <w:jc w:val="right"/>
              <w:rPr>
                <w:color w:val="000000"/>
                <w:sz w:val="24"/>
              </w:rPr>
            </w:pPr>
            <w:r w:rsidRPr="00414345">
              <w:rPr>
                <w:color w:val="000000"/>
                <w:sz w:val="24"/>
              </w:rPr>
              <w:t>-32,044,493.17</w:t>
            </w:r>
          </w:p>
        </w:tc>
        <w:tc>
          <w:tcPr>
            <w:tcW w:w="1767" w:type="dxa"/>
            <w:vAlign w:val="center"/>
          </w:tcPr>
          <w:p w:rsidR="00C24330" w:rsidRDefault="00007393">
            <w:pPr>
              <w:adjustRightInd w:val="0"/>
              <w:snapToGrid w:val="0"/>
              <w:spacing w:before="29" w:line="288" w:lineRule="auto"/>
              <w:jc w:val="right"/>
              <w:rPr>
                <w:color w:val="000000"/>
                <w:sz w:val="24"/>
              </w:rPr>
            </w:pPr>
            <w:r w:rsidRPr="00414345">
              <w:rPr>
                <w:color w:val="000000"/>
                <w:sz w:val="24"/>
              </w:rPr>
              <w:t>-40,701,921.36</w:t>
            </w:r>
          </w:p>
        </w:tc>
        <w:tc>
          <w:tcPr>
            <w:tcW w:w="1356" w:type="dxa"/>
            <w:vAlign w:val="center"/>
          </w:tcPr>
          <w:p w:rsidR="00007393" w:rsidRPr="00414345" w:rsidRDefault="00007393" w:rsidP="00C15CAC">
            <w:pPr>
              <w:adjustRightInd w:val="0"/>
              <w:snapToGrid w:val="0"/>
              <w:spacing w:before="29" w:line="288" w:lineRule="auto"/>
              <w:jc w:val="right"/>
              <w:rPr>
                <w:color w:val="0000FF"/>
                <w:kern w:val="0"/>
                <w:sz w:val="18"/>
              </w:rPr>
            </w:pPr>
          </w:p>
        </w:tc>
      </w:tr>
    </w:tbl>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324474">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D63C8" w:rsidRDefault="00366042">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1D63C8" w:rsidRDefault="0036604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、《交银施罗德先锋股票证券投资基金基金合同》；</w:t>
      </w:r>
    </w:p>
    <w:p w:rsidR="001D63C8" w:rsidRDefault="0036604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、《交银施罗德先锋股票证券投资基金招募说明书》；</w:t>
      </w:r>
    </w:p>
    <w:p w:rsidR="001D63C8" w:rsidRDefault="0036604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、《交银施罗德先锋股票证券投资基金托管协议》；</w:t>
      </w:r>
    </w:p>
    <w:p w:rsidR="001D63C8" w:rsidRDefault="00366042">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1D63C8" w:rsidRDefault="00366042">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1D63C8" w:rsidRDefault="00366042">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D63C8" w:rsidRDefault="0036604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4934" w:rsidRDefault="00074934" w:rsidP="00876D65">
      <w:r>
        <w:separator/>
      </w:r>
    </w:p>
  </w:endnote>
  <w:endnote w:type="continuationSeparator" w:id="0">
    <w:p w:rsidR="00074934" w:rsidRDefault="0007493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2355F6">
      <w:rPr>
        <w:kern w:val="0"/>
        <w:szCs w:val="21"/>
      </w:rPr>
      <w:fldChar w:fldCharType="begin"/>
    </w:r>
    <w:r>
      <w:rPr>
        <w:kern w:val="0"/>
        <w:szCs w:val="21"/>
      </w:rPr>
      <w:instrText xml:space="preserve"> PAGE </w:instrText>
    </w:r>
    <w:r w:rsidR="002355F6">
      <w:rPr>
        <w:kern w:val="0"/>
        <w:szCs w:val="21"/>
      </w:rPr>
      <w:fldChar w:fldCharType="separate"/>
    </w:r>
    <w:r w:rsidR="00B00160">
      <w:rPr>
        <w:noProof/>
        <w:kern w:val="0"/>
        <w:szCs w:val="21"/>
      </w:rPr>
      <w:t>1</w:t>
    </w:r>
    <w:r w:rsidR="002355F6">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2355F6">
      <w:rPr>
        <w:kern w:val="0"/>
        <w:szCs w:val="21"/>
      </w:rPr>
      <w:fldChar w:fldCharType="begin"/>
    </w:r>
    <w:r>
      <w:rPr>
        <w:kern w:val="0"/>
        <w:szCs w:val="21"/>
      </w:rPr>
      <w:instrText xml:space="preserve"> NUMPAGES </w:instrText>
    </w:r>
    <w:r w:rsidR="002355F6">
      <w:rPr>
        <w:kern w:val="0"/>
        <w:szCs w:val="21"/>
      </w:rPr>
      <w:fldChar w:fldCharType="separate"/>
    </w:r>
    <w:r w:rsidR="00B00160">
      <w:rPr>
        <w:noProof/>
        <w:kern w:val="0"/>
        <w:szCs w:val="21"/>
      </w:rPr>
      <w:t>11</w:t>
    </w:r>
    <w:r w:rsidR="002355F6">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4934" w:rsidRDefault="00074934" w:rsidP="00876D65">
      <w:r>
        <w:separator/>
      </w:r>
    </w:p>
  </w:footnote>
  <w:footnote w:type="continuationSeparator" w:id="0">
    <w:p w:rsidR="00074934" w:rsidRDefault="0007493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0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7393"/>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74934"/>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3C8"/>
    <w:rsid w:val="001D6A4B"/>
    <w:rsid w:val="001E4630"/>
    <w:rsid w:val="001F0964"/>
    <w:rsid w:val="001F30DA"/>
    <w:rsid w:val="001F5DC5"/>
    <w:rsid w:val="00200FAB"/>
    <w:rsid w:val="00213821"/>
    <w:rsid w:val="00213DFB"/>
    <w:rsid w:val="00217B92"/>
    <w:rsid w:val="0022309F"/>
    <w:rsid w:val="00224294"/>
    <w:rsid w:val="002279D3"/>
    <w:rsid w:val="002355F6"/>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474"/>
    <w:rsid w:val="00324508"/>
    <w:rsid w:val="003259C8"/>
    <w:rsid w:val="003307FE"/>
    <w:rsid w:val="00333AD0"/>
    <w:rsid w:val="00336EAF"/>
    <w:rsid w:val="003470E2"/>
    <w:rsid w:val="0035076C"/>
    <w:rsid w:val="00352719"/>
    <w:rsid w:val="0035383E"/>
    <w:rsid w:val="00355364"/>
    <w:rsid w:val="00364CCB"/>
    <w:rsid w:val="00365798"/>
    <w:rsid w:val="00366042"/>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414A"/>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4E4"/>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00B6"/>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00160"/>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E5EB8"/>
    <w:rsid w:val="00C012F9"/>
    <w:rsid w:val="00C102E6"/>
    <w:rsid w:val="00C15CAC"/>
    <w:rsid w:val="00C21520"/>
    <w:rsid w:val="00C222B2"/>
    <w:rsid w:val="00C225FB"/>
    <w:rsid w:val="00C23547"/>
    <w:rsid w:val="00C24330"/>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762B5D0A-C9AB-4803-BFBD-CA1C18FF9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38276-30CF-4677-87D0-FD932AA4E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1789</TotalTime>
  <Pages>11</Pages>
  <Words>987</Words>
  <Characters>5631</Characters>
  <Application>Microsoft Office Word</Application>
  <DocSecurity>0</DocSecurity>
  <Lines>46</Lines>
  <Paragraphs>13</Paragraphs>
  <ScaleCrop>false</ScaleCrop>
  <Company/>
  <LinksUpToDate>false</LinksUpToDate>
  <CharactersWithSpaces>6605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562</cp:revision>
  <dcterms:created xsi:type="dcterms:W3CDTF">2012-10-16T06:07:00Z</dcterms:created>
  <dcterms:modified xsi:type="dcterms:W3CDTF">2015-01-20T03:42:00Z</dcterms:modified>
</cp:coreProperties>
</file>