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交银施罗德优势行业灵活配置混合型证券投资基金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2014</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2014</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二〇一五年一月二十二日</w:t>
      </w:r>
    </w:p>
    <w:p w:rsidR="004061AC" w:rsidRPr="00414345" w:rsidRDefault="004061AC" w:rsidP="00DD27CC">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511A70" w:rsidRDefault="00A217D6">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511A70" w:rsidRDefault="00A217D6">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2015</w:t>
      </w:r>
      <w:r>
        <w:rPr>
          <w:color w:val="000000"/>
          <w:sz w:val="24"/>
          <w:szCs w:val="24"/>
        </w:rPr>
        <w:t>年</w:t>
      </w:r>
      <w:r>
        <w:rPr>
          <w:color w:val="000000"/>
          <w:sz w:val="24"/>
          <w:szCs w:val="24"/>
        </w:rPr>
        <w:t>1</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511A70" w:rsidRDefault="00A217D6">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511A70" w:rsidRDefault="00A217D6">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511A70" w:rsidRDefault="00A217D6">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2014</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DD27CC">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4"/>
        <w:gridCol w:w="5844"/>
      </w:tblGrid>
      <w:tr w:rsidR="004061AC" w:rsidRPr="00414345" w:rsidTr="00AA6513">
        <w:trPr>
          <w:jc w:val="center"/>
        </w:trPr>
        <w:tc>
          <w:tcPr>
            <w:tcW w:w="2835"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479"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交银优势行业混合</w:t>
            </w:r>
          </w:p>
        </w:tc>
      </w:tr>
      <w:tr w:rsidR="00D94B8D"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479"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519697</w:t>
            </w:r>
          </w:p>
        </w:tc>
      </w:tr>
      <w:tr w:rsidR="001B2F35"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519697</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2009</w:t>
            </w:r>
            <w:r w:rsidRPr="00414345">
              <w:rPr>
                <w:color w:val="000000"/>
                <w:kern w:val="0"/>
                <w:sz w:val="24"/>
                <w:szCs w:val="24"/>
              </w:rPr>
              <w:t>年</w:t>
            </w:r>
            <w:r w:rsidRPr="00414345">
              <w:rPr>
                <w:color w:val="000000"/>
                <w:kern w:val="0"/>
                <w:sz w:val="24"/>
                <w:szCs w:val="24"/>
              </w:rPr>
              <w:t>1</w:t>
            </w:r>
            <w:r w:rsidRPr="00414345">
              <w:rPr>
                <w:color w:val="000000"/>
                <w:kern w:val="0"/>
                <w:sz w:val="24"/>
                <w:szCs w:val="24"/>
              </w:rPr>
              <w:t>月</w:t>
            </w:r>
            <w:r w:rsidRPr="00414345">
              <w:rPr>
                <w:color w:val="000000"/>
                <w:kern w:val="0"/>
                <w:sz w:val="24"/>
                <w:szCs w:val="24"/>
              </w:rPr>
              <w:t>21</w:t>
            </w:r>
            <w:r w:rsidRPr="00414345">
              <w:rPr>
                <w:color w:val="000000"/>
                <w:kern w:val="0"/>
                <w:sz w:val="24"/>
                <w:szCs w:val="24"/>
              </w:rPr>
              <w:t>日</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206,495,289.84</w:t>
            </w:r>
            <w:r w:rsidRPr="00414345">
              <w:rPr>
                <w:color w:val="000000"/>
                <w:kern w:val="0"/>
                <w:sz w:val="24"/>
                <w:szCs w:val="24"/>
              </w:rPr>
              <w:t>份</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根据宏观经济周期和市场环境的变化，自上而下灵活配置资产，积极把握行业发展趋势和行业景气轮换中蕴含的投资机会，在控制风险并保持基金资产良好的流动性的前提下，力求实现基金资产的长期稳定增值。</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周期和市场环境变化趋势的基础上，动态调整投资组合比例，自上而下灵活配置资产；通过把握和判断行业发展趋势及行业景气程度变化，挖掘预期具有良好增长前景的优势行业，精选个股，以谋求超额收益。</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中信标普全债指数收</w:t>
            </w:r>
            <w:r w:rsidRPr="00414345">
              <w:rPr>
                <w:color w:val="000000"/>
                <w:kern w:val="0"/>
                <w:sz w:val="24"/>
                <w:szCs w:val="24"/>
              </w:rPr>
              <w:lastRenderedPageBreak/>
              <w:t>益率</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本基金是一只灵活配置的混合型基金，属于基金中的较高风险品种，风险与预期收益介于股票型基金和债券型基金之间。</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DD27CC">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DC3DF3" w:rsidRPr="00414345" w:rsidTr="00DC3DF3">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(2014</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-2014</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DC3DF3" w:rsidRPr="00414345" w:rsidTr="00DC3DF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30,819,440.96</w:t>
            </w:r>
          </w:p>
        </w:tc>
      </w:tr>
      <w:tr w:rsidR="00DC3DF3" w:rsidRPr="00414345" w:rsidTr="00DC3DF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46,536,980.78</w:t>
            </w:r>
          </w:p>
        </w:tc>
      </w:tr>
      <w:tr w:rsidR="00DC3DF3" w:rsidRPr="00414345" w:rsidTr="00DC3DF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0.2249</w:t>
            </w:r>
          </w:p>
        </w:tc>
      </w:tr>
      <w:tr w:rsidR="00DC3DF3" w:rsidRPr="00414345" w:rsidTr="00DC3DF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317,589,142.51</w:t>
            </w:r>
          </w:p>
        </w:tc>
      </w:tr>
      <w:tr w:rsidR="00DC3DF3" w:rsidRPr="00414345" w:rsidTr="00DC3DF3">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1.538</w:t>
            </w:r>
          </w:p>
        </w:tc>
      </w:tr>
    </w:tbl>
    <w:p w:rsidR="00511A70" w:rsidRDefault="00A217D6">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511A70">
        <w:trPr>
          <w:jc w:val="center"/>
        </w:trPr>
        <w:tc>
          <w:tcPr>
            <w:tcW w:w="1701" w:type="dxa"/>
            <w:vAlign w:val="center"/>
          </w:tcPr>
          <w:p w:rsidR="00511A70" w:rsidRDefault="00A217D6">
            <w:pPr>
              <w:jc w:val="left"/>
            </w:pPr>
            <w:r>
              <w:rPr>
                <w:color w:val="000000"/>
                <w:sz w:val="24"/>
                <w:szCs w:val="24"/>
              </w:rPr>
              <w:t>过去三个月</w:t>
            </w:r>
          </w:p>
        </w:tc>
        <w:tc>
          <w:tcPr>
            <w:tcW w:w="1045" w:type="dxa"/>
            <w:vAlign w:val="center"/>
          </w:tcPr>
          <w:p w:rsidR="00511A70" w:rsidRDefault="00A217D6">
            <w:pPr>
              <w:jc w:val="center"/>
            </w:pPr>
            <w:r>
              <w:rPr>
                <w:color w:val="000000"/>
                <w:sz w:val="24"/>
                <w:szCs w:val="24"/>
              </w:rPr>
              <w:t>16.16%</w:t>
            </w:r>
          </w:p>
        </w:tc>
        <w:tc>
          <w:tcPr>
            <w:tcW w:w="1344" w:type="dxa"/>
            <w:vAlign w:val="center"/>
          </w:tcPr>
          <w:p w:rsidR="00511A70" w:rsidRDefault="00A217D6">
            <w:pPr>
              <w:jc w:val="center"/>
            </w:pPr>
            <w:r>
              <w:rPr>
                <w:color w:val="000000"/>
                <w:sz w:val="24"/>
                <w:szCs w:val="24"/>
              </w:rPr>
              <w:t>1.26%</w:t>
            </w:r>
          </w:p>
        </w:tc>
        <w:tc>
          <w:tcPr>
            <w:tcW w:w="1194" w:type="dxa"/>
            <w:vAlign w:val="center"/>
          </w:tcPr>
          <w:p w:rsidR="00511A70" w:rsidRDefault="00A217D6">
            <w:pPr>
              <w:jc w:val="center"/>
            </w:pPr>
            <w:r>
              <w:rPr>
                <w:color w:val="000000"/>
                <w:sz w:val="24"/>
                <w:szCs w:val="24"/>
              </w:rPr>
              <w:t>26.57%</w:t>
            </w:r>
          </w:p>
        </w:tc>
        <w:tc>
          <w:tcPr>
            <w:tcW w:w="1492" w:type="dxa"/>
            <w:vAlign w:val="center"/>
          </w:tcPr>
          <w:p w:rsidR="00511A70" w:rsidRDefault="00A217D6">
            <w:pPr>
              <w:jc w:val="center"/>
            </w:pPr>
            <w:r>
              <w:rPr>
                <w:color w:val="000000"/>
                <w:sz w:val="24"/>
                <w:szCs w:val="24"/>
              </w:rPr>
              <w:t>1.03%</w:t>
            </w:r>
          </w:p>
        </w:tc>
        <w:tc>
          <w:tcPr>
            <w:tcW w:w="1194" w:type="dxa"/>
            <w:vAlign w:val="center"/>
          </w:tcPr>
          <w:p w:rsidR="00511A70" w:rsidRDefault="00A217D6">
            <w:pPr>
              <w:jc w:val="center"/>
            </w:pPr>
            <w:r>
              <w:rPr>
                <w:color w:val="000000"/>
                <w:sz w:val="24"/>
                <w:szCs w:val="24"/>
              </w:rPr>
              <w:t>-10.41%</w:t>
            </w:r>
          </w:p>
        </w:tc>
        <w:tc>
          <w:tcPr>
            <w:tcW w:w="898" w:type="dxa"/>
            <w:vAlign w:val="center"/>
          </w:tcPr>
          <w:p w:rsidR="00511A70" w:rsidRDefault="00A217D6">
            <w:pPr>
              <w:jc w:val="center"/>
            </w:pPr>
            <w:r>
              <w:rPr>
                <w:color w:val="000000"/>
                <w:sz w:val="24"/>
                <w:szCs w:val="24"/>
              </w:rPr>
              <w:t>0.23%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交银施罗德优势行业灵活配置混合型证券投资基金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lastRenderedPageBreak/>
        <w:t>（</w:t>
      </w:r>
      <w:r w:rsidR="0042009D" w:rsidRPr="00414345">
        <w:rPr>
          <w:rFonts w:ascii="Times New Roman" w:hAnsi="Times New Roman" w:cs="Times New Roman"/>
          <w:sz w:val="24"/>
          <w:szCs w:val="24"/>
        </w:rPr>
        <w:t>20</w:t>
      </w:r>
      <w:r w:rsidR="00DC3DF3">
        <w:rPr>
          <w:rFonts w:ascii="Times New Roman" w:hAnsi="Times New Roman" w:cs="Times New Roman" w:hint="eastAsia"/>
          <w:sz w:val="24"/>
          <w:szCs w:val="24"/>
        </w:rPr>
        <w:t>12</w:t>
      </w:r>
      <w:r w:rsidR="0042009D" w:rsidRPr="00414345">
        <w:rPr>
          <w:rFonts w:ascii="Times New Roman" w:hAnsi="Times New Roman" w:cs="Times New Roman"/>
          <w:sz w:val="24"/>
          <w:szCs w:val="24"/>
        </w:rPr>
        <w:t>年</w:t>
      </w:r>
      <w:r w:rsidR="00DC3DF3">
        <w:rPr>
          <w:rFonts w:ascii="Times New Roman" w:hAnsi="Times New Roman" w:cs="Times New Roman" w:hint="eastAsia"/>
          <w:sz w:val="24"/>
          <w:szCs w:val="24"/>
        </w:rPr>
        <w:t>2</w:t>
      </w:r>
      <w:r w:rsidR="0042009D" w:rsidRPr="00414345">
        <w:rPr>
          <w:rFonts w:ascii="Times New Roman" w:hAnsi="Times New Roman" w:cs="Times New Roman"/>
          <w:sz w:val="24"/>
          <w:szCs w:val="24"/>
        </w:rPr>
        <w:t>月</w:t>
      </w:r>
      <w:r w:rsidR="00DC3DF3">
        <w:rPr>
          <w:rFonts w:ascii="Times New Roman" w:hAnsi="Times New Roman" w:cs="Times New Roman" w:hint="eastAsia"/>
          <w:sz w:val="24"/>
          <w:szCs w:val="24"/>
        </w:rPr>
        <w:t>3</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2014</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注：交银施罗德优势行业灵活配置混合型证券投资基金由交银施罗德保本混合型证券投资基金转型而来。基金转型日为</w:t>
      </w:r>
      <w:r w:rsidRPr="00414345">
        <w:rPr>
          <w:color w:val="000000"/>
          <w:sz w:val="24"/>
          <w:szCs w:val="24"/>
        </w:rPr>
        <w:t>2012</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3</w:t>
      </w:r>
      <w:r w:rsidRPr="00414345">
        <w:rPr>
          <w:color w:val="000000"/>
          <w:sz w:val="24"/>
          <w:szCs w:val="24"/>
        </w:rPr>
        <w:t>日。交银施罗德优势行业灵活配置混合型证券投资基金的投资转型期为交银施罗德保本混合型证券投资基金保本周期到期选择期截止日次日（即</w:t>
      </w:r>
      <w:r w:rsidRPr="00414345">
        <w:rPr>
          <w:color w:val="000000"/>
          <w:sz w:val="24"/>
          <w:szCs w:val="24"/>
        </w:rPr>
        <w:t>2012</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3</w:t>
      </w:r>
      <w:r w:rsidRPr="00414345">
        <w:rPr>
          <w:color w:val="000000"/>
          <w:sz w:val="24"/>
          <w:szCs w:val="24"/>
        </w:rPr>
        <w:t>日）起的</w:t>
      </w:r>
      <w:r w:rsidRPr="00414345">
        <w:rPr>
          <w:color w:val="000000"/>
          <w:sz w:val="24"/>
          <w:szCs w:val="24"/>
        </w:rPr>
        <w:t>3</w:t>
      </w:r>
      <w:r w:rsidRPr="00414345">
        <w:rPr>
          <w:color w:val="000000"/>
          <w:sz w:val="24"/>
          <w:szCs w:val="24"/>
        </w:rPr>
        <w:t>个月。截至投资转型期结束，交银施罗德优势行业灵活配置混合型证券投资基金各项资产配置比例符合基金合同及招募说明书有关投资比例的约定。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DD27CC">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511A70">
        <w:trPr>
          <w:jc w:val="center"/>
        </w:trPr>
        <w:tc>
          <w:tcPr>
            <w:tcW w:w="846" w:type="dxa"/>
            <w:vAlign w:val="center"/>
          </w:tcPr>
          <w:p w:rsidR="00511A70" w:rsidRDefault="00A217D6">
            <w:pPr>
              <w:jc w:val="center"/>
            </w:pPr>
            <w:r>
              <w:rPr>
                <w:color w:val="000000"/>
                <w:sz w:val="24"/>
                <w:szCs w:val="24"/>
              </w:rPr>
              <w:t>张迎军</w:t>
            </w:r>
          </w:p>
        </w:tc>
        <w:tc>
          <w:tcPr>
            <w:tcW w:w="845" w:type="dxa"/>
            <w:vAlign w:val="center"/>
          </w:tcPr>
          <w:p w:rsidR="00511A70" w:rsidRDefault="00A217D6">
            <w:pPr>
              <w:jc w:val="center"/>
            </w:pPr>
            <w:r>
              <w:rPr>
                <w:color w:val="000000"/>
                <w:sz w:val="24"/>
                <w:szCs w:val="24"/>
              </w:rPr>
              <w:t>本基金、交银蓝筹股票、交银定期支付双息平衡混合的基金经理，公司权益部副总经理</w:t>
            </w:r>
          </w:p>
        </w:tc>
        <w:tc>
          <w:tcPr>
            <w:tcW w:w="1549" w:type="dxa"/>
            <w:vAlign w:val="center"/>
          </w:tcPr>
          <w:p w:rsidR="00511A70" w:rsidRDefault="00A217D6">
            <w:pPr>
              <w:jc w:val="center"/>
            </w:pPr>
            <w:r>
              <w:rPr>
                <w:color w:val="000000"/>
                <w:sz w:val="24"/>
                <w:szCs w:val="24"/>
              </w:rPr>
              <w:t>2009-01-21</w:t>
            </w:r>
          </w:p>
        </w:tc>
        <w:tc>
          <w:tcPr>
            <w:tcW w:w="1548" w:type="dxa"/>
            <w:vAlign w:val="center"/>
          </w:tcPr>
          <w:p w:rsidR="00511A70" w:rsidRDefault="00A217D6">
            <w:pPr>
              <w:jc w:val="center"/>
            </w:pPr>
            <w:r>
              <w:rPr>
                <w:color w:val="000000"/>
                <w:sz w:val="24"/>
                <w:szCs w:val="24"/>
              </w:rPr>
              <w:t>-</w:t>
            </w:r>
          </w:p>
        </w:tc>
        <w:tc>
          <w:tcPr>
            <w:tcW w:w="1407" w:type="dxa"/>
            <w:vAlign w:val="center"/>
          </w:tcPr>
          <w:p w:rsidR="00511A70" w:rsidRDefault="00A217D6">
            <w:pPr>
              <w:jc w:val="center"/>
            </w:pPr>
            <w:r>
              <w:rPr>
                <w:color w:val="000000"/>
                <w:sz w:val="24"/>
                <w:szCs w:val="24"/>
              </w:rPr>
              <w:t>14</w:t>
            </w:r>
            <w:r>
              <w:rPr>
                <w:color w:val="000000"/>
                <w:sz w:val="24"/>
                <w:szCs w:val="24"/>
              </w:rPr>
              <w:t>年</w:t>
            </w:r>
          </w:p>
        </w:tc>
        <w:tc>
          <w:tcPr>
            <w:tcW w:w="2673" w:type="dxa"/>
            <w:vAlign w:val="center"/>
          </w:tcPr>
          <w:p w:rsidR="00511A70" w:rsidRDefault="00A217D6">
            <w:r>
              <w:rPr>
                <w:color w:val="000000"/>
                <w:sz w:val="24"/>
                <w:szCs w:val="24"/>
              </w:rPr>
              <w:t>张迎军先生，经济学硕士。历任申银万国证券研究所市场研究部、策略研究部研究员，中国太平洋保险（集团）股份有限公司资金运用管理中心投资经理，太平洋资产管理有限公司组合管理部组合经理。</w:t>
            </w:r>
            <w:r>
              <w:rPr>
                <w:color w:val="000000"/>
                <w:sz w:val="24"/>
                <w:szCs w:val="24"/>
              </w:rPr>
              <w:t>2008</w:t>
            </w:r>
            <w:r>
              <w:rPr>
                <w:color w:val="000000"/>
                <w:sz w:val="24"/>
                <w:szCs w:val="24"/>
              </w:rPr>
              <w:t>年加入交银施罗德基金管理有限公司，历任固定收益部副总经理。</w:t>
            </w:r>
            <w:r>
              <w:rPr>
                <w:color w:val="000000"/>
                <w:sz w:val="24"/>
                <w:szCs w:val="24"/>
              </w:rPr>
              <w:t>2009</w:t>
            </w:r>
            <w:r>
              <w:rPr>
                <w:color w:val="000000"/>
                <w:sz w:val="24"/>
                <w:szCs w:val="24"/>
              </w:rPr>
              <w:t>年</w:t>
            </w:r>
            <w:r>
              <w:rPr>
                <w:color w:val="000000"/>
                <w:sz w:val="24"/>
                <w:szCs w:val="24"/>
              </w:rPr>
              <w:t>1</w:t>
            </w:r>
            <w:r>
              <w:rPr>
                <w:color w:val="000000"/>
                <w:sz w:val="24"/>
                <w:szCs w:val="24"/>
              </w:rPr>
              <w:t>月</w:t>
            </w:r>
            <w:r>
              <w:rPr>
                <w:color w:val="000000"/>
                <w:sz w:val="24"/>
                <w:szCs w:val="24"/>
              </w:rPr>
              <w:t>21</w:t>
            </w:r>
            <w:r>
              <w:rPr>
                <w:color w:val="000000"/>
                <w:sz w:val="24"/>
                <w:szCs w:val="24"/>
              </w:rPr>
              <w:t>日至</w:t>
            </w:r>
            <w:r>
              <w:rPr>
                <w:color w:val="000000"/>
                <w:sz w:val="24"/>
                <w:szCs w:val="24"/>
              </w:rPr>
              <w:t>2012</w:t>
            </w:r>
            <w:r>
              <w:rPr>
                <w:color w:val="000000"/>
                <w:sz w:val="24"/>
                <w:szCs w:val="24"/>
              </w:rPr>
              <w:t>年</w:t>
            </w:r>
            <w:r>
              <w:rPr>
                <w:color w:val="000000"/>
                <w:sz w:val="24"/>
                <w:szCs w:val="24"/>
              </w:rPr>
              <w:t>2</w:t>
            </w:r>
            <w:r>
              <w:rPr>
                <w:color w:val="000000"/>
                <w:sz w:val="24"/>
                <w:szCs w:val="24"/>
              </w:rPr>
              <w:t>月</w:t>
            </w:r>
            <w:r>
              <w:rPr>
                <w:color w:val="000000"/>
                <w:sz w:val="24"/>
                <w:szCs w:val="24"/>
              </w:rPr>
              <w:t>2</w:t>
            </w:r>
            <w:r>
              <w:rPr>
                <w:color w:val="000000"/>
                <w:sz w:val="24"/>
                <w:szCs w:val="24"/>
              </w:rPr>
              <w:t>日担任本基金转型前的交银施罗德保本混合型证券投资基金基金经理，</w:t>
            </w:r>
            <w:r>
              <w:rPr>
                <w:color w:val="000000"/>
                <w:sz w:val="24"/>
                <w:szCs w:val="24"/>
              </w:rPr>
              <w:t>2011</w:t>
            </w:r>
            <w:r>
              <w:rPr>
                <w:color w:val="000000"/>
                <w:sz w:val="24"/>
                <w:szCs w:val="24"/>
              </w:rPr>
              <w:t>年</w:t>
            </w:r>
            <w:r>
              <w:rPr>
                <w:color w:val="000000"/>
                <w:sz w:val="24"/>
                <w:szCs w:val="24"/>
              </w:rPr>
              <w:t>5</w:t>
            </w:r>
            <w:r>
              <w:rPr>
                <w:color w:val="000000"/>
                <w:sz w:val="24"/>
                <w:szCs w:val="24"/>
              </w:rPr>
              <w:t>月</w:t>
            </w:r>
            <w:r>
              <w:rPr>
                <w:color w:val="000000"/>
                <w:sz w:val="24"/>
                <w:szCs w:val="24"/>
              </w:rPr>
              <w:t>3</w:t>
            </w:r>
            <w:r>
              <w:rPr>
                <w:color w:val="000000"/>
                <w:sz w:val="24"/>
                <w:szCs w:val="24"/>
              </w:rPr>
              <w:t>日至</w:t>
            </w:r>
            <w:r>
              <w:rPr>
                <w:color w:val="000000"/>
                <w:sz w:val="24"/>
                <w:szCs w:val="24"/>
              </w:rPr>
              <w:t>2013</w:t>
            </w:r>
            <w:r>
              <w:rPr>
                <w:color w:val="000000"/>
                <w:sz w:val="24"/>
                <w:szCs w:val="24"/>
              </w:rPr>
              <w:t>年</w:t>
            </w:r>
            <w:r>
              <w:rPr>
                <w:color w:val="000000"/>
                <w:sz w:val="24"/>
                <w:szCs w:val="24"/>
              </w:rPr>
              <w:t>9</w:t>
            </w:r>
            <w:r>
              <w:rPr>
                <w:color w:val="000000"/>
                <w:sz w:val="24"/>
                <w:szCs w:val="24"/>
              </w:rPr>
              <w:t>月</w:t>
            </w:r>
            <w:r>
              <w:rPr>
                <w:color w:val="000000"/>
                <w:sz w:val="24"/>
                <w:szCs w:val="24"/>
              </w:rPr>
              <w:t>2</w:t>
            </w:r>
            <w:r>
              <w:rPr>
                <w:color w:val="000000"/>
                <w:sz w:val="24"/>
                <w:szCs w:val="24"/>
              </w:rPr>
              <w:t>日担任交银施罗德趋势优先股票证券投资基金基金经理。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511A70" w:rsidRDefault="00A217D6">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511A70" w:rsidRDefault="00A217D6">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511A70" w:rsidRDefault="00A217D6">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w:t>
      </w:r>
      <w:r w:rsidRPr="00414345">
        <w:rPr>
          <w:color w:val="000000"/>
          <w:sz w:val="24"/>
          <w:szCs w:val="24"/>
        </w:rPr>
        <w:t>,</w:t>
      </w:r>
      <w:r w:rsidRPr="00414345">
        <w:rPr>
          <w:color w:val="000000"/>
          <w:sz w:val="24"/>
          <w:szCs w:val="24"/>
        </w:rPr>
        <w:t>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511A70" w:rsidRDefault="00A217D6">
      <w:pPr>
        <w:spacing w:before="29" w:line="288" w:lineRule="auto"/>
        <w:ind w:firstLineChars="200" w:firstLine="480"/>
        <w:rPr>
          <w:color w:val="000000"/>
          <w:sz w:val="24"/>
          <w:szCs w:val="24"/>
        </w:rPr>
      </w:pPr>
      <w:r>
        <w:rPr>
          <w:color w:val="000000"/>
          <w:sz w:val="24"/>
          <w:szCs w:val="24"/>
        </w:rPr>
        <w:t>2014</w:t>
      </w:r>
      <w:r>
        <w:rPr>
          <w:color w:val="000000"/>
          <w:sz w:val="24"/>
          <w:szCs w:val="24"/>
        </w:rPr>
        <w:t>年四季度沪深股市走出大幅上涨行情，沪深</w:t>
      </w:r>
      <w:r>
        <w:rPr>
          <w:color w:val="000000"/>
          <w:sz w:val="24"/>
          <w:szCs w:val="24"/>
        </w:rPr>
        <w:t>300</w:t>
      </w:r>
      <w:r>
        <w:rPr>
          <w:color w:val="000000"/>
          <w:sz w:val="24"/>
          <w:szCs w:val="24"/>
        </w:rPr>
        <w:t>指数上涨</w:t>
      </w:r>
      <w:r>
        <w:rPr>
          <w:color w:val="000000"/>
          <w:sz w:val="24"/>
          <w:szCs w:val="24"/>
        </w:rPr>
        <w:t>44.17%</w:t>
      </w:r>
      <w:r>
        <w:rPr>
          <w:color w:val="000000"/>
          <w:sz w:val="24"/>
          <w:szCs w:val="24"/>
        </w:rPr>
        <w:t>，中小板指数下跌</w:t>
      </w:r>
      <w:r>
        <w:rPr>
          <w:color w:val="000000"/>
          <w:sz w:val="24"/>
          <w:szCs w:val="24"/>
        </w:rPr>
        <w:t>2.56%</w:t>
      </w:r>
      <w:r>
        <w:rPr>
          <w:color w:val="000000"/>
          <w:sz w:val="24"/>
          <w:szCs w:val="24"/>
        </w:rPr>
        <w:t>，创业板指数下跌</w:t>
      </w:r>
      <w:r>
        <w:rPr>
          <w:color w:val="000000"/>
          <w:sz w:val="24"/>
          <w:szCs w:val="24"/>
        </w:rPr>
        <w:t>4.49%</w:t>
      </w:r>
      <w:r>
        <w:rPr>
          <w:color w:val="000000"/>
          <w:sz w:val="24"/>
          <w:szCs w:val="24"/>
        </w:rPr>
        <w:t>。受到股市上涨的刺激，上证、深证转债指数分别大幅上涨</w:t>
      </w:r>
      <w:r>
        <w:rPr>
          <w:color w:val="000000"/>
          <w:sz w:val="24"/>
          <w:szCs w:val="24"/>
        </w:rPr>
        <w:t>44.11%</w:t>
      </w:r>
      <w:r>
        <w:rPr>
          <w:color w:val="000000"/>
          <w:sz w:val="24"/>
          <w:szCs w:val="24"/>
        </w:rPr>
        <w:t>、</w:t>
      </w:r>
      <w:r>
        <w:rPr>
          <w:color w:val="000000"/>
          <w:sz w:val="24"/>
          <w:szCs w:val="24"/>
        </w:rPr>
        <w:t>26.27%</w:t>
      </w:r>
      <w:r>
        <w:rPr>
          <w:color w:val="000000"/>
          <w:sz w:val="24"/>
          <w:szCs w:val="24"/>
        </w:rPr>
        <w:t>，全债指数小幅上涨，中信全债指数上涨</w:t>
      </w:r>
      <w:r>
        <w:rPr>
          <w:color w:val="000000"/>
          <w:sz w:val="24"/>
          <w:szCs w:val="24"/>
        </w:rPr>
        <w:t>3.62%</w:t>
      </w:r>
      <w:r>
        <w:rPr>
          <w:color w:val="000000"/>
          <w:sz w:val="24"/>
          <w:szCs w:val="24"/>
        </w:rPr>
        <w:t>。本季度沪深股市以金融股为代表的蓝筹股崛起带动沪深</w:t>
      </w:r>
      <w:r>
        <w:rPr>
          <w:color w:val="000000"/>
          <w:sz w:val="24"/>
          <w:szCs w:val="24"/>
        </w:rPr>
        <w:t>300</w:t>
      </w:r>
      <w:r>
        <w:rPr>
          <w:color w:val="000000"/>
          <w:sz w:val="24"/>
          <w:szCs w:val="24"/>
        </w:rPr>
        <w:t>指数大幅上涨，本基金虽然也及时增持了券商、银行等蓝筹股，但股票组合配置仍属于均衡配置特征，因此本季度基金净值表现弱于业绩比较基准。</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回顾</w:t>
      </w:r>
      <w:r w:rsidRPr="00414345">
        <w:rPr>
          <w:color w:val="000000"/>
          <w:sz w:val="24"/>
          <w:szCs w:val="24"/>
        </w:rPr>
        <w:t>2014</w:t>
      </w:r>
      <w:r w:rsidRPr="00414345">
        <w:rPr>
          <w:color w:val="000000"/>
          <w:sz w:val="24"/>
          <w:szCs w:val="24"/>
        </w:rPr>
        <w:t>年沪深股市行情，上半年是仍以创业板为代表的结构性行情，下半年尤其是四季度则走出了波澜壮阔的主板蓝筹股牛市行情。行情转换的重要原因是</w:t>
      </w:r>
      <w:r w:rsidRPr="00414345">
        <w:rPr>
          <w:color w:val="000000"/>
          <w:sz w:val="24"/>
          <w:szCs w:val="24"/>
        </w:rPr>
        <w:t>2014</w:t>
      </w:r>
      <w:r w:rsidRPr="00414345">
        <w:rPr>
          <w:color w:val="000000"/>
          <w:sz w:val="24"/>
          <w:szCs w:val="24"/>
        </w:rPr>
        <w:t>年上半年主要还是存量资金博弈，而下半年则是增量资金快速入场加杠杆行情。而背后的深层次原因可能在于房地产市场持续降温的背景下，国内资产需要重新配置。随着刚性兑付逐步被打破，无风险利率下降，股票资产成为重新配置资产的重要标的之一。新增资金持续进入股市与</w:t>
      </w:r>
      <w:r w:rsidRPr="00414345">
        <w:rPr>
          <w:color w:val="000000"/>
          <w:sz w:val="24"/>
          <w:szCs w:val="24"/>
        </w:rPr>
        <w:t>A</w:t>
      </w:r>
      <w:r w:rsidRPr="00414345">
        <w:rPr>
          <w:color w:val="000000"/>
          <w:sz w:val="24"/>
          <w:szCs w:val="24"/>
        </w:rPr>
        <w:t>股市场盈利示范效应形成良性互动。展望</w:t>
      </w:r>
      <w:r w:rsidRPr="00414345">
        <w:rPr>
          <w:color w:val="000000"/>
          <w:sz w:val="24"/>
          <w:szCs w:val="24"/>
        </w:rPr>
        <w:t>2015</w:t>
      </w:r>
      <w:r w:rsidRPr="00414345">
        <w:rPr>
          <w:color w:val="000000"/>
          <w:sz w:val="24"/>
          <w:szCs w:val="24"/>
        </w:rPr>
        <w:t>年一季度，上述格局仍将延续，但市场的波动幅度将会加大。监管政策对增量资金入场的影响以及对降息、降准预期的变化，将会成为市场波动的重要因素。预期以金融股为代表的低估值蓝筹股仍将是资金追逐的焦点，而经过调整之后的部分成长股也会具有较好的投资机会。本基金管理人将更加勤勉地深入研究投资标的基本面，高度关注资本市场可能出现的投资机会与风险，及时调整基金组合，努力为基金投资人创造较好的业绩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2014</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1.538</w:t>
      </w:r>
      <w:r w:rsidRPr="00414345">
        <w:rPr>
          <w:color w:val="000000"/>
          <w:sz w:val="24"/>
          <w:szCs w:val="24"/>
        </w:rPr>
        <w:t>元，本报告期份额净值增长率为</w:t>
      </w:r>
      <w:r w:rsidRPr="00414345">
        <w:rPr>
          <w:color w:val="000000"/>
          <w:sz w:val="24"/>
          <w:szCs w:val="24"/>
        </w:rPr>
        <w:t>16.16%</w:t>
      </w:r>
      <w:r w:rsidRPr="00414345">
        <w:rPr>
          <w:color w:val="000000"/>
          <w:sz w:val="24"/>
          <w:szCs w:val="24"/>
        </w:rPr>
        <w:t>，同期业绩比较基准增长率为</w:t>
      </w:r>
      <w:r w:rsidRPr="00414345">
        <w:rPr>
          <w:color w:val="000000"/>
          <w:sz w:val="24"/>
          <w:szCs w:val="24"/>
        </w:rPr>
        <w:t>26.57%</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r w:rsidRPr="002070B4">
        <w:rPr>
          <w:color w:val="000000"/>
          <w:sz w:val="24"/>
        </w:rPr>
        <w:t xml:space="preserve"> </w:t>
      </w:r>
    </w:p>
    <w:p w:rsidR="004061AC" w:rsidRPr="00414345" w:rsidRDefault="004061AC" w:rsidP="00DD27CC">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231,294,400.97</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66.00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231,294,400.97</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66.00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108,368,429.12</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30.92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108,368,429.12</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30.92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8,649,076.92</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2.47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2,159,827.51</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0.62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350,471,734.52</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65,191,954.65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20.53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43,276,485.40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13.63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6,420,000.00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32,299,830.54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10.17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70,027,773.25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22.05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9,084,179.13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4,994,178.00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231,294,400.97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72.83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511A70">
        <w:trPr>
          <w:jc w:val="center"/>
        </w:trPr>
        <w:tc>
          <w:tcPr>
            <w:tcW w:w="855" w:type="dxa"/>
            <w:vAlign w:val="center"/>
          </w:tcPr>
          <w:p w:rsidR="00511A70" w:rsidRDefault="00A217D6">
            <w:pPr>
              <w:jc w:val="center"/>
            </w:pPr>
            <w:r>
              <w:rPr>
                <w:color w:val="000000"/>
                <w:sz w:val="24"/>
                <w:szCs w:val="24"/>
              </w:rPr>
              <w:t>1</w:t>
            </w:r>
          </w:p>
        </w:tc>
        <w:tc>
          <w:tcPr>
            <w:tcW w:w="1334" w:type="dxa"/>
            <w:vAlign w:val="center"/>
          </w:tcPr>
          <w:p w:rsidR="00511A70" w:rsidRDefault="00A217D6">
            <w:pPr>
              <w:jc w:val="center"/>
            </w:pPr>
            <w:r>
              <w:rPr>
                <w:color w:val="000000"/>
                <w:sz w:val="24"/>
                <w:szCs w:val="24"/>
              </w:rPr>
              <w:t>601668</w:t>
            </w:r>
          </w:p>
        </w:tc>
        <w:tc>
          <w:tcPr>
            <w:tcW w:w="1777" w:type="dxa"/>
            <w:vAlign w:val="center"/>
          </w:tcPr>
          <w:p w:rsidR="00511A70" w:rsidRDefault="00A217D6">
            <w:pPr>
              <w:jc w:val="center"/>
            </w:pPr>
            <w:r>
              <w:rPr>
                <w:color w:val="000000"/>
                <w:sz w:val="24"/>
                <w:szCs w:val="24"/>
              </w:rPr>
              <w:t>中国建筑</w:t>
            </w:r>
          </w:p>
        </w:tc>
        <w:tc>
          <w:tcPr>
            <w:tcW w:w="1334" w:type="dxa"/>
            <w:vAlign w:val="center"/>
          </w:tcPr>
          <w:p w:rsidR="00511A70" w:rsidRDefault="00A217D6">
            <w:pPr>
              <w:jc w:val="right"/>
            </w:pPr>
            <w:r>
              <w:rPr>
                <w:color w:val="000000"/>
                <w:sz w:val="24"/>
                <w:szCs w:val="24"/>
              </w:rPr>
              <w:t>2,450,000</w:t>
            </w:r>
          </w:p>
        </w:tc>
        <w:tc>
          <w:tcPr>
            <w:tcW w:w="1924" w:type="dxa"/>
            <w:vAlign w:val="center"/>
          </w:tcPr>
          <w:p w:rsidR="00511A70" w:rsidRDefault="00A217D6">
            <w:pPr>
              <w:jc w:val="right"/>
            </w:pPr>
            <w:r>
              <w:rPr>
                <w:color w:val="000000"/>
                <w:sz w:val="24"/>
                <w:szCs w:val="24"/>
              </w:rPr>
              <w:t>17,836,000.00</w:t>
            </w:r>
          </w:p>
        </w:tc>
        <w:tc>
          <w:tcPr>
            <w:tcW w:w="1644" w:type="dxa"/>
            <w:vAlign w:val="center"/>
          </w:tcPr>
          <w:p w:rsidR="00511A70" w:rsidRDefault="00A217D6">
            <w:pPr>
              <w:jc w:val="right"/>
            </w:pPr>
            <w:r>
              <w:rPr>
                <w:color w:val="000000"/>
                <w:sz w:val="24"/>
                <w:szCs w:val="24"/>
              </w:rPr>
              <w:t>5.62</w:t>
            </w:r>
          </w:p>
        </w:tc>
      </w:tr>
      <w:tr w:rsidR="00511A70">
        <w:trPr>
          <w:jc w:val="center"/>
        </w:trPr>
        <w:tc>
          <w:tcPr>
            <w:tcW w:w="855" w:type="dxa"/>
            <w:vAlign w:val="center"/>
          </w:tcPr>
          <w:p w:rsidR="00511A70" w:rsidRDefault="00A217D6">
            <w:pPr>
              <w:jc w:val="center"/>
            </w:pPr>
            <w:r>
              <w:rPr>
                <w:color w:val="000000"/>
                <w:sz w:val="24"/>
                <w:szCs w:val="24"/>
              </w:rPr>
              <w:t>2</w:t>
            </w:r>
          </w:p>
        </w:tc>
        <w:tc>
          <w:tcPr>
            <w:tcW w:w="1334" w:type="dxa"/>
            <w:vAlign w:val="center"/>
          </w:tcPr>
          <w:p w:rsidR="00511A70" w:rsidRDefault="00A217D6">
            <w:pPr>
              <w:jc w:val="center"/>
            </w:pPr>
            <w:r>
              <w:rPr>
                <w:color w:val="000000"/>
                <w:sz w:val="24"/>
                <w:szCs w:val="24"/>
              </w:rPr>
              <w:t>601688</w:t>
            </w:r>
          </w:p>
        </w:tc>
        <w:tc>
          <w:tcPr>
            <w:tcW w:w="1777" w:type="dxa"/>
            <w:vAlign w:val="center"/>
          </w:tcPr>
          <w:p w:rsidR="00511A70" w:rsidRDefault="00A217D6">
            <w:pPr>
              <w:jc w:val="center"/>
            </w:pPr>
            <w:r>
              <w:rPr>
                <w:color w:val="000000"/>
                <w:sz w:val="24"/>
                <w:szCs w:val="24"/>
              </w:rPr>
              <w:t>华泰证券</w:t>
            </w:r>
          </w:p>
        </w:tc>
        <w:tc>
          <w:tcPr>
            <w:tcW w:w="1334" w:type="dxa"/>
            <w:vAlign w:val="center"/>
          </w:tcPr>
          <w:p w:rsidR="00511A70" w:rsidRDefault="00A217D6">
            <w:pPr>
              <w:jc w:val="right"/>
            </w:pPr>
            <w:r>
              <w:rPr>
                <w:color w:val="000000"/>
                <w:sz w:val="24"/>
                <w:szCs w:val="24"/>
              </w:rPr>
              <w:t>605,000</w:t>
            </w:r>
          </w:p>
        </w:tc>
        <w:tc>
          <w:tcPr>
            <w:tcW w:w="1924" w:type="dxa"/>
            <w:vAlign w:val="center"/>
          </w:tcPr>
          <w:p w:rsidR="00511A70" w:rsidRDefault="00A217D6">
            <w:pPr>
              <w:jc w:val="right"/>
            </w:pPr>
            <w:r>
              <w:rPr>
                <w:color w:val="000000"/>
                <w:sz w:val="24"/>
                <w:szCs w:val="24"/>
              </w:rPr>
              <w:t>14,804,350.00</w:t>
            </w:r>
          </w:p>
        </w:tc>
        <w:tc>
          <w:tcPr>
            <w:tcW w:w="1644" w:type="dxa"/>
            <w:vAlign w:val="center"/>
          </w:tcPr>
          <w:p w:rsidR="00511A70" w:rsidRDefault="00A217D6">
            <w:pPr>
              <w:jc w:val="right"/>
            </w:pPr>
            <w:r>
              <w:rPr>
                <w:color w:val="000000"/>
                <w:sz w:val="24"/>
                <w:szCs w:val="24"/>
              </w:rPr>
              <w:t>4.66</w:t>
            </w:r>
          </w:p>
        </w:tc>
      </w:tr>
      <w:tr w:rsidR="00511A70">
        <w:trPr>
          <w:jc w:val="center"/>
        </w:trPr>
        <w:tc>
          <w:tcPr>
            <w:tcW w:w="855" w:type="dxa"/>
            <w:vAlign w:val="center"/>
          </w:tcPr>
          <w:p w:rsidR="00511A70" w:rsidRDefault="00A217D6">
            <w:pPr>
              <w:jc w:val="center"/>
            </w:pPr>
            <w:r>
              <w:rPr>
                <w:color w:val="000000"/>
                <w:sz w:val="24"/>
                <w:szCs w:val="24"/>
              </w:rPr>
              <w:t>3</w:t>
            </w:r>
          </w:p>
        </w:tc>
        <w:tc>
          <w:tcPr>
            <w:tcW w:w="1334" w:type="dxa"/>
            <w:vAlign w:val="center"/>
          </w:tcPr>
          <w:p w:rsidR="00511A70" w:rsidRDefault="00A217D6">
            <w:pPr>
              <w:jc w:val="center"/>
            </w:pPr>
            <w:r>
              <w:rPr>
                <w:color w:val="000000"/>
                <w:sz w:val="24"/>
                <w:szCs w:val="24"/>
              </w:rPr>
              <w:t>600030</w:t>
            </w:r>
          </w:p>
        </w:tc>
        <w:tc>
          <w:tcPr>
            <w:tcW w:w="1777" w:type="dxa"/>
            <w:vAlign w:val="center"/>
          </w:tcPr>
          <w:p w:rsidR="00511A70" w:rsidRDefault="00A217D6">
            <w:pPr>
              <w:jc w:val="center"/>
            </w:pPr>
            <w:r>
              <w:rPr>
                <w:color w:val="000000"/>
                <w:sz w:val="24"/>
                <w:szCs w:val="24"/>
              </w:rPr>
              <w:t>中信证券</w:t>
            </w:r>
          </w:p>
        </w:tc>
        <w:tc>
          <w:tcPr>
            <w:tcW w:w="1334" w:type="dxa"/>
            <w:vAlign w:val="center"/>
          </w:tcPr>
          <w:p w:rsidR="00511A70" w:rsidRDefault="00A217D6">
            <w:pPr>
              <w:jc w:val="right"/>
            </w:pPr>
            <w:r>
              <w:rPr>
                <w:color w:val="000000"/>
                <w:sz w:val="24"/>
                <w:szCs w:val="24"/>
              </w:rPr>
              <w:t>400,000</w:t>
            </w:r>
          </w:p>
        </w:tc>
        <w:tc>
          <w:tcPr>
            <w:tcW w:w="1924" w:type="dxa"/>
            <w:vAlign w:val="center"/>
          </w:tcPr>
          <w:p w:rsidR="00511A70" w:rsidRDefault="00A217D6">
            <w:pPr>
              <w:jc w:val="right"/>
            </w:pPr>
            <w:r>
              <w:rPr>
                <w:color w:val="000000"/>
                <w:sz w:val="24"/>
                <w:szCs w:val="24"/>
              </w:rPr>
              <w:t>13,560,000.00</w:t>
            </w:r>
          </w:p>
        </w:tc>
        <w:tc>
          <w:tcPr>
            <w:tcW w:w="1644" w:type="dxa"/>
            <w:vAlign w:val="center"/>
          </w:tcPr>
          <w:p w:rsidR="00511A70" w:rsidRDefault="00A217D6">
            <w:pPr>
              <w:jc w:val="right"/>
            </w:pPr>
            <w:r>
              <w:rPr>
                <w:color w:val="000000"/>
                <w:sz w:val="24"/>
                <w:szCs w:val="24"/>
              </w:rPr>
              <w:t>4.27</w:t>
            </w:r>
          </w:p>
        </w:tc>
      </w:tr>
      <w:tr w:rsidR="00511A70">
        <w:trPr>
          <w:jc w:val="center"/>
        </w:trPr>
        <w:tc>
          <w:tcPr>
            <w:tcW w:w="855" w:type="dxa"/>
            <w:vAlign w:val="center"/>
          </w:tcPr>
          <w:p w:rsidR="00511A70" w:rsidRDefault="00A217D6">
            <w:pPr>
              <w:jc w:val="center"/>
            </w:pPr>
            <w:r>
              <w:rPr>
                <w:color w:val="000000"/>
                <w:sz w:val="24"/>
                <w:szCs w:val="24"/>
              </w:rPr>
              <w:t>4</w:t>
            </w:r>
          </w:p>
        </w:tc>
        <w:tc>
          <w:tcPr>
            <w:tcW w:w="1334" w:type="dxa"/>
            <w:vAlign w:val="center"/>
          </w:tcPr>
          <w:p w:rsidR="00511A70" w:rsidRDefault="00A217D6">
            <w:pPr>
              <w:jc w:val="center"/>
            </w:pPr>
            <w:r>
              <w:rPr>
                <w:color w:val="000000"/>
                <w:sz w:val="24"/>
                <w:szCs w:val="24"/>
              </w:rPr>
              <w:t>601788</w:t>
            </w:r>
          </w:p>
        </w:tc>
        <w:tc>
          <w:tcPr>
            <w:tcW w:w="1777" w:type="dxa"/>
            <w:vAlign w:val="center"/>
          </w:tcPr>
          <w:p w:rsidR="00511A70" w:rsidRDefault="00A217D6">
            <w:pPr>
              <w:jc w:val="center"/>
            </w:pPr>
            <w:r>
              <w:rPr>
                <w:color w:val="000000"/>
                <w:sz w:val="24"/>
                <w:szCs w:val="24"/>
              </w:rPr>
              <w:t>光大证券</w:t>
            </w:r>
          </w:p>
        </w:tc>
        <w:tc>
          <w:tcPr>
            <w:tcW w:w="1334" w:type="dxa"/>
            <w:vAlign w:val="center"/>
          </w:tcPr>
          <w:p w:rsidR="00511A70" w:rsidRDefault="00A217D6">
            <w:pPr>
              <w:jc w:val="right"/>
            </w:pPr>
            <w:r>
              <w:rPr>
                <w:color w:val="000000"/>
                <w:sz w:val="24"/>
                <w:szCs w:val="24"/>
              </w:rPr>
              <w:t>400,000</w:t>
            </w:r>
          </w:p>
        </w:tc>
        <w:tc>
          <w:tcPr>
            <w:tcW w:w="1924" w:type="dxa"/>
            <w:vAlign w:val="center"/>
          </w:tcPr>
          <w:p w:rsidR="00511A70" w:rsidRDefault="00A217D6">
            <w:pPr>
              <w:jc w:val="right"/>
            </w:pPr>
            <w:r>
              <w:rPr>
                <w:color w:val="000000"/>
                <w:sz w:val="24"/>
                <w:szCs w:val="24"/>
              </w:rPr>
              <w:t>11,416,000.00</w:t>
            </w:r>
          </w:p>
        </w:tc>
        <w:tc>
          <w:tcPr>
            <w:tcW w:w="1644" w:type="dxa"/>
            <w:vAlign w:val="center"/>
          </w:tcPr>
          <w:p w:rsidR="00511A70" w:rsidRDefault="00A217D6">
            <w:pPr>
              <w:jc w:val="right"/>
            </w:pPr>
            <w:r>
              <w:rPr>
                <w:color w:val="000000"/>
                <w:sz w:val="24"/>
                <w:szCs w:val="24"/>
              </w:rPr>
              <w:t>3.59</w:t>
            </w:r>
          </w:p>
        </w:tc>
      </w:tr>
      <w:tr w:rsidR="00511A70">
        <w:trPr>
          <w:jc w:val="center"/>
        </w:trPr>
        <w:tc>
          <w:tcPr>
            <w:tcW w:w="855" w:type="dxa"/>
            <w:vAlign w:val="center"/>
          </w:tcPr>
          <w:p w:rsidR="00511A70" w:rsidRDefault="00A217D6">
            <w:pPr>
              <w:jc w:val="center"/>
            </w:pPr>
            <w:r>
              <w:rPr>
                <w:color w:val="000000"/>
                <w:sz w:val="24"/>
                <w:szCs w:val="24"/>
              </w:rPr>
              <w:t>5</w:t>
            </w:r>
          </w:p>
        </w:tc>
        <w:tc>
          <w:tcPr>
            <w:tcW w:w="1334" w:type="dxa"/>
            <w:vAlign w:val="center"/>
          </w:tcPr>
          <w:p w:rsidR="00511A70" w:rsidRDefault="00A217D6">
            <w:pPr>
              <w:jc w:val="center"/>
            </w:pPr>
            <w:r>
              <w:rPr>
                <w:color w:val="000000"/>
                <w:sz w:val="24"/>
                <w:szCs w:val="24"/>
              </w:rPr>
              <w:t>002081</w:t>
            </w:r>
          </w:p>
        </w:tc>
        <w:tc>
          <w:tcPr>
            <w:tcW w:w="1777" w:type="dxa"/>
            <w:vAlign w:val="center"/>
          </w:tcPr>
          <w:p w:rsidR="00511A70" w:rsidRDefault="00A217D6">
            <w:pPr>
              <w:jc w:val="center"/>
            </w:pPr>
            <w:r>
              <w:rPr>
                <w:color w:val="000000"/>
                <w:sz w:val="24"/>
                <w:szCs w:val="24"/>
              </w:rPr>
              <w:t>金</w:t>
            </w:r>
            <w:r>
              <w:rPr>
                <w:color w:val="000000"/>
                <w:sz w:val="24"/>
                <w:szCs w:val="24"/>
              </w:rPr>
              <w:t xml:space="preserve"> </w:t>
            </w:r>
            <w:r>
              <w:rPr>
                <w:color w:val="000000"/>
                <w:sz w:val="24"/>
                <w:szCs w:val="24"/>
              </w:rPr>
              <w:t>螳</w:t>
            </w:r>
            <w:r>
              <w:rPr>
                <w:color w:val="000000"/>
                <w:sz w:val="24"/>
                <w:szCs w:val="24"/>
              </w:rPr>
              <w:t xml:space="preserve"> </w:t>
            </w:r>
            <w:r>
              <w:rPr>
                <w:color w:val="000000"/>
                <w:sz w:val="24"/>
                <w:szCs w:val="24"/>
              </w:rPr>
              <w:t>螂</w:t>
            </w:r>
          </w:p>
        </w:tc>
        <w:tc>
          <w:tcPr>
            <w:tcW w:w="1334" w:type="dxa"/>
            <w:vAlign w:val="center"/>
          </w:tcPr>
          <w:p w:rsidR="00511A70" w:rsidRDefault="00A217D6">
            <w:pPr>
              <w:jc w:val="right"/>
            </w:pPr>
            <w:r>
              <w:rPr>
                <w:color w:val="000000"/>
                <w:sz w:val="24"/>
                <w:szCs w:val="24"/>
              </w:rPr>
              <w:t>630,548</w:t>
            </w:r>
          </w:p>
        </w:tc>
        <w:tc>
          <w:tcPr>
            <w:tcW w:w="1924" w:type="dxa"/>
            <w:vAlign w:val="center"/>
          </w:tcPr>
          <w:p w:rsidR="00511A70" w:rsidRDefault="00A217D6">
            <w:pPr>
              <w:jc w:val="right"/>
            </w:pPr>
            <w:r>
              <w:rPr>
                <w:color w:val="000000"/>
                <w:sz w:val="24"/>
                <w:szCs w:val="24"/>
              </w:rPr>
              <w:t>10,593,206.40</w:t>
            </w:r>
          </w:p>
        </w:tc>
        <w:tc>
          <w:tcPr>
            <w:tcW w:w="1644" w:type="dxa"/>
            <w:vAlign w:val="center"/>
          </w:tcPr>
          <w:p w:rsidR="00511A70" w:rsidRDefault="00A217D6">
            <w:pPr>
              <w:jc w:val="right"/>
            </w:pPr>
            <w:r>
              <w:rPr>
                <w:color w:val="000000"/>
                <w:sz w:val="24"/>
                <w:szCs w:val="24"/>
              </w:rPr>
              <w:t>3.34</w:t>
            </w:r>
          </w:p>
        </w:tc>
      </w:tr>
      <w:tr w:rsidR="00511A70">
        <w:trPr>
          <w:jc w:val="center"/>
        </w:trPr>
        <w:tc>
          <w:tcPr>
            <w:tcW w:w="855" w:type="dxa"/>
            <w:vAlign w:val="center"/>
          </w:tcPr>
          <w:p w:rsidR="00511A70" w:rsidRDefault="00A217D6">
            <w:pPr>
              <w:jc w:val="center"/>
            </w:pPr>
            <w:r>
              <w:rPr>
                <w:color w:val="000000"/>
                <w:sz w:val="24"/>
                <w:szCs w:val="24"/>
              </w:rPr>
              <w:t>6</w:t>
            </w:r>
          </w:p>
        </w:tc>
        <w:tc>
          <w:tcPr>
            <w:tcW w:w="1334" w:type="dxa"/>
            <w:vAlign w:val="center"/>
          </w:tcPr>
          <w:p w:rsidR="00511A70" w:rsidRDefault="00A217D6">
            <w:pPr>
              <w:jc w:val="center"/>
            </w:pPr>
            <w:r>
              <w:rPr>
                <w:color w:val="000000"/>
                <w:sz w:val="24"/>
                <w:szCs w:val="24"/>
              </w:rPr>
              <w:t>601988</w:t>
            </w:r>
          </w:p>
        </w:tc>
        <w:tc>
          <w:tcPr>
            <w:tcW w:w="1777" w:type="dxa"/>
            <w:vAlign w:val="center"/>
          </w:tcPr>
          <w:p w:rsidR="00511A70" w:rsidRDefault="00A217D6">
            <w:pPr>
              <w:jc w:val="center"/>
            </w:pPr>
            <w:r>
              <w:rPr>
                <w:color w:val="000000"/>
                <w:sz w:val="24"/>
                <w:szCs w:val="24"/>
              </w:rPr>
              <w:t>中国银行</w:t>
            </w:r>
          </w:p>
        </w:tc>
        <w:tc>
          <w:tcPr>
            <w:tcW w:w="1334" w:type="dxa"/>
            <w:vAlign w:val="center"/>
          </w:tcPr>
          <w:p w:rsidR="00511A70" w:rsidRDefault="00A217D6">
            <w:pPr>
              <w:jc w:val="right"/>
            </w:pPr>
            <w:r>
              <w:rPr>
                <w:color w:val="000000"/>
                <w:sz w:val="24"/>
                <w:szCs w:val="24"/>
              </w:rPr>
              <w:t>2,171,755</w:t>
            </w:r>
          </w:p>
        </w:tc>
        <w:tc>
          <w:tcPr>
            <w:tcW w:w="1924" w:type="dxa"/>
            <w:vAlign w:val="center"/>
          </w:tcPr>
          <w:p w:rsidR="00511A70" w:rsidRDefault="00A217D6">
            <w:pPr>
              <w:jc w:val="right"/>
            </w:pPr>
            <w:r>
              <w:rPr>
                <w:color w:val="000000"/>
                <w:sz w:val="24"/>
                <w:szCs w:val="24"/>
              </w:rPr>
              <w:t>9,012,783.25</w:t>
            </w:r>
          </w:p>
        </w:tc>
        <w:tc>
          <w:tcPr>
            <w:tcW w:w="1644" w:type="dxa"/>
            <w:vAlign w:val="center"/>
          </w:tcPr>
          <w:p w:rsidR="00511A70" w:rsidRDefault="00A217D6">
            <w:pPr>
              <w:jc w:val="right"/>
            </w:pPr>
            <w:r>
              <w:rPr>
                <w:color w:val="000000"/>
                <w:sz w:val="24"/>
                <w:szCs w:val="24"/>
              </w:rPr>
              <w:t>2.84</w:t>
            </w:r>
          </w:p>
        </w:tc>
      </w:tr>
      <w:tr w:rsidR="00511A70">
        <w:trPr>
          <w:jc w:val="center"/>
        </w:trPr>
        <w:tc>
          <w:tcPr>
            <w:tcW w:w="855" w:type="dxa"/>
            <w:vAlign w:val="center"/>
          </w:tcPr>
          <w:p w:rsidR="00511A70" w:rsidRDefault="00A217D6">
            <w:pPr>
              <w:jc w:val="center"/>
            </w:pPr>
            <w:r>
              <w:rPr>
                <w:color w:val="000000"/>
                <w:sz w:val="24"/>
                <w:szCs w:val="24"/>
              </w:rPr>
              <w:t>7</w:t>
            </w:r>
          </w:p>
        </w:tc>
        <w:tc>
          <w:tcPr>
            <w:tcW w:w="1334" w:type="dxa"/>
            <w:vAlign w:val="center"/>
          </w:tcPr>
          <w:p w:rsidR="00511A70" w:rsidRDefault="00A217D6">
            <w:pPr>
              <w:jc w:val="center"/>
            </w:pPr>
            <w:r>
              <w:rPr>
                <w:color w:val="000000"/>
                <w:sz w:val="24"/>
                <w:szCs w:val="24"/>
              </w:rPr>
              <w:t>600685</w:t>
            </w:r>
          </w:p>
        </w:tc>
        <w:tc>
          <w:tcPr>
            <w:tcW w:w="1777" w:type="dxa"/>
            <w:vAlign w:val="center"/>
          </w:tcPr>
          <w:p w:rsidR="00511A70" w:rsidRDefault="00A217D6">
            <w:pPr>
              <w:jc w:val="center"/>
            </w:pPr>
            <w:r>
              <w:rPr>
                <w:color w:val="000000"/>
                <w:sz w:val="24"/>
                <w:szCs w:val="24"/>
              </w:rPr>
              <w:t>广船国际</w:t>
            </w:r>
          </w:p>
        </w:tc>
        <w:tc>
          <w:tcPr>
            <w:tcW w:w="1334" w:type="dxa"/>
            <w:vAlign w:val="center"/>
          </w:tcPr>
          <w:p w:rsidR="00511A70" w:rsidRDefault="00A217D6">
            <w:pPr>
              <w:jc w:val="right"/>
            </w:pPr>
            <w:r>
              <w:rPr>
                <w:color w:val="000000"/>
                <w:sz w:val="24"/>
                <w:szCs w:val="24"/>
              </w:rPr>
              <w:t>240,000</w:t>
            </w:r>
          </w:p>
        </w:tc>
        <w:tc>
          <w:tcPr>
            <w:tcW w:w="1924" w:type="dxa"/>
            <w:vAlign w:val="center"/>
          </w:tcPr>
          <w:p w:rsidR="00511A70" w:rsidRDefault="00A217D6">
            <w:pPr>
              <w:jc w:val="right"/>
            </w:pPr>
            <w:r>
              <w:rPr>
                <w:color w:val="000000"/>
                <w:sz w:val="24"/>
                <w:szCs w:val="24"/>
              </w:rPr>
              <w:t>8,548,800.00</w:t>
            </w:r>
          </w:p>
        </w:tc>
        <w:tc>
          <w:tcPr>
            <w:tcW w:w="1644" w:type="dxa"/>
            <w:vAlign w:val="center"/>
          </w:tcPr>
          <w:p w:rsidR="00511A70" w:rsidRDefault="00A217D6">
            <w:pPr>
              <w:jc w:val="right"/>
            </w:pPr>
            <w:r>
              <w:rPr>
                <w:color w:val="000000"/>
                <w:sz w:val="24"/>
                <w:szCs w:val="24"/>
              </w:rPr>
              <w:t>2.69</w:t>
            </w:r>
          </w:p>
        </w:tc>
      </w:tr>
      <w:tr w:rsidR="00511A70">
        <w:trPr>
          <w:jc w:val="center"/>
        </w:trPr>
        <w:tc>
          <w:tcPr>
            <w:tcW w:w="855" w:type="dxa"/>
            <w:vAlign w:val="center"/>
          </w:tcPr>
          <w:p w:rsidR="00511A70" w:rsidRDefault="00A217D6">
            <w:pPr>
              <w:jc w:val="center"/>
            </w:pPr>
            <w:r>
              <w:rPr>
                <w:color w:val="000000"/>
                <w:sz w:val="24"/>
                <w:szCs w:val="24"/>
              </w:rPr>
              <w:t>8</w:t>
            </w:r>
          </w:p>
        </w:tc>
        <w:tc>
          <w:tcPr>
            <w:tcW w:w="1334" w:type="dxa"/>
            <w:vAlign w:val="center"/>
          </w:tcPr>
          <w:p w:rsidR="00511A70" w:rsidRDefault="00A217D6">
            <w:pPr>
              <w:jc w:val="center"/>
            </w:pPr>
            <w:r>
              <w:rPr>
                <w:color w:val="000000"/>
                <w:sz w:val="24"/>
                <w:szCs w:val="24"/>
              </w:rPr>
              <w:t>000001</w:t>
            </w:r>
          </w:p>
        </w:tc>
        <w:tc>
          <w:tcPr>
            <w:tcW w:w="1777" w:type="dxa"/>
            <w:vAlign w:val="center"/>
          </w:tcPr>
          <w:p w:rsidR="00511A70" w:rsidRDefault="00A217D6">
            <w:pPr>
              <w:jc w:val="center"/>
            </w:pPr>
            <w:r>
              <w:rPr>
                <w:color w:val="000000"/>
                <w:sz w:val="24"/>
                <w:szCs w:val="24"/>
              </w:rPr>
              <w:t>平安银行</w:t>
            </w:r>
          </w:p>
        </w:tc>
        <w:tc>
          <w:tcPr>
            <w:tcW w:w="1334" w:type="dxa"/>
            <w:vAlign w:val="center"/>
          </w:tcPr>
          <w:p w:rsidR="00511A70" w:rsidRDefault="00A217D6">
            <w:pPr>
              <w:jc w:val="right"/>
            </w:pPr>
            <w:r>
              <w:rPr>
                <w:color w:val="000000"/>
                <w:sz w:val="24"/>
                <w:szCs w:val="24"/>
              </w:rPr>
              <w:t>530,000</w:t>
            </w:r>
          </w:p>
        </w:tc>
        <w:tc>
          <w:tcPr>
            <w:tcW w:w="1924" w:type="dxa"/>
            <w:vAlign w:val="center"/>
          </w:tcPr>
          <w:p w:rsidR="00511A70" w:rsidRDefault="00A217D6">
            <w:pPr>
              <w:jc w:val="right"/>
            </w:pPr>
            <w:r>
              <w:rPr>
                <w:color w:val="000000"/>
                <w:sz w:val="24"/>
                <w:szCs w:val="24"/>
              </w:rPr>
              <w:t>8,395,200.00</w:t>
            </w:r>
          </w:p>
        </w:tc>
        <w:tc>
          <w:tcPr>
            <w:tcW w:w="1644" w:type="dxa"/>
            <w:vAlign w:val="center"/>
          </w:tcPr>
          <w:p w:rsidR="00511A70" w:rsidRDefault="00A217D6">
            <w:pPr>
              <w:jc w:val="right"/>
            </w:pPr>
            <w:r>
              <w:rPr>
                <w:color w:val="000000"/>
                <w:sz w:val="24"/>
                <w:szCs w:val="24"/>
              </w:rPr>
              <w:t>2.64</w:t>
            </w:r>
          </w:p>
        </w:tc>
      </w:tr>
      <w:tr w:rsidR="00511A70">
        <w:trPr>
          <w:jc w:val="center"/>
        </w:trPr>
        <w:tc>
          <w:tcPr>
            <w:tcW w:w="855" w:type="dxa"/>
            <w:vAlign w:val="center"/>
          </w:tcPr>
          <w:p w:rsidR="00511A70" w:rsidRDefault="00A217D6">
            <w:pPr>
              <w:jc w:val="center"/>
            </w:pPr>
            <w:r>
              <w:rPr>
                <w:color w:val="000000"/>
                <w:sz w:val="24"/>
                <w:szCs w:val="24"/>
              </w:rPr>
              <w:t>9</w:t>
            </w:r>
          </w:p>
        </w:tc>
        <w:tc>
          <w:tcPr>
            <w:tcW w:w="1334" w:type="dxa"/>
            <w:vAlign w:val="center"/>
          </w:tcPr>
          <w:p w:rsidR="00511A70" w:rsidRDefault="00A217D6">
            <w:pPr>
              <w:jc w:val="center"/>
            </w:pPr>
            <w:r>
              <w:rPr>
                <w:color w:val="000000"/>
                <w:sz w:val="24"/>
                <w:szCs w:val="24"/>
              </w:rPr>
              <w:t>601818</w:t>
            </w:r>
          </w:p>
        </w:tc>
        <w:tc>
          <w:tcPr>
            <w:tcW w:w="1777" w:type="dxa"/>
            <w:vAlign w:val="center"/>
          </w:tcPr>
          <w:p w:rsidR="00511A70" w:rsidRDefault="00A217D6">
            <w:pPr>
              <w:jc w:val="center"/>
            </w:pPr>
            <w:r>
              <w:rPr>
                <w:color w:val="000000"/>
                <w:sz w:val="24"/>
                <w:szCs w:val="24"/>
              </w:rPr>
              <w:t>光大银行</w:t>
            </w:r>
          </w:p>
        </w:tc>
        <w:tc>
          <w:tcPr>
            <w:tcW w:w="1334" w:type="dxa"/>
            <w:vAlign w:val="center"/>
          </w:tcPr>
          <w:p w:rsidR="00511A70" w:rsidRDefault="00A217D6">
            <w:pPr>
              <w:jc w:val="right"/>
            </w:pPr>
            <w:r>
              <w:rPr>
                <w:color w:val="000000"/>
                <w:sz w:val="24"/>
                <w:szCs w:val="24"/>
              </w:rPr>
              <w:t>1,680,000</w:t>
            </w:r>
          </w:p>
        </w:tc>
        <w:tc>
          <w:tcPr>
            <w:tcW w:w="1924" w:type="dxa"/>
            <w:vAlign w:val="center"/>
          </w:tcPr>
          <w:p w:rsidR="00511A70" w:rsidRDefault="00A217D6">
            <w:pPr>
              <w:jc w:val="right"/>
            </w:pPr>
            <w:r>
              <w:rPr>
                <w:color w:val="000000"/>
                <w:sz w:val="24"/>
                <w:szCs w:val="24"/>
              </w:rPr>
              <w:t>8,198,400.00</w:t>
            </w:r>
          </w:p>
        </w:tc>
        <w:tc>
          <w:tcPr>
            <w:tcW w:w="1644" w:type="dxa"/>
            <w:vAlign w:val="center"/>
          </w:tcPr>
          <w:p w:rsidR="00511A70" w:rsidRDefault="00A217D6">
            <w:pPr>
              <w:jc w:val="right"/>
            </w:pPr>
            <w:r>
              <w:rPr>
                <w:color w:val="000000"/>
                <w:sz w:val="24"/>
                <w:szCs w:val="24"/>
              </w:rPr>
              <w:t>2.58</w:t>
            </w:r>
          </w:p>
        </w:tc>
      </w:tr>
      <w:tr w:rsidR="00511A70">
        <w:trPr>
          <w:jc w:val="center"/>
        </w:trPr>
        <w:tc>
          <w:tcPr>
            <w:tcW w:w="855" w:type="dxa"/>
            <w:vAlign w:val="center"/>
          </w:tcPr>
          <w:p w:rsidR="00511A70" w:rsidRDefault="00A217D6">
            <w:pPr>
              <w:jc w:val="center"/>
            </w:pPr>
            <w:r>
              <w:rPr>
                <w:color w:val="000000"/>
                <w:sz w:val="24"/>
                <w:szCs w:val="24"/>
              </w:rPr>
              <w:t>10</w:t>
            </w:r>
          </w:p>
        </w:tc>
        <w:tc>
          <w:tcPr>
            <w:tcW w:w="1334" w:type="dxa"/>
            <w:vAlign w:val="center"/>
          </w:tcPr>
          <w:p w:rsidR="00511A70" w:rsidRDefault="00A217D6">
            <w:pPr>
              <w:jc w:val="center"/>
            </w:pPr>
            <w:r>
              <w:rPr>
                <w:color w:val="000000"/>
                <w:sz w:val="24"/>
                <w:szCs w:val="24"/>
              </w:rPr>
              <w:t>300226</w:t>
            </w:r>
          </w:p>
        </w:tc>
        <w:tc>
          <w:tcPr>
            <w:tcW w:w="1777" w:type="dxa"/>
            <w:vAlign w:val="center"/>
          </w:tcPr>
          <w:p w:rsidR="00511A70" w:rsidRDefault="00A217D6">
            <w:pPr>
              <w:jc w:val="center"/>
            </w:pPr>
            <w:r>
              <w:rPr>
                <w:color w:val="000000"/>
                <w:sz w:val="24"/>
                <w:szCs w:val="24"/>
              </w:rPr>
              <w:t>上海钢联</w:t>
            </w:r>
          </w:p>
        </w:tc>
        <w:tc>
          <w:tcPr>
            <w:tcW w:w="1334" w:type="dxa"/>
            <w:vAlign w:val="center"/>
          </w:tcPr>
          <w:p w:rsidR="00511A70" w:rsidRDefault="00A217D6">
            <w:pPr>
              <w:jc w:val="right"/>
            </w:pPr>
            <w:r>
              <w:rPr>
                <w:color w:val="000000"/>
                <w:sz w:val="24"/>
                <w:szCs w:val="24"/>
              </w:rPr>
              <w:t>114,967</w:t>
            </w:r>
          </w:p>
        </w:tc>
        <w:tc>
          <w:tcPr>
            <w:tcW w:w="1924" w:type="dxa"/>
            <w:vAlign w:val="center"/>
          </w:tcPr>
          <w:p w:rsidR="00511A70" w:rsidRDefault="00A217D6">
            <w:pPr>
              <w:jc w:val="right"/>
            </w:pPr>
            <w:r>
              <w:rPr>
                <w:color w:val="000000"/>
                <w:sz w:val="24"/>
                <w:szCs w:val="24"/>
              </w:rPr>
              <w:t>6,940,557.79</w:t>
            </w:r>
          </w:p>
        </w:tc>
        <w:tc>
          <w:tcPr>
            <w:tcW w:w="1644" w:type="dxa"/>
            <w:vAlign w:val="center"/>
          </w:tcPr>
          <w:p w:rsidR="00511A70" w:rsidRDefault="00A217D6">
            <w:pPr>
              <w:jc w:val="right"/>
            </w:pPr>
            <w:r>
              <w:rPr>
                <w:color w:val="000000"/>
                <w:sz w:val="24"/>
                <w:szCs w:val="24"/>
              </w:rPr>
              <w:t>2.19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20,013,000.00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6.30</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20,013,000.00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6.30</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29,970,000.00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9.44</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A8721A">
        <w:trPr>
          <w:jc w:val="center"/>
        </w:trPr>
        <w:tc>
          <w:tcPr>
            <w:tcW w:w="817"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58,385,429.12</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18.38</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108,368,429.12</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34.12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511A70">
        <w:trPr>
          <w:jc w:val="center"/>
        </w:trPr>
        <w:tc>
          <w:tcPr>
            <w:tcW w:w="850" w:type="dxa"/>
            <w:vAlign w:val="center"/>
          </w:tcPr>
          <w:p w:rsidR="00511A70" w:rsidRDefault="00A217D6">
            <w:pPr>
              <w:jc w:val="center"/>
            </w:pPr>
            <w:r>
              <w:rPr>
                <w:color w:val="000000"/>
                <w:sz w:val="24"/>
                <w:szCs w:val="24"/>
              </w:rPr>
              <w:t>1</w:t>
            </w:r>
          </w:p>
        </w:tc>
        <w:tc>
          <w:tcPr>
            <w:tcW w:w="1475" w:type="dxa"/>
            <w:vAlign w:val="center"/>
          </w:tcPr>
          <w:p w:rsidR="00511A70" w:rsidRDefault="00A217D6">
            <w:pPr>
              <w:jc w:val="center"/>
            </w:pPr>
            <w:r>
              <w:rPr>
                <w:color w:val="000000"/>
                <w:sz w:val="24"/>
                <w:szCs w:val="24"/>
              </w:rPr>
              <w:t>098016</w:t>
            </w:r>
          </w:p>
        </w:tc>
        <w:tc>
          <w:tcPr>
            <w:tcW w:w="1769" w:type="dxa"/>
            <w:vAlign w:val="center"/>
          </w:tcPr>
          <w:p w:rsidR="00511A70" w:rsidRDefault="00A217D6">
            <w:pPr>
              <w:jc w:val="center"/>
            </w:pPr>
            <w:r>
              <w:rPr>
                <w:color w:val="000000"/>
                <w:sz w:val="24"/>
                <w:szCs w:val="24"/>
              </w:rPr>
              <w:t>09</w:t>
            </w:r>
            <w:r>
              <w:rPr>
                <w:color w:val="000000"/>
                <w:sz w:val="24"/>
                <w:szCs w:val="24"/>
              </w:rPr>
              <w:t>南钢联债</w:t>
            </w:r>
          </w:p>
        </w:tc>
        <w:tc>
          <w:tcPr>
            <w:tcW w:w="1387" w:type="dxa"/>
            <w:vAlign w:val="center"/>
          </w:tcPr>
          <w:p w:rsidR="00511A70" w:rsidRDefault="00A217D6">
            <w:pPr>
              <w:jc w:val="right"/>
            </w:pPr>
            <w:r>
              <w:rPr>
                <w:color w:val="000000"/>
                <w:sz w:val="24"/>
                <w:szCs w:val="24"/>
              </w:rPr>
              <w:t>300,000</w:t>
            </w:r>
          </w:p>
        </w:tc>
        <w:tc>
          <w:tcPr>
            <w:tcW w:w="2150" w:type="dxa"/>
            <w:vAlign w:val="center"/>
          </w:tcPr>
          <w:p w:rsidR="00511A70" w:rsidRDefault="00A217D6">
            <w:pPr>
              <w:jc w:val="right"/>
            </w:pPr>
            <w:r>
              <w:rPr>
                <w:color w:val="000000"/>
                <w:sz w:val="24"/>
                <w:szCs w:val="24"/>
              </w:rPr>
              <w:t>29,970,000.00</w:t>
            </w:r>
          </w:p>
        </w:tc>
        <w:tc>
          <w:tcPr>
            <w:tcW w:w="1237" w:type="dxa"/>
            <w:vAlign w:val="center"/>
          </w:tcPr>
          <w:p w:rsidR="00511A70" w:rsidRDefault="00A217D6">
            <w:pPr>
              <w:jc w:val="right"/>
            </w:pPr>
            <w:r>
              <w:rPr>
                <w:color w:val="000000"/>
                <w:sz w:val="24"/>
                <w:szCs w:val="24"/>
              </w:rPr>
              <w:t>9.44</w:t>
            </w:r>
          </w:p>
        </w:tc>
      </w:tr>
      <w:tr w:rsidR="00511A70">
        <w:trPr>
          <w:jc w:val="center"/>
        </w:trPr>
        <w:tc>
          <w:tcPr>
            <w:tcW w:w="850" w:type="dxa"/>
            <w:vAlign w:val="center"/>
          </w:tcPr>
          <w:p w:rsidR="00511A70" w:rsidRDefault="00A217D6">
            <w:pPr>
              <w:jc w:val="center"/>
            </w:pPr>
            <w:r>
              <w:rPr>
                <w:color w:val="000000"/>
                <w:sz w:val="24"/>
                <w:szCs w:val="24"/>
              </w:rPr>
              <w:t>2</w:t>
            </w:r>
          </w:p>
        </w:tc>
        <w:tc>
          <w:tcPr>
            <w:tcW w:w="1475" w:type="dxa"/>
            <w:vAlign w:val="center"/>
          </w:tcPr>
          <w:p w:rsidR="00511A70" w:rsidRDefault="00A217D6">
            <w:pPr>
              <w:jc w:val="center"/>
            </w:pPr>
            <w:r>
              <w:rPr>
                <w:color w:val="000000"/>
                <w:sz w:val="24"/>
                <w:szCs w:val="24"/>
              </w:rPr>
              <w:t>110020</w:t>
            </w:r>
          </w:p>
        </w:tc>
        <w:tc>
          <w:tcPr>
            <w:tcW w:w="1769" w:type="dxa"/>
            <w:vAlign w:val="center"/>
          </w:tcPr>
          <w:p w:rsidR="00511A70" w:rsidRDefault="00A217D6">
            <w:pPr>
              <w:jc w:val="center"/>
            </w:pPr>
            <w:r>
              <w:rPr>
                <w:color w:val="000000"/>
                <w:sz w:val="24"/>
                <w:szCs w:val="24"/>
              </w:rPr>
              <w:t>南山转债</w:t>
            </w:r>
          </w:p>
        </w:tc>
        <w:tc>
          <w:tcPr>
            <w:tcW w:w="1387" w:type="dxa"/>
            <w:vAlign w:val="center"/>
          </w:tcPr>
          <w:p w:rsidR="00511A70" w:rsidRDefault="00A217D6">
            <w:pPr>
              <w:jc w:val="right"/>
            </w:pPr>
            <w:r>
              <w:rPr>
                <w:color w:val="000000"/>
                <w:sz w:val="24"/>
                <w:szCs w:val="24"/>
              </w:rPr>
              <w:t>100,240</w:t>
            </w:r>
          </w:p>
        </w:tc>
        <w:tc>
          <w:tcPr>
            <w:tcW w:w="2150" w:type="dxa"/>
            <w:vAlign w:val="center"/>
          </w:tcPr>
          <w:p w:rsidR="00511A70" w:rsidRDefault="00A217D6">
            <w:pPr>
              <w:jc w:val="right"/>
            </w:pPr>
            <w:r>
              <w:rPr>
                <w:color w:val="000000"/>
                <w:sz w:val="24"/>
                <w:szCs w:val="24"/>
              </w:rPr>
              <w:t>13,994,506.40</w:t>
            </w:r>
          </w:p>
        </w:tc>
        <w:tc>
          <w:tcPr>
            <w:tcW w:w="1237" w:type="dxa"/>
            <w:vAlign w:val="center"/>
          </w:tcPr>
          <w:p w:rsidR="00511A70" w:rsidRDefault="00A217D6">
            <w:pPr>
              <w:jc w:val="right"/>
            </w:pPr>
            <w:r>
              <w:rPr>
                <w:color w:val="000000"/>
                <w:sz w:val="24"/>
                <w:szCs w:val="24"/>
              </w:rPr>
              <w:t>4.41</w:t>
            </w:r>
          </w:p>
        </w:tc>
      </w:tr>
      <w:tr w:rsidR="00511A70">
        <w:trPr>
          <w:jc w:val="center"/>
        </w:trPr>
        <w:tc>
          <w:tcPr>
            <w:tcW w:w="850" w:type="dxa"/>
            <w:vAlign w:val="center"/>
          </w:tcPr>
          <w:p w:rsidR="00511A70" w:rsidRDefault="00A217D6">
            <w:pPr>
              <w:jc w:val="center"/>
            </w:pPr>
            <w:r>
              <w:rPr>
                <w:color w:val="000000"/>
                <w:sz w:val="24"/>
                <w:szCs w:val="24"/>
              </w:rPr>
              <w:t>3</w:t>
            </w:r>
          </w:p>
        </w:tc>
        <w:tc>
          <w:tcPr>
            <w:tcW w:w="1475" w:type="dxa"/>
            <w:vAlign w:val="center"/>
          </w:tcPr>
          <w:p w:rsidR="00511A70" w:rsidRDefault="00A217D6">
            <w:pPr>
              <w:jc w:val="center"/>
            </w:pPr>
            <w:r>
              <w:rPr>
                <w:color w:val="000000"/>
                <w:sz w:val="24"/>
                <w:szCs w:val="24"/>
              </w:rPr>
              <w:t>110023</w:t>
            </w:r>
          </w:p>
        </w:tc>
        <w:tc>
          <w:tcPr>
            <w:tcW w:w="1769" w:type="dxa"/>
            <w:vAlign w:val="center"/>
          </w:tcPr>
          <w:p w:rsidR="00511A70" w:rsidRDefault="00A217D6">
            <w:pPr>
              <w:jc w:val="center"/>
            </w:pPr>
            <w:r>
              <w:rPr>
                <w:color w:val="000000"/>
                <w:sz w:val="24"/>
                <w:szCs w:val="24"/>
              </w:rPr>
              <w:t>民生转债</w:t>
            </w:r>
          </w:p>
        </w:tc>
        <w:tc>
          <w:tcPr>
            <w:tcW w:w="1387" w:type="dxa"/>
            <w:vAlign w:val="center"/>
          </w:tcPr>
          <w:p w:rsidR="00511A70" w:rsidRDefault="00A217D6">
            <w:pPr>
              <w:jc w:val="right"/>
            </w:pPr>
            <w:r>
              <w:rPr>
                <w:color w:val="000000"/>
                <w:sz w:val="24"/>
                <w:szCs w:val="24"/>
              </w:rPr>
              <w:t>100,000</w:t>
            </w:r>
          </w:p>
        </w:tc>
        <w:tc>
          <w:tcPr>
            <w:tcW w:w="2150" w:type="dxa"/>
            <w:vAlign w:val="center"/>
          </w:tcPr>
          <w:p w:rsidR="00511A70" w:rsidRDefault="00A217D6">
            <w:pPr>
              <w:jc w:val="right"/>
            </w:pPr>
            <w:r>
              <w:rPr>
                <w:color w:val="000000"/>
                <w:sz w:val="24"/>
                <w:szCs w:val="24"/>
              </w:rPr>
              <w:t>13,827,000.00</w:t>
            </w:r>
          </w:p>
        </w:tc>
        <w:tc>
          <w:tcPr>
            <w:tcW w:w="1237" w:type="dxa"/>
            <w:vAlign w:val="center"/>
          </w:tcPr>
          <w:p w:rsidR="00511A70" w:rsidRDefault="00A217D6">
            <w:pPr>
              <w:jc w:val="right"/>
            </w:pPr>
            <w:r>
              <w:rPr>
                <w:color w:val="000000"/>
                <w:sz w:val="24"/>
                <w:szCs w:val="24"/>
              </w:rPr>
              <w:t>4.35</w:t>
            </w:r>
          </w:p>
        </w:tc>
      </w:tr>
      <w:tr w:rsidR="00511A70">
        <w:trPr>
          <w:jc w:val="center"/>
        </w:trPr>
        <w:tc>
          <w:tcPr>
            <w:tcW w:w="850" w:type="dxa"/>
            <w:vAlign w:val="center"/>
          </w:tcPr>
          <w:p w:rsidR="00511A70" w:rsidRDefault="00A217D6">
            <w:pPr>
              <w:jc w:val="center"/>
            </w:pPr>
            <w:r>
              <w:rPr>
                <w:color w:val="000000"/>
                <w:sz w:val="24"/>
                <w:szCs w:val="24"/>
              </w:rPr>
              <w:t>4</w:t>
            </w:r>
          </w:p>
        </w:tc>
        <w:tc>
          <w:tcPr>
            <w:tcW w:w="1475" w:type="dxa"/>
            <w:vAlign w:val="center"/>
          </w:tcPr>
          <w:p w:rsidR="00511A70" w:rsidRDefault="00A217D6">
            <w:pPr>
              <w:jc w:val="center"/>
            </w:pPr>
            <w:r>
              <w:rPr>
                <w:color w:val="000000"/>
                <w:sz w:val="24"/>
                <w:szCs w:val="24"/>
              </w:rPr>
              <w:t>113007</w:t>
            </w:r>
          </w:p>
        </w:tc>
        <w:tc>
          <w:tcPr>
            <w:tcW w:w="1769" w:type="dxa"/>
            <w:vAlign w:val="center"/>
          </w:tcPr>
          <w:p w:rsidR="00511A70" w:rsidRDefault="00A217D6">
            <w:pPr>
              <w:jc w:val="center"/>
            </w:pPr>
            <w:r>
              <w:rPr>
                <w:color w:val="000000"/>
                <w:sz w:val="24"/>
                <w:szCs w:val="24"/>
              </w:rPr>
              <w:t>吉视转债</w:t>
            </w:r>
          </w:p>
        </w:tc>
        <w:tc>
          <w:tcPr>
            <w:tcW w:w="1387" w:type="dxa"/>
            <w:vAlign w:val="center"/>
          </w:tcPr>
          <w:p w:rsidR="00511A70" w:rsidRDefault="00A217D6">
            <w:pPr>
              <w:jc w:val="right"/>
            </w:pPr>
            <w:r>
              <w:rPr>
                <w:color w:val="000000"/>
                <w:sz w:val="24"/>
                <w:szCs w:val="24"/>
              </w:rPr>
              <w:t>99,000</w:t>
            </w:r>
          </w:p>
        </w:tc>
        <w:tc>
          <w:tcPr>
            <w:tcW w:w="2150" w:type="dxa"/>
            <w:vAlign w:val="center"/>
          </w:tcPr>
          <w:p w:rsidR="00511A70" w:rsidRDefault="00A217D6">
            <w:pPr>
              <w:jc w:val="right"/>
            </w:pPr>
            <w:r>
              <w:rPr>
                <w:color w:val="000000"/>
                <w:sz w:val="24"/>
                <w:szCs w:val="24"/>
              </w:rPr>
              <w:t>12,352,230.00</w:t>
            </w:r>
          </w:p>
        </w:tc>
        <w:tc>
          <w:tcPr>
            <w:tcW w:w="1237" w:type="dxa"/>
            <w:vAlign w:val="center"/>
          </w:tcPr>
          <w:p w:rsidR="00511A70" w:rsidRDefault="00A217D6">
            <w:pPr>
              <w:jc w:val="right"/>
            </w:pPr>
            <w:r>
              <w:rPr>
                <w:color w:val="000000"/>
                <w:sz w:val="24"/>
                <w:szCs w:val="24"/>
              </w:rPr>
              <w:t>3.89</w:t>
            </w:r>
          </w:p>
        </w:tc>
      </w:tr>
      <w:tr w:rsidR="00511A70">
        <w:trPr>
          <w:jc w:val="center"/>
        </w:trPr>
        <w:tc>
          <w:tcPr>
            <w:tcW w:w="850" w:type="dxa"/>
            <w:vAlign w:val="center"/>
          </w:tcPr>
          <w:p w:rsidR="00511A70" w:rsidRDefault="00A217D6">
            <w:pPr>
              <w:jc w:val="center"/>
            </w:pPr>
            <w:r>
              <w:rPr>
                <w:color w:val="000000"/>
                <w:sz w:val="24"/>
                <w:szCs w:val="24"/>
              </w:rPr>
              <w:t>5</w:t>
            </w:r>
          </w:p>
        </w:tc>
        <w:tc>
          <w:tcPr>
            <w:tcW w:w="1475" w:type="dxa"/>
            <w:vAlign w:val="center"/>
          </w:tcPr>
          <w:p w:rsidR="00511A70" w:rsidRDefault="00A217D6">
            <w:pPr>
              <w:jc w:val="center"/>
            </w:pPr>
            <w:r>
              <w:rPr>
                <w:color w:val="000000"/>
                <w:sz w:val="24"/>
                <w:szCs w:val="24"/>
              </w:rPr>
              <w:t>140223</w:t>
            </w:r>
          </w:p>
        </w:tc>
        <w:tc>
          <w:tcPr>
            <w:tcW w:w="1769" w:type="dxa"/>
            <w:vAlign w:val="center"/>
          </w:tcPr>
          <w:p w:rsidR="00511A70" w:rsidRDefault="00A217D6">
            <w:pPr>
              <w:jc w:val="center"/>
            </w:pPr>
            <w:r>
              <w:rPr>
                <w:color w:val="000000"/>
                <w:sz w:val="24"/>
                <w:szCs w:val="24"/>
              </w:rPr>
              <w:t>14</w:t>
            </w:r>
            <w:r>
              <w:rPr>
                <w:color w:val="000000"/>
                <w:sz w:val="24"/>
                <w:szCs w:val="24"/>
              </w:rPr>
              <w:t>国开</w:t>
            </w:r>
            <w:r>
              <w:rPr>
                <w:color w:val="000000"/>
                <w:sz w:val="24"/>
                <w:szCs w:val="24"/>
              </w:rPr>
              <w:t>23</w:t>
            </w:r>
          </w:p>
        </w:tc>
        <w:tc>
          <w:tcPr>
            <w:tcW w:w="1387" w:type="dxa"/>
            <w:vAlign w:val="center"/>
          </w:tcPr>
          <w:p w:rsidR="00511A70" w:rsidRDefault="00A217D6">
            <w:pPr>
              <w:jc w:val="right"/>
            </w:pPr>
            <w:r>
              <w:rPr>
                <w:color w:val="000000"/>
                <w:sz w:val="24"/>
                <w:szCs w:val="24"/>
              </w:rPr>
              <w:t>100,000</w:t>
            </w:r>
          </w:p>
        </w:tc>
        <w:tc>
          <w:tcPr>
            <w:tcW w:w="2150" w:type="dxa"/>
            <w:vAlign w:val="center"/>
          </w:tcPr>
          <w:p w:rsidR="00511A70" w:rsidRDefault="00A217D6">
            <w:pPr>
              <w:jc w:val="right"/>
            </w:pPr>
            <w:r>
              <w:rPr>
                <w:color w:val="000000"/>
                <w:sz w:val="24"/>
                <w:szCs w:val="24"/>
              </w:rPr>
              <w:t>10,013,000.00</w:t>
            </w:r>
          </w:p>
        </w:tc>
        <w:tc>
          <w:tcPr>
            <w:tcW w:w="1237" w:type="dxa"/>
            <w:vAlign w:val="center"/>
          </w:tcPr>
          <w:p w:rsidR="00511A70" w:rsidRDefault="00A217D6">
            <w:pPr>
              <w:jc w:val="right"/>
            </w:pPr>
            <w:r>
              <w:rPr>
                <w:color w:val="000000"/>
                <w:sz w:val="24"/>
                <w:szCs w:val="24"/>
              </w:rPr>
              <w:t>3.15</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报告期内本基金投资的前十名证券的发行主体除光大证券（证券代码：</w:t>
      </w:r>
      <w:r w:rsidRPr="00BE5388">
        <w:rPr>
          <w:bCs/>
          <w:color w:val="000000"/>
          <w:kern w:val="0"/>
          <w:sz w:val="24"/>
          <w:szCs w:val="24"/>
        </w:rPr>
        <w:t>601788</w:t>
      </w:r>
      <w:r w:rsidRPr="00BE5388">
        <w:rPr>
          <w:bCs/>
          <w:color w:val="000000"/>
          <w:kern w:val="0"/>
          <w:sz w:val="24"/>
          <w:szCs w:val="24"/>
        </w:rPr>
        <w:t>）外，未出现被监管部门立案调查，或在报告编制日前一年内受到公开谴责、处罚的情形。</w:t>
      </w:r>
    </w:p>
    <w:p w:rsidR="00511A70" w:rsidRDefault="00A217D6">
      <w:pPr>
        <w:autoSpaceDE w:val="0"/>
        <w:autoSpaceDN w:val="0"/>
        <w:adjustRightInd w:val="0"/>
        <w:spacing w:before="29" w:line="288" w:lineRule="auto"/>
        <w:jc w:val="left"/>
        <w:rPr>
          <w:bCs/>
          <w:color w:val="000000"/>
          <w:kern w:val="0"/>
          <w:sz w:val="24"/>
          <w:szCs w:val="24"/>
        </w:rPr>
      </w:pPr>
      <w:r>
        <w:rPr>
          <w:bCs/>
          <w:color w:val="000000"/>
          <w:kern w:val="0"/>
          <w:sz w:val="24"/>
          <w:szCs w:val="24"/>
        </w:rPr>
        <w:t>报告期内本基金投资的前十名证券之一光大证券（证券代码：</w:t>
      </w:r>
      <w:r>
        <w:rPr>
          <w:bCs/>
          <w:color w:val="000000"/>
          <w:kern w:val="0"/>
          <w:sz w:val="24"/>
          <w:szCs w:val="24"/>
        </w:rPr>
        <w:t>601788</w:t>
      </w:r>
      <w:r>
        <w:rPr>
          <w:bCs/>
          <w:color w:val="000000"/>
          <w:kern w:val="0"/>
          <w:sz w:val="24"/>
          <w:szCs w:val="24"/>
        </w:rPr>
        <w:t>）于</w:t>
      </w:r>
      <w:r>
        <w:rPr>
          <w:bCs/>
          <w:color w:val="000000"/>
          <w:kern w:val="0"/>
          <w:sz w:val="24"/>
          <w:szCs w:val="24"/>
        </w:rPr>
        <w:t>2014</w:t>
      </w:r>
      <w:r>
        <w:rPr>
          <w:bCs/>
          <w:color w:val="000000"/>
          <w:kern w:val="0"/>
          <w:sz w:val="24"/>
          <w:szCs w:val="24"/>
        </w:rPr>
        <w:t>年</w:t>
      </w:r>
      <w:r>
        <w:rPr>
          <w:bCs/>
          <w:color w:val="000000"/>
          <w:kern w:val="0"/>
          <w:sz w:val="24"/>
          <w:szCs w:val="24"/>
        </w:rPr>
        <w:t>3</w:t>
      </w:r>
      <w:r>
        <w:rPr>
          <w:bCs/>
          <w:color w:val="000000"/>
          <w:kern w:val="0"/>
          <w:sz w:val="24"/>
          <w:szCs w:val="24"/>
        </w:rPr>
        <w:t>月</w:t>
      </w:r>
      <w:r>
        <w:rPr>
          <w:bCs/>
          <w:color w:val="000000"/>
          <w:kern w:val="0"/>
          <w:sz w:val="24"/>
          <w:szCs w:val="24"/>
        </w:rPr>
        <w:t>5</w:t>
      </w:r>
      <w:r>
        <w:rPr>
          <w:bCs/>
          <w:color w:val="000000"/>
          <w:kern w:val="0"/>
          <w:sz w:val="24"/>
          <w:szCs w:val="24"/>
        </w:rPr>
        <w:t>日公告，公司因天丰节能项目于</w:t>
      </w:r>
      <w:r>
        <w:rPr>
          <w:bCs/>
          <w:color w:val="000000"/>
          <w:kern w:val="0"/>
          <w:sz w:val="24"/>
          <w:szCs w:val="24"/>
        </w:rPr>
        <w:t>2014</w:t>
      </w:r>
      <w:r>
        <w:rPr>
          <w:bCs/>
          <w:color w:val="000000"/>
          <w:kern w:val="0"/>
          <w:sz w:val="24"/>
          <w:szCs w:val="24"/>
        </w:rPr>
        <w:t>年</w:t>
      </w:r>
      <w:r>
        <w:rPr>
          <w:bCs/>
          <w:color w:val="000000"/>
          <w:kern w:val="0"/>
          <w:sz w:val="24"/>
          <w:szCs w:val="24"/>
        </w:rPr>
        <w:t>3</w:t>
      </w:r>
      <w:r>
        <w:rPr>
          <w:bCs/>
          <w:color w:val="000000"/>
          <w:kern w:val="0"/>
          <w:sz w:val="24"/>
          <w:szCs w:val="24"/>
        </w:rPr>
        <w:t>月</w:t>
      </w:r>
      <w:r>
        <w:rPr>
          <w:bCs/>
          <w:color w:val="000000"/>
          <w:kern w:val="0"/>
          <w:sz w:val="24"/>
          <w:szCs w:val="24"/>
        </w:rPr>
        <w:t>4</w:t>
      </w:r>
      <w:r>
        <w:rPr>
          <w:bCs/>
          <w:color w:val="000000"/>
          <w:kern w:val="0"/>
          <w:sz w:val="24"/>
          <w:szCs w:val="24"/>
        </w:rPr>
        <w:t>日收到中国证券监督管理委员会《行政处罚决定书》。据此，中国证券监督管理委员会决定对公司给予警告，没收业务收入</w:t>
      </w:r>
      <w:r>
        <w:rPr>
          <w:bCs/>
          <w:color w:val="000000"/>
          <w:kern w:val="0"/>
          <w:sz w:val="24"/>
          <w:szCs w:val="24"/>
        </w:rPr>
        <w:t>215</w:t>
      </w:r>
      <w:r>
        <w:rPr>
          <w:bCs/>
          <w:color w:val="000000"/>
          <w:kern w:val="0"/>
          <w:sz w:val="24"/>
          <w:szCs w:val="24"/>
        </w:rPr>
        <w:t>万元，并处以</w:t>
      </w:r>
      <w:r>
        <w:rPr>
          <w:bCs/>
          <w:color w:val="000000"/>
          <w:kern w:val="0"/>
          <w:sz w:val="24"/>
          <w:szCs w:val="24"/>
        </w:rPr>
        <w:t>430</w:t>
      </w:r>
      <w:r>
        <w:rPr>
          <w:bCs/>
          <w:color w:val="000000"/>
          <w:kern w:val="0"/>
          <w:sz w:val="24"/>
          <w:szCs w:val="24"/>
        </w:rPr>
        <w:t>万元罚款。</w:t>
      </w:r>
    </w:p>
    <w:p w:rsidR="00511A70" w:rsidRDefault="00A217D6">
      <w:pPr>
        <w:autoSpaceDE w:val="0"/>
        <w:autoSpaceDN w:val="0"/>
        <w:adjustRightInd w:val="0"/>
        <w:spacing w:before="29" w:line="288" w:lineRule="auto"/>
        <w:jc w:val="left"/>
        <w:rPr>
          <w:bCs/>
          <w:color w:val="000000"/>
          <w:kern w:val="0"/>
          <w:sz w:val="24"/>
          <w:szCs w:val="24"/>
        </w:rPr>
      </w:pPr>
      <w:r>
        <w:rPr>
          <w:bCs/>
          <w:color w:val="000000"/>
          <w:kern w:val="0"/>
          <w:sz w:val="24"/>
          <w:szCs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核心股票池。在对该证券的持有过程中公司研究员密切关注上市公司动向。在上述事件发生时及时分析其对投资决策的影响，经过分析认为此事件对上市公司财务状况、经营成果和现金流量未产生重大的实质性影响，所以不影响对该公司基本面和公司治理的投资判断。</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193,627.28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1,775,291.95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190,908.28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2,159,827.51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511A70">
        <w:trPr>
          <w:jc w:val="center"/>
        </w:trPr>
        <w:tc>
          <w:tcPr>
            <w:tcW w:w="1883" w:type="dxa"/>
            <w:vAlign w:val="center"/>
          </w:tcPr>
          <w:p w:rsidR="00511A70" w:rsidRDefault="00A217D6">
            <w:pPr>
              <w:jc w:val="center"/>
            </w:pPr>
            <w:r>
              <w:rPr>
                <w:color w:val="000000"/>
                <w:sz w:val="24"/>
                <w:szCs w:val="24"/>
              </w:rPr>
              <w:t>1</w:t>
            </w:r>
          </w:p>
        </w:tc>
        <w:tc>
          <w:tcPr>
            <w:tcW w:w="1801" w:type="dxa"/>
            <w:vAlign w:val="center"/>
          </w:tcPr>
          <w:p w:rsidR="00511A70" w:rsidRDefault="00A217D6">
            <w:pPr>
              <w:jc w:val="center"/>
            </w:pPr>
            <w:r>
              <w:rPr>
                <w:color w:val="000000"/>
                <w:sz w:val="24"/>
                <w:szCs w:val="24"/>
              </w:rPr>
              <w:t>110020</w:t>
            </w:r>
          </w:p>
        </w:tc>
        <w:tc>
          <w:tcPr>
            <w:tcW w:w="1727" w:type="dxa"/>
            <w:vAlign w:val="center"/>
          </w:tcPr>
          <w:p w:rsidR="00511A70" w:rsidRDefault="00A217D6">
            <w:pPr>
              <w:jc w:val="center"/>
            </w:pPr>
            <w:r>
              <w:rPr>
                <w:color w:val="000000"/>
                <w:sz w:val="24"/>
                <w:szCs w:val="24"/>
              </w:rPr>
              <w:t>南山转债</w:t>
            </w:r>
          </w:p>
        </w:tc>
        <w:tc>
          <w:tcPr>
            <w:tcW w:w="1768" w:type="dxa"/>
            <w:vAlign w:val="center"/>
          </w:tcPr>
          <w:p w:rsidR="00511A70" w:rsidRDefault="00A217D6">
            <w:pPr>
              <w:jc w:val="right"/>
            </w:pPr>
            <w:r>
              <w:rPr>
                <w:color w:val="000000"/>
                <w:sz w:val="24"/>
                <w:szCs w:val="24"/>
              </w:rPr>
              <w:t>13,994,506.40</w:t>
            </w:r>
          </w:p>
        </w:tc>
        <w:tc>
          <w:tcPr>
            <w:tcW w:w="1689" w:type="dxa"/>
            <w:vAlign w:val="center"/>
          </w:tcPr>
          <w:p w:rsidR="00511A70" w:rsidRDefault="00A217D6">
            <w:pPr>
              <w:jc w:val="right"/>
            </w:pPr>
            <w:r>
              <w:rPr>
                <w:color w:val="000000"/>
                <w:sz w:val="24"/>
                <w:szCs w:val="24"/>
              </w:rPr>
              <w:t>4.41</w:t>
            </w:r>
          </w:p>
        </w:tc>
      </w:tr>
      <w:tr w:rsidR="00511A70">
        <w:trPr>
          <w:jc w:val="center"/>
        </w:trPr>
        <w:tc>
          <w:tcPr>
            <w:tcW w:w="1883" w:type="dxa"/>
            <w:vAlign w:val="center"/>
          </w:tcPr>
          <w:p w:rsidR="00511A70" w:rsidRDefault="00A217D6">
            <w:pPr>
              <w:jc w:val="center"/>
            </w:pPr>
            <w:r>
              <w:rPr>
                <w:color w:val="000000"/>
                <w:sz w:val="24"/>
                <w:szCs w:val="24"/>
              </w:rPr>
              <w:t>2</w:t>
            </w:r>
          </w:p>
        </w:tc>
        <w:tc>
          <w:tcPr>
            <w:tcW w:w="1801" w:type="dxa"/>
            <w:vAlign w:val="center"/>
          </w:tcPr>
          <w:p w:rsidR="00511A70" w:rsidRDefault="00A217D6">
            <w:pPr>
              <w:jc w:val="center"/>
            </w:pPr>
            <w:r>
              <w:rPr>
                <w:color w:val="000000"/>
                <w:sz w:val="24"/>
                <w:szCs w:val="24"/>
              </w:rPr>
              <w:t>110023</w:t>
            </w:r>
          </w:p>
        </w:tc>
        <w:tc>
          <w:tcPr>
            <w:tcW w:w="1727" w:type="dxa"/>
            <w:vAlign w:val="center"/>
          </w:tcPr>
          <w:p w:rsidR="00511A70" w:rsidRDefault="00A217D6">
            <w:pPr>
              <w:jc w:val="center"/>
            </w:pPr>
            <w:r>
              <w:rPr>
                <w:color w:val="000000"/>
                <w:sz w:val="24"/>
                <w:szCs w:val="24"/>
              </w:rPr>
              <w:t>民生转债</w:t>
            </w:r>
          </w:p>
        </w:tc>
        <w:tc>
          <w:tcPr>
            <w:tcW w:w="1768" w:type="dxa"/>
            <w:vAlign w:val="center"/>
          </w:tcPr>
          <w:p w:rsidR="00511A70" w:rsidRDefault="00A217D6">
            <w:pPr>
              <w:jc w:val="right"/>
            </w:pPr>
            <w:r>
              <w:rPr>
                <w:color w:val="000000"/>
                <w:sz w:val="24"/>
                <w:szCs w:val="24"/>
              </w:rPr>
              <w:t>13,827,000.00</w:t>
            </w:r>
          </w:p>
        </w:tc>
        <w:tc>
          <w:tcPr>
            <w:tcW w:w="1689" w:type="dxa"/>
            <w:vAlign w:val="center"/>
          </w:tcPr>
          <w:p w:rsidR="00511A70" w:rsidRDefault="00A217D6">
            <w:pPr>
              <w:jc w:val="right"/>
            </w:pPr>
            <w:r>
              <w:rPr>
                <w:color w:val="000000"/>
                <w:sz w:val="24"/>
                <w:szCs w:val="24"/>
              </w:rPr>
              <w:t>4.35</w:t>
            </w:r>
          </w:p>
        </w:tc>
      </w:tr>
      <w:tr w:rsidR="00511A70">
        <w:trPr>
          <w:jc w:val="center"/>
        </w:trPr>
        <w:tc>
          <w:tcPr>
            <w:tcW w:w="1883" w:type="dxa"/>
            <w:vAlign w:val="center"/>
          </w:tcPr>
          <w:p w:rsidR="00511A70" w:rsidRDefault="00A217D6">
            <w:pPr>
              <w:jc w:val="center"/>
            </w:pPr>
            <w:r>
              <w:rPr>
                <w:color w:val="000000"/>
                <w:sz w:val="24"/>
                <w:szCs w:val="24"/>
              </w:rPr>
              <w:t>3</w:t>
            </w:r>
          </w:p>
        </w:tc>
        <w:tc>
          <w:tcPr>
            <w:tcW w:w="1801" w:type="dxa"/>
            <w:vAlign w:val="center"/>
          </w:tcPr>
          <w:p w:rsidR="00511A70" w:rsidRDefault="00A217D6">
            <w:pPr>
              <w:jc w:val="center"/>
            </w:pPr>
            <w:r>
              <w:rPr>
                <w:color w:val="000000"/>
                <w:sz w:val="24"/>
                <w:szCs w:val="24"/>
              </w:rPr>
              <w:t>113001</w:t>
            </w:r>
          </w:p>
        </w:tc>
        <w:tc>
          <w:tcPr>
            <w:tcW w:w="1727" w:type="dxa"/>
            <w:vAlign w:val="center"/>
          </w:tcPr>
          <w:p w:rsidR="00511A70" w:rsidRDefault="00A217D6">
            <w:pPr>
              <w:jc w:val="center"/>
            </w:pPr>
            <w:r>
              <w:rPr>
                <w:color w:val="000000"/>
                <w:sz w:val="24"/>
                <w:szCs w:val="24"/>
              </w:rPr>
              <w:t>中行转债</w:t>
            </w:r>
          </w:p>
        </w:tc>
        <w:tc>
          <w:tcPr>
            <w:tcW w:w="1768" w:type="dxa"/>
            <w:vAlign w:val="center"/>
          </w:tcPr>
          <w:p w:rsidR="00511A70" w:rsidRDefault="00A217D6">
            <w:pPr>
              <w:jc w:val="right"/>
            </w:pPr>
            <w:r>
              <w:rPr>
                <w:color w:val="000000"/>
                <w:sz w:val="24"/>
                <w:szCs w:val="24"/>
              </w:rPr>
              <w:t>6,833,587.60</w:t>
            </w:r>
          </w:p>
        </w:tc>
        <w:tc>
          <w:tcPr>
            <w:tcW w:w="1689" w:type="dxa"/>
            <w:vAlign w:val="center"/>
          </w:tcPr>
          <w:p w:rsidR="00511A70" w:rsidRDefault="00A217D6">
            <w:pPr>
              <w:jc w:val="right"/>
            </w:pPr>
            <w:r>
              <w:rPr>
                <w:color w:val="000000"/>
                <w:sz w:val="24"/>
                <w:szCs w:val="24"/>
              </w:rPr>
              <w:t>2.15</w:t>
            </w:r>
          </w:p>
        </w:tc>
      </w:tr>
      <w:tr w:rsidR="00511A70">
        <w:trPr>
          <w:jc w:val="center"/>
        </w:trPr>
        <w:tc>
          <w:tcPr>
            <w:tcW w:w="1883" w:type="dxa"/>
            <w:vAlign w:val="center"/>
          </w:tcPr>
          <w:p w:rsidR="00511A70" w:rsidRDefault="00A217D6">
            <w:pPr>
              <w:jc w:val="center"/>
            </w:pPr>
            <w:r>
              <w:rPr>
                <w:color w:val="000000"/>
                <w:sz w:val="24"/>
                <w:szCs w:val="24"/>
              </w:rPr>
              <w:t>4</w:t>
            </w:r>
          </w:p>
        </w:tc>
        <w:tc>
          <w:tcPr>
            <w:tcW w:w="1801" w:type="dxa"/>
            <w:vAlign w:val="center"/>
          </w:tcPr>
          <w:p w:rsidR="00511A70" w:rsidRDefault="00A217D6">
            <w:pPr>
              <w:jc w:val="center"/>
            </w:pPr>
            <w:r>
              <w:rPr>
                <w:color w:val="000000"/>
                <w:sz w:val="24"/>
                <w:szCs w:val="24"/>
              </w:rPr>
              <w:t>110017</w:t>
            </w:r>
          </w:p>
        </w:tc>
        <w:tc>
          <w:tcPr>
            <w:tcW w:w="1727" w:type="dxa"/>
            <w:vAlign w:val="center"/>
          </w:tcPr>
          <w:p w:rsidR="00511A70" w:rsidRDefault="00A217D6">
            <w:pPr>
              <w:jc w:val="center"/>
            </w:pPr>
            <w:r>
              <w:rPr>
                <w:color w:val="000000"/>
                <w:sz w:val="24"/>
                <w:szCs w:val="24"/>
              </w:rPr>
              <w:t>中海转债</w:t>
            </w:r>
          </w:p>
        </w:tc>
        <w:tc>
          <w:tcPr>
            <w:tcW w:w="1768" w:type="dxa"/>
            <w:vAlign w:val="center"/>
          </w:tcPr>
          <w:p w:rsidR="00511A70" w:rsidRDefault="00A217D6">
            <w:pPr>
              <w:jc w:val="right"/>
            </w:pPr>
            <w:r>
              <w:rPr>
                <w:color w:val="000000"/>
                <w:sz w:val="24"/>
                <w:szCs w:val="24"/>
              </w:rPr>
              <w:t>3,774,000.00</w:t>
            </w:r>
          </w:p>
        </w:tc>
        <w:tc>
          <w:tcPr>
            <w:tcW w:w="1689" w:type="dxa"/>
            <w:vAlign w:val="center"/>
          </w:tcPr>
          <w:p w:rsidR="00511A70" w:rsidRDefault="00A217D6">
            <w:pPr>
              <w:jc w:val="right"/>
            </w:pPr>
            <w:r>
              <w:rPr>
                <w:color w:val="000000"/>
                <w:sz w:val="24"/>
                <w:szCs w:val="24"/>
              </w:rPr>
              <w:t>1.19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181,620,569.27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52,154,171.80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27,279,451.23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206,495,289.84</w:t>
            </w:r>
          </w:p>
        </w:tc>
      </w:tr>
    </w:tbl>
    <w:p w:rsidR="00511A70" w:rsidRDefault="00A217D6">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DD27CC">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DD27CC">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依据中国证监会《关于进一步规范证券投资基金估值业务的指导意见》（证监会公告</w:t>
      </w:r>
      <w:r w:rsidRPr="00414345">
        <w:rPr>
          <w:color w:val="000000"/>
          <w:sz w:val="24"/>
          <w:szCs w:val="24"/>
        </w:rPr>
        <w:t>[2008]38</w:t>
      </w:r>
      <w:r w:rsidRPr="00414345">
        <w:rPr>
          <w:color w:val="000000"/>
          <w:sz w:val="24"/>
          <w:szCs w:val="24"/>
        </w:rPr>
        <w:t>号）的有关规定和《关于发布中基协（</w:t>
      </w:r>
      <w:r w:rsidRPr="00414345">
        <w:rPr>
          <w:color w:val="000000"/>
          <w:sz w:val="24"/>
          <w:szCs w:val="24"/>
        </w:rPr>
        <w:t>AMAC</w:t>
      </w:r>
      <w:r w:rsidRPr="00414345">
        <w:rPr>
          <w:color w:val="000000"/>
          <w:sz w:val="24"/>
          <w:szCs w:val="24"/>
        </w:rPr>
        <w:t>）基金行业股票估值指数的通知》的指导意见，经与基金托管人协商一致，本基金对其所持有的中航飞机（证券代码：</w:t>
      </w:r>
      <w:r w:rsidRPr="00414345">
        <w:rPr>
          <w:color w:val="000000"/>
          <w:sz w:val="24"/>
          <w:szCs w:val="24"/>
        </w:rPr>
        <w:t>000768</w:t>
      </w:r>
      <w:r w:rsidRPr="00414345">
        <w:rPr>
          <w:color w:val="000000"/>
          <w:sz w:val="24"/>
          <w:szCs w:val="24"/>
        </w:rPr>
        <w:t>）股票自</w:t>
      </w:r>
      <w:r w:rsidRPr="00414345">
        <w:rPr>
          <w:color w:val="000000"/>
          <w:sz w:val="24"/>
          <w:szCs w:val="24"/>
        </w:rPr>
        <w:t>2014</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8</w:t>
      </w:r>
      <w:r w:rsidRPr="00414345">
        <w:rPr>
          <w:color w:val="000000"/>
          <w:sz w:val="24"/>
          <w:szCs w:val="24"/>
        </w:rPr>
        <w:t>日起按照指数收益法进行估值，并已于</w:t>
      </w:r>
      <w:r w:rsidRPr="00414345">
        <w:rPr>
          <w:color w:val="000000"/>
          <w:sz w:val="24"/>
          <w:szCs w:val="24"/>
        </w:rPr>
        <w:t>2014</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17</w:t>
      </w:r>
      <w:r w:rsidRPr="00414345">
        <w:rPr>
          <w:color w:val="000000"/>
          <w:sz w:val="24"/>
          <w:szCs w:val="24"/>
        </w:rPr>
        <w:t>日起恢复按市场价格进行估值；本基金对其所持有的泰格医药（证券代码：</w:t>
      </w:r>
      <w:r w:rsidRPr="00414345">
        <w:rPr>
          <w:color w:val="000000"/>
          <w:sz w:val="24"/>
          <w:szCs w:val="24"/>
        </w:rPr>
        <w:t>300347</w:t>
      </w:r>
      <w:r w:rsidRPr="00414345">
        <w:rPr>
          <w:color w:val="000000"/>
          <w:sz w:val="24"/>
          <w:szCs w:val="24"/>
        </w:rPr>
        <w:t>）股票自</w:t>
      </w:r>
      <w:r w:rsidRPr="00414345">
        <w:rPr>
          <w:color w:val="000000"/>
          <w:sz w:val="24"/>
          <w:szCs w:val="24"/>
        </w:rPr>
        <w:t>2014</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15</w:t>
      </w:r>
      <w:r w:rsidRPr="00414345">
        <w:rPr>
          <w:color w:val="000000"/>
          <w:sz w:val="24"/>
          <w:szCs w:val="24"/>
        </w:rPr>
        <w:t>日起按照指数收益法进行估值；本基金对其所持有的龙元建设（证券代码：</w:t>
      </w:r>
      <w:r w:rsidRPr="00414345">
        <w:rPr>
          <w:color w:val="000000"/>
          <w:sz w:val="24"/>
          <w:szCs w:val="24"/>
        </w:rPr>
        <w:t>600491</w:t>
      </w:r>
      <w:r w:rsidRPr="00414345">
        <w:rPr>
          <w:color w:val="000000"/>
          <w:sz w:val="24"/>
          <w:szCs w:val="24"/>
        </w:rPr>
        <w:t>）股票自</w:t>
      </w:r>
      <w:r w:rsidRPr="00414345">
        <w:rPr>
          <w:color w:val="000000"/>
          <w:sz w:val="24"/>
          <w:szCs w:val="24"/>
        </w:rPr>
        <w:t>2014</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19</w:t>
      </w:r>
      <w:r w:rsidRPr="00414345">
        <w:rPr>
          <w:color w:val="000000"/>
          <w:sz w:val="24"/>
          <w:szCs w:val="24"/>
        </w:rPr>
        <w:t>日起按照指数收益法进行估值，并已于</w:t>
      </w:r>
      <w:r w:rsidRPr="00414345">
        <w:rPr>
          <w:color w:val="000000"/>
          <w:sz w:val="24"/>
          <w:szCs w:val="24"/>
        </w:rPr>
        <w:t>2014</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26</w:t>
      </w:r>
      <w:r w:rsidRPr="00414345">
        <w:rPr>
          <w:color w:val="000000"/>
          <w:sz w:val="24"/>
          <w:szCs w:val="24"/>
        </w:rPr>
        <w:t>日起恢复按市场价格进行估值。</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DD27CC">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511A70" w:rsidRDefault="00A217D6">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、中国证监会批准交银施罗德保本混合型证券投资基金募集的文件；</w:t>
      </w:r>
      <w:r>
        <w:rPr>
          <w:color w:val="000000"/>
          <w:sz w:val="24"/>
          <w:szCs w:val="24"/>
        </w:rPr>
        <w:t xml:space="preserve"> </w:t>
      </w:r>
    </w:p>
    <w:p w:rsidR="00511A70" w:rsidRDefault="00A217D6">
      <w:pPr>
        <w:spacing w:before="29" w:line="288" w:lineRule="auto"/>
        <w:ind w:firstLineChars="200" w:firstLine="480"/>
        <w:rPr>
          <w:color w:val="000000"/>
          <w:sz w:val="24"/>
          <w:szCs w:val="24"/>
        </w:rPr>
      </w:pPr>
      <w:r>
        <w:rPr>
          <w:color w:val="000000"/>
          <w:sz w:val="24"/>
          <w:szCs w:val="24"/>
        </w:rPr>
        <w:t>2</w:t>
      </w:r>
      <w:r>
        <w:rPr>
          <w:color w:val="000000"/>
          <w:sz w:val="24"/>
          <w:szCs w:val="24"/>
        </w:rPr>
        <w:t>、《交银施罗德优势行业灵活配置混合型证券投资基金基金合同》；</w:t>
      </w:r>
      <w:r>
        <w:rPr>
          <w:color w:val="000000"/>
          <w:sz w:val="24"/>
          <w:szCs w:val="24"/>
        </w:rPr>
        <w:t xml:space="preserve"> </w:t>
      </w:r>
    </w:p>
    <w:p w:rsidR="00511A70" w:rsidRDefault="00A217D6">
      <w:pPr>
        <w:spacing w:before="29" w:line="288" w:lineRule="auto"/>
        <w:ind w:firstLineChars="200" w:firstLine="480"/>
        <w:rPr>
          <w:color w:val="000000"/>
          <w:sz w:val="24"/>
          <w:szCs w:val="24"/>
        </w:rPr>
      </w:pPr>
      <w:r>
        <w:rPr>
          <w:color w:val="000000"/>
          <w:sz w:val="24"/>
          <w:szCs w:val="24"/>
        </w:rPr>
        <w:t>3</w:t>
      </w:r>
      <w:r>
        <w:rPr>
          <w:color w:val="000000"/>
          <w:sz w:val="24"/>
          <w:szCs w:val="24"/>
        </w:rPr>
        <w:t>、《交银施罗德优势行业灵活配置混合型证券投资基金招募说明书》；</w:t>
      </w:r>
      <w:r>
        <w:rPr>
          <w:color w:val="000000"/>
          <w:sz w:val="24"/>
          <w:szCs w:val="24"/>
        </w:rPr>
        <w:t xml:space="preserve"> </w:t>
      </w:r>
    </w:p>
    <w:p w:rsidR="00511A70" w:rsidRDefault="00A217D6">
      <w:pPr>
        <w:spacing w:before="29" w:line="288" w:lineRule="auto"/>
        <w:ind w:firstLineChars="200" w:firstLine="480"/>
        <w:rPr>
          <w:color w:val="000000"/>
          <w:sz w:val="24"/>
          <w:szCs w:val="24"/>
        </w:rPr>
      </w:pPr>
      <w:r>
        <w:rPr>
          <w:color w:val="000000"/>
          <w:sz w:val="24"/>
          <w:szCs w:val="24"/>
        </w:rPr>
        <w:t>4</w:t>
      </w:r>
      <w:r>
        <w:rPr>
          <w:color w:val="000000"/>
          <w:sz w:val="24"/>
          <w:szCs w:val="24"/>
        </w:rPr>
        <w:t>、《交银施罗德优势行业灵活配置混合型证券投资基金托管协议》；</w:t>
      </w:r>
    </w:p>
    <w:p w:rsidR="00511A70" w:rsidRDefault="00A217D6">
      <w:pPr>
        <w:spacing w:before="29" w:line="288" w:lineRule="auto"/>
        <w:ind w:firstLineChars="200" w:firstLine="480"/>
        <w:rPr>
          <w:color w:val="000000"/>
          <w:sz w:val="24"/>
          <w:szCs w:val="24"/>
        </w:rPr>
      </w:pPr>
      <w:r>
        <w:rPr>
          <w:color w:val="000000"/>
          <w:sz w:val="24"/>
          <w:szCs w:val="24"/>
        </w:rPr>
        <w:t>5</w:t>
      </w:r>
      <w:r>
        <w:rPr>
          <w:color w:val="000000"/>
          <w:sz w:val="24"/>
          <w:szCs w:val="24"/>
        </w:rPr>
        <w:t>、《交银施罗德保本混合型证券投资基金基金合同》；</w:t>
      </w:r>
      <w:r>
        <w:rPr>
          <w:color w:val="000000"/>
          <w:sz w:val="24"/>
          <w:szCs w:val="24"/>
        </w:rPr>
        <w:t xml:space="preserve"> </w:t>
      </w:r>
    </w:p>
    <w:p w:rsidR="00511A70" w:rsidRDefault="00A217D6">
      <w:pPr>
        <w:spacing w:before="29" w:line="288" w:lineRule="auto"/>
        <w:ind w:firstLineChars="200" w:firstLine="480"/>
        <w:rPr>
          <w:color w:val="000000"/>
          <w:sz w:val="24"/>
          <w:szCs w:val="24"/>
        </w:rPr>
      </w:pPr>
      <w:r>
        <w:rPr>
          <w:color w:val="000000"/>
          <w:sz w:val="24"/>
          <w:szCs w:val="24"/>
        </w:rPr>
        <w:t>6</w:t>
      </w:r>
      <w:r>
        <w:rPr>
          <w:color w:val="000000"/>
          <w:sz w:val="24"/>
          <w:szCs w:val="24"/>
        </w:rPr>
        <w:t>、《交银施罗德保本混合型证券投资基金招募说明书》；</w:t>
      </w:r>
      <w:r>
        <w:rPr>
          <w:color w:val="000000"/>
          <w:sz w:val="24"/>
          <w:szCs w:val="24"/>
        </w:rPr>
        <w:t xml:space="preserve"> </w:t>
      </w:r>
    </w:p>
    <w:p w:rsidR="00511A70" w:rsidRDefault="00A217D6">
      <w:pPr>
        <w:spacing w:before="29" w:line="288" w:lineRule="auto"/>
        <w:ind w:firstLineChars="200" w:firstLine="480"/>
        <w:rPr>
          <w:color w:val="000000"/>
          <w:sz w:val="24"/>
          <w:szCs w:val="24"/>
        </w:rPr>
      </w:pPr>
      <w:r>
        <w:rPr>
          <w:color w:val="000000"/>
          <w:sz w:val="24"/>
          <w:szCs w:val="24"/>
        </w:rPr>
        <w:t>7</w:t>
      </w:r>
      <w:r>
        <w:rPr>
          <w:color w:val="000000"/>
          <w:sz w:val="24"/>
          <w:szCs w:val="24"/>
        </w:rPr>
        <w:t>、《交银施罗德保本混合型证券投资基金托管协议》；</w:t>
      </w:r>
    </w:p>
    <w:p w:rsidR="00511A70" w:rsidRDefault="00A217D6">
      <w:pPr>
        <w:spacing w:before="29" w:line="288" w:lineRule="auto"/>
        <w:ind w:firstLineChars="200" w:firstLine="480"/>
        <w:rPr>
          <w:color w:val="000000"/>
          <w:sz w:val="24"/>
          <w:szCs w:val="24"/>
        </w:rPr>
      </w:pPr>
      <w:r>
        <w:rPr>
          <w:color w:val="000000"/>
          <w:sz w:val="24"/>
          <w:szCs w:val="24"/>
        </w:rPr>
        <w:t>8</w:t>
      </w:r>
      <w:r>
        <w:rPr>
          <w:color w:val="000000"/>
          <w:sz w:val="24"/>
          <w:szCs w:val="24"/>
        </w:rPr>
        <w:t>、《交银施罗德保本混合型证券投资基金保函》；</w:t>
      </w:r>
    </w:p>
    <w:p w:rsidR="00511A70" w:rsidRDefault="00A217D6">
      <w:pPr>
        <w:spacing w:before="29" w:line="288" w:lineRule="auto"/>
        <w:ind w:firstLineChars="200" w:firstLine="480"/>
        <w:rPr>
          <w:color w:val="000000"/>
          <w:sz w:val="24"/>
          <w:szCs w:val="24"/>
        </w:rPr>
      </w:pPr>
      <w:r>
        <w:rPr>
          <w:color w:val="000000"/>
          <w:sz w:val="24"/>
          <w:szCs w:val="24"/>
        </w:rPr>
        <w:t>9</w:t>
      </w:r>
      <w:r>
        <w:rPr>
          <w:color w:val="000000"/>
          <w:sz w:val="24"/>
          <w:szCs w:val="24"/>
        </w:rPr>
        <w:t>、上海源泰律师事务所出具的《关于申请募集交银施罗德保本混合型证券投资基金之法律意见书》；</w:t>
      </w:r>
    </w:p>
    <w:p w:rsidR="00511A70" w:rsidRDefault="00A217D6">
      <w:pPr>
        <w:spacing w:before="29" w:line="288" w:lineRule="auto"/>
        <w:ind w:firstLineChars="200" w:firstLine="480"/>
        <w:rPr>
          <w:color w:val="000000"/>
          <w:sz w:val="24"/>
          <w:szCs w:val="24"/>
        </w:rPr>
      </w:pPr>
      <w:r>
        <w:rPr>
          <w:color w:val="000000"/>
          <w:sz w:val="24"/>
          <w:szCs w:val="24"/>
        </w:rPr>
        <w:t>10</w:t>
      </w:r>
      <w:r>
        <w:rPr>
          <w:color w:val="000000"/>
          <w:sz w:val="24"/>
          <w:szCs w:val="24"/>
        </w:rPr>
        <w:t>、上海市通力律师事务所出具的《关于交银施罗德保本混合型证券投资基金保本周期到期转型方案及基金合同修改的法律意见》；</w:t>
      </w:r>
    </w:p>
    <w:p w:rsidR="00511A70" w:rsidRDefault="00A217D6">
      <w:pPr>
        <w:spacing w:before="29" w:line="288" w:lineRule="auto"/>
        <w:ind w:firstLineChars="200" w:firstLine="480"/>
        <w:rPr>
          <w:color w:val="000000"/>
          <w:sz w:val="24"/>
          <w:szCs w:val="24"/>
        </w:rPr>
      </w:pPr>
      <w:r>
        <w:rPr>
          <w:color w:val="000000"/>
          <w:sz w:val="24"/>
          <w:szCs w:val="24"/>
        </w:rPr>
        <w:t>11</w:t>
      </w:r>
      <w:r>
        <w:rPr>
          <w:color w:val="000000"/>
          <w:sz w:val="24"/>
          <w:szCs w:val="24"/>
        </w:rPr>
        <w:t>、基金管理人业务资格批件、营业执照；</w:t>
      </w:r>
    </w:p>
    <w:p w:rsidR="00511A70" w:rsidRDefault="00A217D6">
      <w:pPr>
        <w:spacing w:before="29" w:line="288" w:lineRule="auto"/>
        <w:ind w:firstLineChars="200" w:firstLine="480"/>
        <w:rPr>
          <w:color w:val="000000"/>
          <w:sz w:val="24"/>
          <w:szCs w:val="24"/>
        </w:rPr>
      </w:pPr>
      <w:r>
        <w:rPr>
          <w:color w:val="000000"/>
          <w:sz w:val="24"/>
          <w:szCs w:val="24"/>
        </w:rPr>
        <w:t>12</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13</w:t>
      </w:r>
      <w:r w:rsidRPr="00414345">
        <w:rPr>
          <w:color w:val="000000"/>
          <w:sz w:val="24"/>
          <w:szCs w:val="24"/>
        </w:rPr>
        <w:t>、报告期内交银施罗德优势行业灵活配置混合型证券投资基金在指定报刊上各项公告的原稿。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511A70" w:rsidRDefault="00A217D6">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DF1" w:rsidRDefault="00203DF1" w:rsidP="00876D65">
      <w:r>
        <w:separator/>
      </w:r>
    </w:p>
  </w:endnote>
  <w:endnote w:type="continuationSeparator" w:id="0">
    <w:p w:rsidR="00203DF1" w:rsidRDefault="00203DF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90DDA">
      <w:rPr>
        <w:kern w:val="0"/>
        <w:szCs w:val="21"/>
      </w:rPr>
      <w:fldChar w:fldCharType="begin"/>
    </w:r>
    <w:r>
      <w:rPr>
        <w:kern w:val="0"/>
        <w:szCs w:val="21"/>
      </w:rPr>
      <w:instrText xml:space="preserve"> PAGE </w:instrText>
    </w:r>
    <w:r w:rsidR="00B90DDA">
      <w:rPr>
        <w:kern w:val="0"/>
        <w:szCs w:val="21"/>
      </w:rPr>
      <w:fldChar w:fldCharType="separate"/>
    </w:r>
    <w:r w:rsidR="00E37A04">
      <w:rPr>
        <w:noProof/>
        <w:kern w:val="0"/>
        <w:szCs w:val="21"/>
      </w:rPr>
      <w:t>1</w:t>
    </w:r>
    <w:r w:rsidR="00B90DDA">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90DDA">
      <w:rPr>
        <w:kern w:val="0"/>
        <w:szCs w:val="21"/>
      </w:rPr>
      <w:fldChar w:fldCharType="begin"/>
    </w:r>
    <w:r>
      <w:rPr>
        <w:kern w:val="0"/>
        <w:szCs w:val="21"/>
      </w:rPr>
      <w:instrText xml:space="preserve"> NUMPAGES </w:instrText>
    </w:r>
    <w:r w:rsidR="00B90DDA">
      <w:rPr>
        <w:kern w:val="0"/>
        <w:szCs w:val="21"/>
      </w:rPr>
      <w:fldChar w:fldCharType="separate"/>
    </w:r>
    <w:r w:rsidR="00E37A04">
      <w:rPr>
        <w:noProof/>
        <w:kern w:val="0"/>
        <w:szCs w:val="21"/>
      </w:rPr>
      <w:t>12</w:t>
    </w:r>
    <w:r w:rsidR="00B90DDA">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DF1" w:rsidRDefault="00203DF1" w:rsidP="00876D65">
      <w:r>
        <w:separator/>
      </w:r>
    </w:p>
  </w:footnote>
  <w:footnote w:type="continuationSeparator" w:id="0">
    <w:p w:rsidR="00203DF1" w:rsidRDefault="00203DF1"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C0993"/>
    <w:rsid w:val="001C79F2"/>
    <w:rsid w:val="001D6A4B"/>
    <w:rsid w:val="001E4630"/>
    <w:rsid w:val="001F0964"/>
    <w:rsid w:val="001F30DA"/>
    <w:rsid w:val="001F5DC5"/>
    <w:rsid w:val="00200FAB"/>
    <w:rsid w:val="00203DF1"/>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1A70"/>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17D6"/>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0DDA"/>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3DF3"/>
    <w:rsid w:val="00DC6B55"/>
    <w:rsid w:val="00DD27CC"/>
    <w:rsid w:val="00DE27F7"/>
    <w:rsid w:val="00DE4B43"/>
    <w:rsid w:val="00E02660"/>
    <w:rsid w:val="00E215BA"/>
    <w:rsid w:val="00E36549"/>
    <w:rsid w:val="00E37A04"/>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B4C04C17-7016-4002-BDE9-B1F67C82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6158E-FFDC-46CA-8DC3-A29AD48C4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1792</TotalTime>
  <Pages>12</Pages>
  <Words>1226</Words>
  <Characters>6989</Characters>
  <Application>Microsoft Office Word</Application>
  <DocSecurity>0</DocSecurity>
  <Lines>58</Lines>
  <Paragraphs>16</Paragraphs>
  <ScaleCrop>false</ScaleCrop>
  <Company/>
  <LinksUpToDate>false</LinksUpToDate>
  <CharactersWithSpaces>8199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560</cp:revision>
  <dcterms:created xsi:type="dcterms:W3CDTF">2012-10-16T06:07:00Z</dcterms:created>
  <dcterms:modified xsi:type="dcterms:W3CDTF">2015-01-20T03:42:00Z</dcterms:modified>
</cp:coreProperties>
</file>