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交银施罗德蓝筹股票证券投资基金</w:t>
      </w:r>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二〇一五年一月二十二日</w:t>
      </w:r>
    </w:p>
    <w:p w:rsidR="004061AC" w:rsidRPr="00414345" w:rsidRDefault="004061AC" w:rsidP="001F6CA5">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135545" w:rsidRDefault="00E23441">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135545" w:rsidRDefault="00E23441">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2015</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135545" w:rsidRDefault="00E23441">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135545" w:rsidRDefault="00E23441">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135545" w:rsidRDefault="00E23441">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F6CA5">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AA6513">
        <w:trPr>
          <w:jc w:val="center"/>
        </w:trPr>
        <w:tc>
          <w:tcPr>
            <w:tcW w:w="2835"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479"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交银蓝筹股票</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519694</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2007</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8</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8,097,846,379.61</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一只蓝筹股票基金，主要通过投资于业绩优良、发展稳定、在行业内占有支配性地位、分红稳定的蓝筹上市公司股票，在有效控制风险并保持基金资产良好流动性的前提下，追求在稳定分红的基础上实现基金资产的长期稳定增长。</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中证</w:t>
            </w:r>
            <w:r w:rsidRPr="00414345">
              <w:rPr>
                <w:color w:val="000000"/>
                <w:kern w:val="0"/>
                <w:sz w:val="24"/>
                <w:szCs w:val="24"/>
              </w:rPr>
              <w:t>100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中信标普全债指数</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本基金是一只股票型基金，以优质蓝筹股为主要投资</w:t>
            </w:r>
            <w:r w:rsidRPr="00414345">
              <w:rPr>
                <w:color w:val="000000"/>
                <w:kern w:val="0"/>
                <w:sz w:val="24"/>
                <w:szCs w:val="24"/>
              </w:rPr>
              <w:lastRenderedPageBreak/>
              <w:t>对象，属于证券投资基金中较高预期收益和较高风险的品种，本基金的风险与预期收益都要高于混合型基金和债券型基金。</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F6CA5">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E23441" w:rsidRPr="00414345" w:rsidTr="00E2344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E23441" w:rsidRPr="00414345" w:rsidTr="00E2344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427,929,675.61</w:t>
            </w:r>
          </w:p>
        </w:tc>
      </w:tr>
      <w:tr w:rsidR="00E23441" w:rsidRPr="00414345" w:rsidTr="00E2344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514,715,188.02</w:t>
            </w:r>
          </w:p>
        </w:tc>
      </w:tr>
      <w:tr w:rsidR="00E23441" w:rsidRPr="00414345" w:rsidTr="00E2344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0.0600</w:t>
            </w:r>
          </w:p>
        </w:tc>
      </w:tr>
      <w:tr w:rsidR="00E23441" w:rsidRPr="00414345" w:rsidTr="00E2344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6,612,572,696.50</w:t>
            </w:r>
          </w:p>
        </w:tc>
      </w:tr>
      <w:tr w:rsidR="00E23441" w:rsidRPr="00414345" w:rsidTr="00E2344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0.8166</w:t>
            </w:r>
          </w:p>
        </w:tc>
      </w:tr>
    </w:tbl>
    <w:p w:rsidR="00135545" w:rsidRDefault="00E2344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993"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1023"/>
      </w:tblGrid>
      <w:tr w:rsidR="00EF6FA5" w:rsidRPr="00414345" w:rsidTr="00245FD2">
        <w:trPr>
          <w:jc w:val="center"/>
        </w:trPr>
        <w:tc>
          <w:tcPr>
            <w:tcW w:w="1701"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102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135545" w:rsidTr="00245FD2">
        <w:trPr>
          <w:jc w:val="center"/>
        </w:trPr>
        <w:tc>
          <w:tcPr>
            <w:tcW w:w="1701" w:type="dxa"/>
            <w:vAlign w:val="center"/>
          </w:tcPr>
          <w:p w:rsidR="00135545" w:rsidRDefault="00E23441">
            <w:pPr>
              <w:jc w:val="left"/>
            </w:pPr>
            <w:r>
              <w:rPr>
                <w:color w:val="000000"/>
                <w:sz w:val="24"/>
                <w:szCs w:val="24"/>
              </w:rPr>
              <w:t>过去三个月</w:t>
            </w:r>
          </w:p>
        </w:tc>
        <w:tc>
          <w:tcPr>
            <w:tcW w:w="1045" w:type="dxa"/>
            <w:vAlign w:val="center"/>
          </w:tcPr>
          <w:p w:rsidR="00135545" w:rsidRDefault="00E23441">
            <w:pPr>
              <w:jc w:val="center"/>
            </w:pPr>
            <w:r>
              <w:rPr>
                <w:color w:val="000000"/>
                <w:sz w:val="24"/>
                <w:szCs w:val="24"/>
              </w:rPr>
              <w:t>8.14%</w:t>
            </w:r>
          </w:p>
        </w:tc>
        <w:tc>
          <w:tcPr>
            <w:tcW w:w="1344" w:type="dxa"/>
            <w:vAlign w:val="center"/>
          </w:tcPr>
          <w:p w:rsidR="00135545" w:rsidRDefault="00E23441">
            <w:pPr>
              <w:jc w:val="center"/>
            </w:pPr>
            <w:r>
              <w:rPr>
                <w:color w:val="000000"/>
                <w:sz w:val="24"/>
                <w:szCs w:val="24"/>
              </w:rPr>
              <w:t>1.11%</w:t>
            </w:r>
          </w:p>
        </w:tc>
        <w:tc>
          <w:tcPr>
            <w:tcW w:w="1194" w:type="dxa"/>
            <w:vAlign w:val="center"/>
          </w:tcPr>
          <w:p w:rsidR="00135545" w:rsidRDefault="00E23441">
            <w:pPr>
              <w:jc w:val="center"/>
            </w:pPr>
            <w:r>
              <w:rPr>
                <w:color w:val="000000"/>
                <w:sz w:val="24"/>
                <w:szCs w:val="24"/>
              </w:rPr>
              <w:t>41.43%</w:t>
            </w:r>
          </w:p>
        </w:tc>
        <w:tc>
          <w:tcPr>
            <w:tcW w:w="1492" w:type="dxa"/>
            <w:vAlign w:val="center"/>
          </w:tcPr>
          <w:p w:rsidR="00135545" w:rsidRDefault="00E23441">
            <w:pPr>
              <w:jc w:val="center"/>
            </w:pPr>
            <w:r>
              <w:rPr>
                <w:color w:val="000000"/>
                <w:sz w:val="24"/>
                <w:szCs w:val="24"/>
              </w:rPr>
              <w:t>1.46%</w:t>
            </w:r>
          </w:p>
        </w:tc>
        <w:tc>
          <w:tcPr>
            <w:tcW w:w="1194" w:type="dxa"/>
            <w:vAlign w:val="center"/>
          </w:tcPr>
          <w:p w:rsidR="00135545" w:rsidRDefault="00E23441">
            <w:pPr>
              <w:jc w:val="center"/>
            </w:pPr>
            <w:r>
              <w:rPr>
                <w:color w:val="000000"/>
                <w:sz w:val="24"/>
                <w:szCs w:val="24"/>
              </w:rPr>
              <w:t>-33.29%</w:t>
            </w:r>
          </w:p>
        </w:tc>
        <w:tc>
          <w:tcPr>
            <w:tcW w:w="1023" w:type="dxa"/>
            <w:vAlign w:val="center"/>
          </w:tcPr>
          <w:p w:rsidR="00135545" w:rsidRDefault="00E23441">
            <w:pPr>
              <w:jc w:val="center"/>
            </w:pPr>
            <w:r>
              <w:rPr>
                <w:color w:val="000000"/>
                <w:sz w:val="24"/>
                <w:szCs w:val="24"/>
              </w:rPr>
              <w:t>-0.35%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交银施罗德蓝筹股票证券投资基金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2007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F6CA5">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135545">
        <w:trPr>
          <w:jc w:val="center"/>
        </w:trPr>
        <w:tc>
          <w:tcPr>
            <w:tcW w:w="846" w:type="dxa"/>
            <w:vAlign w:val="center"/>
          </w:tcPr>
          <w:p w:rsidR="00135545" w:rsidRDefault="00E23441">
            <w:pPr>
              <w:jc w:val="center"/>
            </w:pPr>
            <w:r>
              <w:rPr>
                <w:color w:val="000000"/>
                <w:sz w:val="24"/>
                <w:szCs w:val="24"/>
              </w:rPr>
              <w:t>张媚钗</w:t>
            </w:r>
          </w:p>
        </w:tc>
        <w:tc>
          <w:tcPr>
            <w:tcW w:w="845" w:type="dxa"/>
            <w:vAlign w:val="center"/>
          </w:tcPr>
          <w:p w:rsidR="00135545" w:rsidRDefault="00E23441">
            <w:pPr>
              <w:jc w:val="center"/>
            </w:pPr>
            <w:r>
              <w:rPr>
                <w:color w:val="000000"/>
                <w:sz w:val="24"/>
                <w:szCs w:val="24"/>
              </w:rPr>
              <w:t>本基金的基金经理</w:t>
            </w:r>
          </w:p>
        </w:tc>
        <w:tc>
          <w:tcPr>
            <w:tcW w:w="1549" w:type="dxa"/>
            <w:vAlign w:val="center"/>
          </w:tcPr>
          <w:p w:rsidR="00135545" w:rsidRDefault="00E23441">
            <w:pPr>
              <w:jc w:val="center"/>
            </w:pPr>
            <w:r>
              <w:rPr>
                <w:color w:val="000000"/>
                <w:sz w:val="24"/>
                <w:szCs w:val="24"/>
              </w:rPr>
              <w:t>2010-06-04</w:t>
            </w:r>
          </w:p>
        </w:tc>
        <w:tc>
          <w:tcPr>
            <w:tcW w:w="1548" w:type="dxa"/>
            <w:vAlign w:val="center"/>
          </w:tcPr>
          <w:p w:rsidR="00135545" w:rsidRDefault="00E23441" w:rsidP="00546462">
            <w:pPr>
              <w:jc w:val="center"/>
            </w:pPr>
            <w:r>
              <w:rPr>
                <w:color w:val="000000"/>
                <w:sz w:val="24"/>
                <w:szCs w:val="24"/>
              </w:rPr>
              <w:t>2014-10-2</w:t>
            </w:r>
            <w:r w:rsidR="00546462">
              <w:rPr>
                <w:rFonts w:hint="eastAsia"/>
                <w:color w:val="000000"/>
                <w:sz w:val="24"/>
                <w:szCs w:val="24"/>
              </w:rPr>
              <w:t>2</w:t>
            </w:r>
          </w:p>
        </w:tc>
        <w:tc>
          <w:tcPr>
            <w:tcW w:w="1407" w:type="dxa"/>
            <w:vAlign w:val="center"/>
          </w:tcPr>
          <w:p w:rsidR="00135545" w:rsidRDefault="00E23441">
            <w:pPr>
              <w:jc w:val="center"/>
            </w:pPr>
            <w:r>
              <w:rPr>
                <w:color w:val="000000"/>
                <w:sz w:val="24"/>
                <w:szCs w:val="24"/>
              </w:rPr>
              <w:t>12</w:t>
            </w:r>
            <w:r>
              <w:rPr>
                <w:color w:val="000000"/>
                <w:sz w:val="24"/>
                <w:szCs w:val="24"/>
              </w:rPr>
              <w:t>年</w:t>
            </w:r>
          </w:p>
        </w:tc>
        <w:tc>
          <w:tcPr>
            <w:tcW w:w="2673" w:type="dxa"/>
            <w:vAlign w:val="center"/>
          </w:tcPr>
          <w:p w:rsidR="00135545" w:rsidRDefault="00B4750F">
            <w:r w:rsidRPr="001F6CA5">
              <w:rPr>
                <w:rFonts w:hint="eastAsia"/>
                <w:color w:val="000000"/>
                <w:sz w:val="24"/>
                <w:szCs w:val="24"/>
              </w:rPr>
              <w:t>张媚钗女士，经济学硕士。历任申银万国证券研究所研究员。</w:t>
            </w:r>
            <w:r w:rsidRPr="001F6CA5">
              <w:rPr>
                <w:color w:val="000000"/>
                <w:sz w:val="24"/>
                <w:szCs w:val="24"/>
              </w:rPr>
              <w:t>2005</w:t>
            </w:r>
            <w:r w:rsidRPr="001F6CA5">
              <w:rPr>
                <w:rFonts w:hint="eastAsia"/>
                <w:color w:val="000000"/>
                <w:sz w:val="24"/>
                <w:szCs w:val="24"/>
              </w:rPr>
              <w:t>年加入交银施罗德基金管理有限公司，历任投资研究部研究员、基金经理助理和专户投资经理。</w:t>
            </w:r>
            <w:r w:rsidR="007D2F19" w:rsidRPr="007D2F19">
              <w:rPr>
                <w:rFonts w:hint="eastAsia"/>
                <w:color w:val="000000"/>
                <w:sz w:val="24"/>
                <w:szCs w:val="24"/>
              </w:rPr>
              <w:t>2010</w:t>
            </w:r>
            <w:r w:rsidR="007D2F19" w:rsidRPr="007D2F19">
              <w:rPr>
                <w:rFonts w:hint="eastAsia"/>
                <w:color w:val="000000"/>
                <w:sz w:val="24"/>
                <w:szCs w:val="24"/>
              </w:rPr>
              <w:t>年</w:t>
            </w:r>
            <w:r w:rsidR="007D2F19" w:rsidRPr="007D2F19">
              <w:rPr>
                <w:rFonts w:hint="eastAsia"/>
                <w:color w:val="000000"/>
                <w:sz w:val="24"/>
                <w:szCs w:val="24"/>
              </w:rPr>
              <w:t>6</w:t>
            </w:r>
            <w:r w:rsidR="007D2F19" w:rsidRPr="007D2F19">
              <w:rPr>
                <w:rFonts w:hint="eastAsia"/>
                <w:color w:val="000000"/>
                <w:sz w:val="24"/>
                <w:szCs w:val="24"/>
              </w:rPr>
              <w:t>月</w:t>
            </w:r>
            <w:r w:rsidR="007D2F19" w:rsidRPr="007D2F19">
              <w:rPr>
                <w:rFonts w:hint="eastAsia"/>
                <w:color w:val="000000"/>
                <w:sz w:val="24"/>
                <w:szCs w:val="24"/>
              </w:rPr>
              <w:t>4</w:t>
            </w:r>
            <w:r w:rsidR="007D2F19" w:rsidRPr="007D2F19">
              <w:rPr>
                <w:rFonts w:hint="eastAsia"/>
                <w:color w:val="000000"/>
                <w:sz w:val="24"/>
                <w:szCs w:val="24"/>
              </w:rPr>
              <w:t>日至</w:t>
            </w:r>
            <w:r w:rsidR="007D2F19" w:rsidRPr="007D2F19">
              <w:rPr>
                <w:rFonts w:hint="eastAsia"/>
                <w:color w:val="000000"/>
                <w:sz w:val="24"/>
                <w:szCs w:val="24"/>
              </w:rPr>
              <w:t>2014</w:t>
            </w:r>
            <w:r w:rsidR="007D2F19" w:rsidRPr="007D2F19">
              <w:rPr>
                <w:rFonts w:hint="eastAsia"/>
                <w:color w:val="000000"/>
                <w:sz w:val="24"/>
                <w:szCs w:val="24"/>
              </w:rPr>
              <w:t>年</w:t>
            </w:r>
            <w:r w:rsidR="007D2F19" w:rsidRPr="007D2F19">
              <w:rPr>
                <w:rFonts w:hint="eastAsia"/>
                <w:color w:val="000000"/>
                <w:sz w:val="24"/>
                <w:szCs w:val="24"/>
              </w:rPr>
              <w:t>10</w:t>
            </w:r>
            <w:r w:rsidR="007D2F19" w:rsidRPr="007D2F19">
              <w:rPr>
                <w:rFonts w:hint="eastAsia"/>
                <w:color w:val="000000"/>
                <w:sz w:val="24"/>
                <w:szCs w:val="24"/>
              </w:rPr>
              <w:t>月</w:t>
            </w:r>
            <w:r w:rsidR="007D2F19" w:rsidRPr="007D2F19">
              <w:rPr>
                <w:rFonts w:hint="eastAsia"/>
                <w:color w:val="000000"/>
                <w:sz w:val="24"/>
                <w:szCs w:val="24"/>
              </w:rPr>
              <w:t>21</w:t>
            </w:r>
            <w:r w:rsidR="007D2F19" w:rsidRPr="007D2F19">
              <w:rPr>
                <w:rFonts w:hint="eastAsia"/>
                <w:color w:val="000000"/>
                <w:sz w:val="24"/>
                <w:szCs w:val="24"/>
              </w:rPr>
              <w:t>日担任交银施罗德蓝筹股票证券投资基金基金经理。</w:t>
            </w:r>
          </w:p>
        </w:tc>
      </w:tr>
      <w:tr w:rsidR="00135545">
        <w:trPr>
          <w:jc w:val="center"/>
        </w:trPr>
        <w:tc>
          <w:tcPr>
            <w:tcW w:w="846" w:type="dxa"/>
            <w:vAlign w:val="center"/>
          </w:tcPr>
          <w:p w:rsidR="00135545" w:rsidRDefault="00E23441">
            <w:pPr>
              <w:jc w:val="center"/>
            </w:pPr>
            <w:r>
              <w:rPr>
                <w:color w:val="000000"/>
                <w:sz w:val="24"/>
                <w:szCs w:val="24"/>
              </w:rPr>
              <w:t>张迎军</w:t>
            </w:r>
          </w:p>
        </w:tc>
        <w:tc>
          <w:tcPr>
            <w:tcW w:w="845" w:type="dxa"/>
            <w:vAlign w:val="center"/>
          </w:tcPr>
          <w:p w:rsidR="00135545" w:rsidRDefault="00E23441">
            <w:pPr>
              <w:jc w:val="center"/>
            </w:pPr>
            <w:r>
              <w:rPr>
                <w:color w:val="000000"/>
                <w:sz w:val="24"/>
                <w:szCs w:val="24"/>
              </w:rPr>
              <w:t>本基金、交银优势行业混合、交银定期支付双息平衡混合的基金经理，公司权益部副总经理</w:t>
            </w:r>
          </w:p>
        </w:tc>
        <w:tc>
          <w:tcPr>
            <w:tcW w:w="1549" w:type="dxa"/>
            <w:vAlign w:val="center"/>
          </w:tcPr>
          <w:p w:rsidR="00135545" w:rsidRDefault="00E23441">
            <w:pPr>
              <w:jc w:val="center"/>
            </w:pPr>
            <w:r>
              <w:rPr>
                <w:color w:val="000000"/>
                <w:sz w:val="24"/>
                <w:szCs w:val="24"/>
              </w:rPr>
              <w:t>2014-10-22</w:t>
            </w:r>
          </w:p>
        </w:tc>
        <w:tc>
          <w:tcPr>
            <w:tcW w:w="1548" w:type="dxa"/>
            <w:vAlign w:val="center"/>
          </w:tcPr>
          <w:p w:rsidR="00135545" w:rsidRDefault="00E23441">
            <w:pPr>
              <w:jc w:val="center"/>
            </w:pPr>
            <w:r>
              <w:rPr>
                <w:color w:val="000000"/>
                <w:sz w:val="24"/>
                <w:szCs w:val="24"/>
              </w:rPr>
              <w:t>-</w:t>
            </w:r>
          </w:p>
        </w:tc>
        <w:tc>
          <w:tcPr>
            <w:tcW w:w="1407" w:type="dxa"/>
            <w:vAlign w:val="center"/>
          </w:tcPr>
          <w:p w:rsidR="00135545" w:rsidRDefault="00E23441">
            <w:pPr>
              <w:jc w:val="center"/>
            </w:pPr>
            <w:r>
              <w:rPr>
                <w:color w:val="000000"/>
                <w:sz w:val="24"/>
                <w:szCs w:val="24"/>
              </w:rPr>
              <w:t>14</w:t>
            </w:r>
            <w:r>
              <w:rPr>
                <w:color w:val="000000"/>
                <w:sz w:val="24"/>
                <w:szCs w:val="24"/>
              </w:rPr>
              <w:t>年</w:t>
            </w:r>
          </w:p>
        </w:tc>
        <w:tc>
          <w:tcPr>
            <w:tcW w:w="2673" w:type="dxa"/>
            <w:vAlign w:val="center"/>
          </w:tcPr>
          <w:p w:rsidR="00135545" w:rsidRDefault="00E23441">
            <w:r>
              <w:rPr>
                <w:color w:val="000000"/>
                <w:sz w:val="24"/>
                <w:szCs w:val="24"/>
              </w:rPr>
              <w:t>张迎军先生，经济学硕士。历任申银万国证券研究所市场研究部、策略研究部研究员，中国太平洋保险（集团）股份有限公司资金运用管理中心投资经理，太平洋资产管理有限公司组合管理部组合经理。</w:t>
            </w:r>
            <w:r>
              <w:rPr>
                <w:color w:val="000000"/>
                <w:sz w:val="24"/>
                <w:szCs w:val="24"/>
              </w:rPr>
              <w:t>2008</w:t>
            </w:r>
            <w:r>
              <w:rPr>
                <w:color w:val="000000"/>
                <w:sz w:val="24"/>
                <w:szCs w:val="24"/>
              </w:rPr>
              <w:t>年加入交银施罗德基金管理有限公司，历任固定收益部副总经理。</w:t>
            </w:r>
            <w:r>
              <w:rPr>
                <w:color w:val="000000"/>
                <w:sz w:val="24"/>
                <w:szCs w:val="24"/>
              </w:rPr>
              <w:t>2009</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日至</w:t>
            </w:r>
            <w:r>
              <w:rPr>
                <w:color w:val="000000"/>
                <w:sz w:val="24"/>
                <w:szCs w:val="24"/>
              </w:rPr>
              <w:t>2012</w:t>
            </w:r>
            <w:r>
              <w:rPr>
                <w:color w:val="000000"/>
                <w:sz w:val="24"/>
                <w:szCs w:val="24"/>
              </w:rPr>
              <w:t>年</w:t>
            </w:r>
            <w:r>
              <w:rPr>
                <w:color w:val="000000"/>
                <w:sz w:val="24"/>
                <w:szCs w:val="24"/>
              </w:rPr>
              <w:t>2</w:t>
            </w:r>
            <w:r>
              <w:rPr>
                <w:color w:val="000000"/>
                <w:sz w:val="24"/>
                <w:szCs w:val="24"/>
              </w:rPr>
              <w:t>月</w:t>
            </w:r>
            <w:r>
              <w:rPr>
                <w:color w:val="000000"/>
                <w:sz w:val="24"/>
                <w:szCs w:val="24"/>
              </w:rPr>
              <w:t>2</w:t>
            </w:r>
            <w:r>
              <w:rPr>
                <w:color w:val="000000"/>
                <w:sz w:val="24"/>
                <w:szCs w:val="24"/>
              </w:rPr>
              <w:t>日担任交银施罗德优势行业灵活配置混合型证券投资基金转型前的交银施罗德保本混合型证券投资基金基金经理，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w:t>
            </w:r>
            <w:r>
              <w:rPr>
                <w:color w:val="000000"/>
                <w:sz w:val="24"/>
                <w:szCs w:val="24"/>
              </w:rPr>
              <w:t>3</w:t>
            </w:r>
            <w:r>
              <w:rPr>
                <w:color w:val="000000"/>
                <w:sz w:val="24"/>
                <w:szCs w:val="24"/>
              </w:rPr>
              <w:t>日至</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2</w:t>
            </w:r>
            <w:r>
              <w:rPr>
                <w:color w:val="000000"/>
                <w:sz w:val="24"/>
                <w:szCs w:val="24"/>
              </w:rPr>
              <w:t>日担任交银施罗德趋势优先股票证券投资基金基金经理。</w:t>
            </w:r>
          </w:p>
        </w:tc>
      </w:tr>
      <w:tr w:rsidR="00135545">
        <w:trPr>
          <w:jc w:val="center"/>
        </w:trPr>
        <w:tc>
          <w:tcPr>
            <w:tcW w:w="846" w:type="dxa"/>
            <w:vAlign w:val="center"/>
          </w:tcPr>
          <w:p w:rsidR="00135545" w:rsidRDefault="00E23441">
            <w:pPr>
              <w:jc w:val="center"/>
            </w:pPr>
            <w:r>
              <w:rPr>
                <w:color w:val="000000"/>
                <w:sz w:val="24"/>
                <w:szCs w:val="24"/>
              </w:rPr>
              <w:t>李德亮</w:t>
            </w:r>
          </w:p>
        </w:tc>
        <w:tc>
          <w:tcPr>
            <w:tcW w:w="845" w:type="dxa"/>
            <w:vAlign w:val="center"/>
          </w:tcPr>
          <w:p w:rsidR="00135545" w:rsidRDefault="00E23441">
            <w:pPr>
              <w:jc w:val="center"/>
            </w:pPr>
            <w:r>
              <w:rPr>
                <w:color w:val="000000"/>
                <w:sz w:val="24"/>
                <w:szCs w:val="24"/>
              </w:rPr>
              <w:t>本基金、交银定期支付双息平衡混合、交银强化回报债券的基金经理</w:t>
            </w:r>
          </w:p>
        </w:tc>
        <w:tc>
          <w:tcPr>
            <w:tcW w:w="1549" w:type="dxa"/>
            <w:vAlign w:val="center"/>
          </w:tcPr>
          <w:p w:rsidR="00135545" w:rsidRDefault="00E23441">
            <w:pPr>
              <w:jc w:val="center"/>
            </w:pPr>
            <w:r>
              <w:rPr>
                <w:color w:val="000000"/>
                <w:sz w:val="24"/>
                <w:szCs w:val="24"/>
              </w:rPr>
              <w:t>2014-10-22</w:t>
            </w:r>
          </w:p>
        </w:tc>
        <w:tc>
          <w:tcPr>
            <w:tcW w:w="1548" w:type="dxa"/>
            <w:vAlign w:val="center"/>
          </w:tcPr>
          <w:p w:rsidR="00135545" w:rsidRDefault="00E23441">
            <w:pPr>
              <w:jc w:val="center"/>
            </w:pPr>
            <w:r>
              <w:rPr>
                <w:color w:val="000000"/>
                <w:sz w:val="24"/>
                <w:szCs w:val="24"/>
              </w:rPr>
              <w:t>-</w:t>
            </w:r>
          </w:p>
        </w:tc>
        <w:tc>
          <w:tcPr>
            <w:tcW w:w="1407" w:type="dxa"/>
            <w:vAlign w:val="center"/>
          </w:tcPr>
          <w:p w:rsidR="00135545" w:rsidRDefault="00E23441">
            <w:pPr>
              <w:jc w:val="center"/>
            </w:pPr>
            <w:r>
              <w:rPr>
                <w:color w:val="000000"/>
                <w:sz w:val="24"/>
                <w:szCs w:val="24"/>
              </w:rPr>
              <w:t>8</w:t>
            </w:r>
            <w:r>
              <w:rPr>
                <w:color w:val="000000"/>
                <w:sz w:val="24"/>
                <w:szCs w:val="24"/>
              </w:rPr>
              <w:t>年</w:t>
            </w:r>
          </w:p>
        </w:tc>
        <w:tc>
          <w:tcPr>
            <w:tcW w:w="2673" w:type="dxa"/>
            <w:vAlign w:val="center"/>
          </w:tcPr>
          <w:p w:rsidR="00135545" w:rsidRDefault="00E23441">
            <w:r>
              <w:rPr>
                <w:color w:val="000000"/>
                <w:sz w:val="24"/>
                <w:szCs w:val="24"/>
              </w:rPr>
              <w:t>李德亮先生，同济大学管理学学士，中国人民银行研究生部金融学硕士。</w:t>
            </w:r>
            <w:r>
              <w:rPr>
                <w:color w:val="000000"/>
                <w:sz w:val="24"/>
                <w:szCs w:val="24"/>
              </w:rPr>
              <w:t>2006</w:t>
            </w:r>
            <w:r>
              <w:rPr>
                <w:color w:val="000000"/>
                <w:sz w:val="24"/>
                <w:szCs w:val="24"/>
              </w:rPr>
              <w:t>年加入交银施罗德基金管理有限公司，历任行业分析师、基金经理助理。</w:t>
            </w:r>
          </w:p>
        </w:tc>
      </w:tr>
      <w:tr w:rsidR="00135545">
        <w:trPr>
          <w:jc w:val="center"/>
        </w:trPr>
        <w:tc>
          <w:tcPr>
            <w:tcW w:w="846" w:type="dxa"/>
            <w:vAlign w:val="center"/>
          </w:tcPr>
          <w:p w:rsidR="00135545" w:rsidRDefault="00E23441">
            <w:pPr>
              <w:jc w:val="center"/>
            </w:pPr>
            <w:r>
              <w:rPr>
                <w:color w:val="000000"/>
                <w:sz w:val="24"/>
                <w:szCs w:val="24"/>
              </w:rPr>
              <w:t>陈孜铎</w:t>
            </w:r>
          </w:p>
        </w:tc>
        <w:tc>
          <w:tcPr>
            <w:tcW w:w="845" w:type="dxa"/>
            <w:vAlign w:val="center"/>
          </w:tcPr>
          <w:p w:rsidR="00135545" w:rsidRDefault="00E23441">
            <w:pPr>
              <w:jc w:val="center"/>
            </w:pPr>
            <w:r>
              <w:rPr>
                <w:color w:val="000000"/>
                <w:sz w:val="24"/>
                <w:szCs w:val="24"/>
              </w:rPr>
              <w:t>本基金的基金经理，公司研究部助理总经理</w:t>
            </w:r>
          </w:p>
        </w:tc>
        <w:tc>
          <w:tcPr>
            <w:tcW w:w="1549" w:type="dxa"/>
            <w:vAlign w:val="center"/>
          </w:tcPr>
          <w:p w:rsidR="00135545" w:rsidRDefault="00E23441">
            <w:pPr>
              <w:jc w:val="center"/>
            </w:pPr>
            <w:r>
              <w:rPr>
                <w:color w:val="000000"/>
                <w:sz w:val="24"/>
                <w:szCs w:val="24"/>
              </w:rPr>
              <w:t>2014-10-22</w:t>
            </w:r>
          </w:p>
        </w:tc>
        <w:tc>
          <w:tcPr>
            <w:tcW w:w="1548" w:type="dxa"/>
            <w:vAlign w:val="center"/>
          </w:tcPr>
          <w:p w:rsidR="00135545" w:rsidRDefault="00E23441">
            <w:pPr>
              <w:jc w:val="center"/>
            </w:pPr>
            <w:r>
              <w:rPr>
                <w:color w:val="000000"/>
                <w:sz w:val="24"/>
                <w:szCs w:val="24"/>
              </w:rPr>
              <w:t>-</w:t>
            </w:r>
          </w:p>
        </w:tc>
        <w:tc>
          <w:tcPr>
            <w:tcW w:w="1407" w:type="dxa"/>
            <w:vAlign w:val="center"/>
          </w:tcPr>
          <w:p w:rsidR="00135545" w:rsidRDefault="00E23441">
            <w:pPr>
              <w:jc w:val="center"/>
            </w:pPr>
            <w:r>
              <w:rPr>
                <w:color w:val="000000"/>
                <w:sz w:val="24"/>
                <w:szCs w:val="24"/>
              </w:rPr>
              <w:t>6</w:t>
            </w:r>
            <w:r>
              <w:rPr>
                <w:color w:val="000000"/>
                <w:sz w:val="24"/>
                <w:szCs w:val="24"/>
              </w:rPr>
              <w:t>年</w:t>
            </w:r>
          </w:p>
        </w:tc>
        <w:tc>
          <w:tcPr>
            <w:tcW w:w="2673" w:type="dxa"/>
            <w:vAlign w:val="center"/>
          </w:tcPr>
          <w:p w:rsidR="00135545" w:rsidRDefault="00E23441">
            <w:r>
              <w:rPr>
                <w:color w:val="000000"/>
                <w:sz w:val="24"/>
                <w:szCs w:val="24"/>
              </w:rPr>
              <w:t>陈孜铎先生，清华大学材料科学与工程硕士。</w:t>
            </w:r>
            <w:r>
              <w:rPr>
                <w:color w:val="000000"/>
                <w:sz w:val="24"/>
                <w:szCs w:val="24"/>
              </w:rPr>
              <w:t>2008</w:t>
            </w:r>
            <w:r>
              <w:rPr>
                <w:color w:val="000000"/>
                <w:sz w:val="24"/>
                <w:szCs w:val="24"/>
              </w:rPr>
              <w:t>年加入交银施罗德基金管理有限公司，历任行业分析师、高级研究员。</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135545" w:rsidRDefault="00E23441">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135545" w:rsidRDefault="00E23441">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135545" w:rsidRDefault="00E23441">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135545" w:rsidRDefault="00E23441">
      <w:pPr>
        <w:spacing w:before="29" w:line="288" w:lineRule="auto"/>
        <w:ind w:firstLineChars="200" w:firstLine="480"/>
        <w:rPr>
          <w:color w:val="000000"/>
          <w:sz w:val="24"/>
          <w:szCs w:val="24"/>
        </w:rPr>
      </w:pPr>
      <w:r>
        <w:rPr>
          <w:color w:val="000000"/>
          <w:sz w:val="24"/>
          <w:szCs w:val="24"/>
        </w:rPr>
        <w:t>在股市盈利效应和居民大类资产重新配置的背景下</w:t>
      </w:r>
      <w:r>
        <w:rPr>
          <w:color w:val="000000"/>
          <w:sz w:val="24"/>
          <w:szCs w:val="24"/>
        </w:rPr>
        <w:t>,</w:t>
      </w:r>
      <w:r>
        <w:rPr>
          <w:color w:val="000000"/>
          <w:sz w:val="24"/>
          <w:szCs w:val="24"/>
        </w:rPr>
        <w:t>增量资金开始加速流入市场</w:t>
      </w:r>
      <w:r>
        <w:rPr>
          <w:color w:val="000000"/>
          <w:sz w:val="24"/>
          <w:szCs w:val="24"/>
        </w:rPr>
        <w:t>,</w:t>
      </w:r>
      <w:r>
        <w:rPr>
          <w:color w:val="000000"/>
          <w:sz w:val="24"/>
          <w:szCs w:val="24"/>
        </w:rPr>
        <w:t>尤其是央行的超预期降息更加点燃了市场的做多热情。以券商为龙头的低估值蓝筹股出现了一波快速的暴涨行情，而之前市场表现较好的中小盘股票则出现了大幅调整，市场呈现二八甚至一九的格局。本轮市场上涨是在宏观经济依旧低迷的背景下展开的，估值修复是主流，因此基本上以周期为主的低估值蓝筹股都出现了不同幅度的轮动式上涨。</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本基金在四季度对持仓结构进行了大幅调整，降低了中小盘股票的持仓比例，但低估值蓝筹股的上涨幅度超过预期</w:t>
      </w:r>
      <w:r w:rsidRPr="00414345">
        <w:rPr>
          <w:color w:val="000000"/>
          <w:sz w:val="24"/>
          <w:szCs w:val="24"/>
        </w:rPr>
        <w:t>,</w:t>
      </w:r>
      <w:r w:rsidRPr="00414345">
        <w:rPr>
          <w:color w:val="000000"/>
          <w:sz w:val="24"/>
          <w:szCs w:val="24"/>
        </w:rPr>
        <w:t>调整的及时性仍待提高。从基本面角度来看，经济依旧低迷，盈利层面对市场的支持力度有限，无风险利率下行预期和居民大类资产配置仍然是主导市场运行的主逻辑，因此市场风格将继续偏向低估值蓝筹标的。预计自</w:t>
      </w: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月份开始市场对经济基本面的关注度会开始提升，同时低估值蓝筹和成长类中小盘估值差也在不断收敛，届时均衡配置可能将是比较现实的选择，同时要密切关注可能发生的风格切换。</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0.8166</w:t>
      </w:r>
      <w:r w:rsidRPr="00414345">
        <w:rPr>
          <w:color w:val="000000"/>
          <w:sz w:val="24"/>
          <w:szCs w:val="24"/>
        </w:rPr>
        <w:t>元，本报告期份额净值增长率为</w:t>
      </w:r>
      <w:r w:rsidRPr="00414345">
        <w:rPr>
          <w:color w:val="000000"/>
          <w:sz w:val="24"/>
          <w:szCs w:val="24"/>
        </w:rPr>
        <w:t>8.14%</w:t>
      </w:r>
      <w:r w:rsidRPr="00414345">
        <w:rPr>
          <w:color w:val="000000"/>
          <w:sz w:val="24"/>
          <w:szCs w:val="24"/>
        </w:rPr>
        <w:t>，同期业绩比较基准增长率为</w:t>
      </w:r>
      <w:r w:rsidRPr="00414345">
        <w:rPr>
          <w:color w:val="000000"/>
          <w:sz w:val="24"/>
          <w:szCs w:val="24"/>
        </w:rPr>
        <w:t>41.43%</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E23441">
        <w:rPr>
          <w:rFonts w:hint="eastAsia"/>
          <w:b/>
          <w:color w:val="000000"/>
          <w:kern w:val="0"/>
          <w:sz w:val="24"/>
        </w:rPr>
        <w:t xml:space="preserve"> </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F6CA5">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5,525,785,361.87</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81.75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5,525,785,361.87</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81.75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406,781,755.16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6.02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406,781,755.16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6.02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293,639,680.46</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4.34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497,943,943.70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7.37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35,214,530.82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0.52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6,759,365,272.01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7,040,852.43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0.11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22,974,600.00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0.35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1,725,747,674.99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26.10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80,332,225.04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548,449,200.36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307,340,988.29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44,514,448.22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463,662,746.83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1,733,382,442.74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26.21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289,842,359.07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7,158,434.03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75,848,600.00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55,090,674.32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156,829,115.55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7,571,000.00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5,525,785,361.87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83.56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135545">
        <w:trPr>
          <w:jc w:val="center"/>
        </w:trPr>
        <w:tc>
          <w:tcPr>
            <w:tcW w:w="855" w:type="dxa"/>
            <w:vAlign w:val="center"/>
          </w:tcPr>
          <w:p w:rsidR="00135545" w:rsidRDefault="00E23441">
            <w:pPr>
              <w:jc w:val="center"/>
            </w:pPr>
            <w:r>
              <w:rPr>
                <w:color w:val="000000"/>
                <w:sz w:val="24"/>
                <w:szCs w:val="24"/>
              </w:rPr>
              <w:t>1</w:t>
            </w:r>
          </w:p>
        </w:tc>
        <w:tc>
          <w:tcPr>
            <w:tcW w:w="1334" w:type="dxa"/>
            <w:vAlign w:val="center"/>
          </w:tcPr>
          <w:p w:rsidR="00135545" w:rsidRDefault="00E23441">
            <w:pPr>
              <w:jc w:val="center"/>
            </w:pPr>
            <w:r>
              <w:rPr>
                <w:color w:val="000000"/>
                <w:sz w:val="24"/>
                <w:szCs w:val="24"/>
              </w:rPr>
              <w:t>601318</w:t>
            </w:r>
          </w:p>
        </w:tc>
        <w:tc>
          <w:tcPr>
            <w:tcW w:w="1777" w:type="dxa"/>
            <w:vAlign w:val="center"/>
          </w:tcPr>
          <w:p w:rsidR="00135545" w:rsidRDefault="00E23441">
            <w:pPr>
              <w:jc w:val="center"/>
            </w:pPr>
            <w:r>
              <w:rPr>
                <w:color w:val="000000"/>
                <w:sz w:val="24"/>
                <w:szCs w:val="24"/>
              </w:rPr>
              <w:t>中国平安</w:t>
            </w:r>
          </w:p>
        </w:tc>
        <w:tc>
          <w:tcPr>
            <w:tcW w:w="1334" w:type="dxa"/>
            <w:vAlign w:val="center"/>
          </w:tcPr>
          <w:p w:rsidR="00135545" w:rsidRDefault="00E23441">
            <w:pPr>
              <w:jc w:val="right"/>
            </w:pPr>
            <w:r>
              <w:rPr>
                <w:color w:val="000000"/>
                <w:sz w:val="24"/>
                <w:szCs w:val="24"/>
              </w:rPr>
              <w:t>3,869,881</w:t>
            </w:r>
          </w:p>
        </w:tc>
        <w:tc>
          <w:tcPr>
            <w:tcW w:w="1924" w:type="dxa"/>
            <w:vAlign w:val="center"/>
          </w:tcPr>
          <w:p w:rsidR="00135545" w:rsidRDefault="00E23441">
            <w:pPr>
              <w:jc w:val="right"/>
            </w:pPr>
            <w:r>
              <w:rPr>
                <w:color w:val="000000"/>
                <w:sz w:val="24"/>
                <w:szCs w:val="24"/>
              </w:rPr>
              <w:t>289,118,809.51</w:t>
            </w:r>
          </w:p>
        </w:tc>
        <w:tc>
          <w:tcPr>
            <w:tcW w:w="1644" w:type="dxa"/>
            <w:vAlign w:val="center"/>
          </w:tcPr>
          <w:p w:rsidR="00135545" w:rsidRDefault="00E23441">
            <w:pPr>
              <w:jc w:val="right"/>
            </w:pPr>
            <w:r>
              <w:rPr>
                <w:color w:val="000000"/>
                <w:sz w:val="24"/>
                <w:szCs w:val="24"/>
              </w:rPr>
              <w:t>4.37</w:t>
            </w:r>
          </w:p>
        </w:tc>
      </w:tr>
      <w:tr w:rsidR="00135545">
        <w:trPr>
          <w:jc w:val="center"/>
        </w:trPr>
        <w:tc>
          <w:tcPr>
            <w:tcW w:w="855" w:type="dxa"/>
            <w:vAlign w:val="center"/>
          </w:tcPr>
          <w:p w:rsidR="00135545" w:rsidRDefault="00E23441">
            <w:pPr>
              <w:jc w:val="center"/>
            </w:pPr>
            <w:r>
              <w:rPr>
                <w:color w:val="000000"/>
                <w:sz w:val="24"/>
                <w:szCs w:val="24"/>
              </w:rPr>
              <w:t>2</w:t>
            </w:r>
          </w:p>
        </w:tc>
        <w:tc>
          <w:tcPr>
            <w:tcW w:w="1334" w:type="dxa"/>
            <w:vAlign w:val="center"/>
          </w:tcPr>
          <w:p w:rsidR="00135545" w:rsidRDefault="00E23441">
            <w:pPr>
              <w:jc w:val="center"/>
            </w:pPr>
            <w:r>
              <w:rPr>
                <w:color w:val="000000"/>
                <w:sz w:val="24"/>
                <w:szCs w:val="24"/>
              </w:rPr>
              <w:t>601818</w:t>
            </w:r>
          </w:p>
        </w:tc>
        <w:tc>
          <w:tcPr>
            <w:tcW w:w="1777" w:type="dxa"/>
            <w:vAlign w:val="center"/>
          </w:tcPr>
          <w:p w:rsidR="00135545" w:rsidRDefault="00E23441">
            <w:pPr>
              <w:jc w:val="center"/>
            </w:pPr>
            <w:r>
              <w:rPr>
                <w:color w:val="000000"/>
                <w:sz w:val="24"/>
                <w:szCs w:val="24"/>
              </w:rPr>
              <w:t>光大银行</w:t>
            </w:r>
          </w:p>
        </w:tc>
        <w:tc>
          <w:tcPr>
            <w:tcW w:w="1334" w:type="dxa"/>
            <w:vAlign w:val="center"/>
          </w:tcPr>
          <w:p w:rsidR="00135545" w:rsidRDefault="00E23441">
            <w:pPr>
              <w:jc w:val="right"/>
            </w:pPr>
            <w:r>
              <w:rPr>
                <w:color w:val="000000"/>
                <w:sz w:val="24"/>
                <w:szCs w:val="24"/>
              </w:rPr>
              <w:t>50,499,897</w:t>
            </w:r>
          </w:p>
        </w:tc>
        <w:tc>
          <w:tcPr>
            <w:tcW w:w="1924" w:type="dxa"/>
            <w:vAlign w:val="center"/>
          </w:tcPr>
          <w:p w:rsidR="00135545" w:rsidRDefault="00E23441">
            <w:pPr>
              <w:jc w:val="right"/>
            </w:pPr>
            <w:r>
              <w:rPr>
                <w:color w:val="000000"/>
                <w:sz w:val="24"/>
                <w:szCs w:val="24"/>
              </w:rPr>
              <w:t>246,439,497.36</w:t>
            </w:r>
          </w:p>
        </w:tc>
        <w:tc>
          <w:tcPr>
            <w:tcW w:w="1644" w:type="dxa"/>
            <w:vAlign w:val="center"/>
          </w:tcPr>
          <w:p w:rsidR="00135545" w:rsidRDefault="00E23441">
            <w:pPr>
              <w:jc w:val="right"/>
            </w:pPr>
            <w:r>
              <w:rPr>
                <w:color w:val="000000"/>
                <w:sz w:val="24"/>
                <w:szCs w:val="24"/>
              </w:rPr>
              <w:t>3.73</w:t>
            </w:r>
          </w:p>
        </w:tc>
      </w:tr>
      <w:tr w:rsidR="00135545">
        <w:trPr>
          <w:jc w:val="center"/>
        </w:trPr>
        <w:tc>
          <w:tcPr>
            <w:tcW w:w="855" w:type="dxa"/>
            <w:vAlign w:val="center"/>
          </w:tcPr>
          <w:p w:rsidR="00135545" w:rsidRDefault="00E23441">
            <w:pPr>
              <w:jc w:val="center"/>
            </w:pPr>
            <w:r>
              <w:rPr>
                <w:color w:val="000000"/>
                <w:sz w:val="24"/>
                <w:szCs w:val="24"/>
              </w:rPr>
              <w:t>3</w:t>
            </w:r>
          </w:p>
        </w:tc>
        <w:tc>
          <w:tcPr>
            <w:tcW w:w="1334" w:type="dxa"/>
            <w:vAlign w:val="center"/>
          </w:tcPr>
          <w:p w:rsidR="00135545" w:rsidRDefault="00E23441">
            <w:pPr>
              <w:jc w:val="center"/>
            </w:pPr>
            <w:r>
              <w:rPr>
                <w:color w:val="000000"/>
                <w:sz w:val="24"/>
                <w:szCs w:val="24"/>
              </w:rPr>
              <w:t>601668</w:t>
            </w:r>
          </w:p>
        </w:tc>
        <w:tc>
          <w:tcPr>
            <w:tcW w:w="1777" w:type="dxa"/>
            <w:vAlign w:val="center"/>
          </w:tcPr>
          <w:p w:rsidR="00135545" w:rsidRDefault="00E23441">
            <w:pPr>
              <w:jc w:val="center"/>
            </w:pPr>
            <w:r>
              <w:rPr>
                <w:color w:val="000000"/>
                <w:sz w:val="24"/>
                <w:szCs w:val="24"/>
              </w:rPr>
              <w:t>中国建筑</w:t>
            </w:r>
          </w:p>
        </w:tc>
        <w:tc>
          <w:tcPr>
            <w:tcW w:w="1334" w:type="dxa"/>
            <w:vAlign w:val="center"/>
          </w:tcPr>
          <w:p w:rsidR="00135545" w:rsidRDefault="00E23441">
            <w:pPr>
              <w:jc w:val="right"/>
            </w:pPr>
            <w:r>
              <w:rPr>
                <w:color w:val="000000"/>
                <w:sz w:val="24"/>
                <w:szCs w:val="24"/>
              </w:rPr>
              <w:t>30,500,000</w:t>
            </w:r>
          </w:p>
        </w:tc>
        <w:tc>
          <w:tcPr>
            <w:tcW w:w="1924" w:type="dxa"/>
            <w:vAlign w:val="center"/>
          </w:tcPr>
          <w:p w:rsidR="00135545" w:rsidRDefault="00E23441">
            <w:pPr>
              <w:jc w:val="right"/>
            </w:pPr>
            <w:r>
              <w:rPr>
                <w:color w:val="000000"/>
                <w:sz w:val="24"/>
                <w:szCs w:val="24"/>
              </w:rPr>
              <w:t>222,040,000.00</w:t>
            </w:r>
          </w:p>
        </w:tc>
        <w:tc>
          <w:tcPr>
            <w:tcW w:w="1644" w:type="dxa"/>
            <w:vAlign w:val="center"/>
          </w:tcPr>
          <w:p w:rsidR="00135545" w:rsidRDefault="00E23441">
            <w:pPr>
              <w:jc w:val="right"/>
            </w:pPr>
            <w:r>
              <w:rPr>
                <w:color w:val="000000"/>
                <w:sz w:val="24"/>
                <w:szCs w:val="24"/>
              </w:rPr>
              <w:t>3.36</w:t>
            </w:r>
          </w:p>
        </w:tc>
      </w:tr>
      <w:tr w:rsidR="00135545">
        <w:trPr>
          <w:jc w:val="center"/>
        </w:trPr>
        <w:tc>
          <w:tcPr>
            <w:tcW w:w="855" w:type="dxa"/>
            <w:vAlign w:val="center"/>
          </w:tcPr>
          <w:p w:rsidR="00135545" w:rsidRDefault="00E23441">
            <w:pPr>
              <w:jc w:val="center"/>
            </w:pPr>
            <w:r>
              <w:rPr>
                <w:color w:val="000000"/>
                <w:sz w:val="24"/>
                <w:szCs w:val="24"/>
              </w:rPr>
              <w:t>4</w:t>
            </w:r>
          </w:p>
        </w:tc>
        <w:tc>
          <w:tcPr>
            <w:tcW w:w="1334" w:type="dxa"/>
            <w:vAlign w:val="center"/>
          </w:tcPr>
          <w:p w:rsidR="00135545" w:rsidRDefault="00E23441">
            <w:pPr>
              <w:jc w:val="center"/>
            </w:pPr>
            <w:r>
              <w:rPr>
                <w:color w:val="000000"/>
                <w:sz w:val="24"/>
                <w:szCs w:val="24"/>
              </w:rPr>
              <w:t>000768</w:t>
            </w:r>
          </w:p>
        </w:tc>
        <w:tc>
          <w:tcPr>
            <w:tcW w:w="1777" w:type="dxa"/>
            <w:vAlign w:val="center"/>
          </w:tcPr>
          <w:p w:rsidR="00135545" w:rsidRDefault="00E23441">
            <w:pPr>
              <w:jc w:val="center"/>
            </w:pPr>
            <w:r>
              <w:rPr>
                <w:color w:val="000000"/>
                <w:sz w:val="24"/>
                <w:szCs w:val="24"/>
              </w:rPr>
              <w:t>中航飞机</w:t>
            </w:r>
          </w:p>
        </w:tc>
        <w:tc>
          <w:tcPr>
            <w:tcW w:w="1334" w:type="dxa"/>
            <w:vAlign w:val="center"/>
          </w:tcPr>
          <w:p w:rsidR="00135545" w:rsidRDefault="00E23441">
            <w:pPr>
              <w:jc w:val="right"/>
            </w:pPr>
            <w:r>
              <w:rPr>
                <w:color w:val="000000"/>
                <w:sz w:val="24"/>
                <w:szCs w:val="24"/>
              </w:rPr>
              <w:t>8,131,339</w:t>
            </w:r>
          </w:p>
        </w:tc>
        <w:tc>
          <w:tcPr>
            <w:tcW w:w="1924" w:type="dxa"/>
            <w:vAlign w:val="center"/>
          </w:tcPr>
          <w:p w:rsidR="00135545" w:rsidRDefault="00E23441">
            <w:pPr>
              <w:jc w:val="right"/>
            </w:pPr>
            <w:r>
              <w:rPr>
                <w:color w:val="000000"/>
                <w:sz w:val="24"/>
                <w:szCs w:val="24"/>
              </w:rPr>
              <w:t>154,007,560.66</w:t>
            </w:r>
          </w:p>
        </w:tc>
        <w:tc>
          <w:tcPr>
            <w:tcW w:w="1644" w:type="dxa"/>
            <w:vAlign w:val="center"/>
          </w:tcPr>
          <w:p w:rsidR="00135545" w:rsidRDefault="00E23441">
            <w:pPr>
              <w:jc w:val="right"/>
            </w:pPr>
            <w:r>
              <w:rPr>
                <w:color w:val="000000"/>
                <w:sz w:val="24"/>
                <w:szCs w:val="24"/>
              </w:rPr>
              <w:t>2.33</w:t>
            </w:r>
          </w:p>
        </w:tc>
      </w:tr>
      <w:tr w:rsidR="00135545">
        <w:trPr>
          <w:jc w:val="center"/>
        </w:trPr>
        <w:tc>
          <w:tcPr>
            <w:tcW w:w="855" w:type="dxa"/>
            <w:vAlign w:val="center"/>
          </w:tcPr>
          <w:p w:rsidR="00135545" w:rsidRDefault="00E23441">
            <w:pPr>
              <w:jc w:val="center"/>
            </w:pPr>
            <w:r>
              <w:rPr>
                <w:color w:val="000000"/>
                <w:sz w:val="24"/>
                <w:szCs w:val="24"/>
              </w:rPr>
              <w:t>5</w:t>
            </w:r>
          </w:p>
        </w:tc>
        <w:tc>
          <w:tcPr>
            <w:tcW w:w="1334" w:type="dxa"/>
            <w:vAlign w:val="center"/>
          </w:tcPr>
          <w:p w:rsidR="00135545" w:rsidRDefault="00E23441">
            <w:pPr>
              <w:jc w:val="center"/>
            </w:pPr>
            <w:r>
              <w:rPr>
                <w:color w:val="000000"/>
                <w:sz w:val="24"/>
                <w:szCs w:val="24"/>
              </w:rPr>
              <w:t>002081</w:t>
            </w:r>
          </w:p>
        </w:tc>
        <w:tc>
          <w:tcPr>
            <w:tcW w:w="1777" w:type="dxa"/>
            <w:vAlign w:val="center"/>
          </w:tcPr>
          <w:p w:rsidR="00135545" w:rsidRDefault="00E23441">
            <w:pPr>
              <w:jc w:val="center"/>
            </w:pPr>
            <w:r>
              <w:rPr>
                <w:color w:val="000000"/>
                <w:sz w:val="24"/>
                <w:szCs w:val="24"/>
              </w:rPr>
              <w:t>金</w:t>
            </w:r>
            <w:r>
              <w:rPr>
                <w:color w:val="000000"/>
                <w:sz w:val="24"/>
                <w:szCs w:val="24"/>
              </w:rPr>
              <w:t xml:space="preserve"> </w:t>
            </w:r>
            <w:r>
              <w:rPr>
                <w:color w:val="000000"/>
                <w:sz w:val="24"/>
                <w:szCs w:val="24"/>
              </w:rPr>
              <w:t>螳</w:t>
            </w:r>
            <w:r>
              <w:rPr>
                <w:color w:val="000000"/>
                <w:sz w:val="24"/>
                <w:szCs w:val="24"/>
              </w:rPr>
              <w:t xml:space="preserve"> </w:t>
            </w:r>
            <w:r>
              <w:rPr>
                <w:color w:val="000000"/>
                <w:sz w:val="24"/>
                <w:szCs w:val="24"/>
              </w:rPr>
              <w:t>螂</w:t>
            </w:r>
          </w:p>
        </w:tc>
        <w:tc>
          <w:tcPr>
            <w:tcW w:w="1334" w:type="dxa"/>
            <w:vAlign w:val="center"/>
          </w:tcPr>
          <w:p w:rsidR="00135545" w:rsidRDefault="00E23441">
            <w:pPr>
              <w:jc w:val="right"/>
            </w:pPr>
            <w:r>
              <w:rPr>
                <w:color w:val="000000"/>
                <w:sz w:val="24"/>
                <w:szCs w:val="24"/>
              </w:rPr>
              <w:t>8,999,654</w:t>
            </w:r>
          </w:p>
        </w:tc>
        <w:tc>
          <w:tcPr>
            <w:tcW w:w="1924" w:type="dxa"/>
            <w:vAlign w:val="center"/>
          </w:tcPr>
          <w:p w:rsidR="00135545" w:rsidRDefault="00E23441">
            <w:pPr>
              <w:jc w:val="right"/>
            </w:pPr>
            <w:r>
              <w:rPr>
                <w:color w:val="000000"/>
                <w:sz w:val="24"/>
                <w:szCs w:val="24"/>
              </w:rPr>
              <w:t>151,194,187.20</w:t>
            </w:r>
          </w:p>
        </w:tc>
        <w:tc>
          <w:tcPr>
            <w:tcW w:w="1644" w:type="dxa"/>
            <w:vAlign w:val="center"/>
          </w:tcPr>
          <w:p w:rsidR="00135545" w:rsidRDefault="00E23441">
            <w:pPr>
              <w:jc w:val="right"/>
            </w:pPr>
            <w:r>
              <w:rPr>
                <w:color w:val="000000"/>
                <w:sz w:val="24"/>
                <w:szCs w:val="24"/>
              </w:rPr>
              <w:t>2.29</w:t>
            </w:r>
          </w:p>
        </w:tc>
      </w:tr>
      <w:tr w:rsidR="00135545">
        <w:trPr>
          <w:jc w:val="center"/>
        </w:trPr>
        <w:tc>
          <w:tcPr>
            <w:tcW w:w="855" w:type="dxa"/>
            <w:vAlign w:val="center"/>
          </w:tcPr>
          <w:p w:rsidR="00135545" w:rsidRDefault="00E23441">
            <w:pPr>
              <w:jc w:val="center"/>
            </w:pPr>
            <w:r>
              <w:rPr>
                <w:color w:val="000000"/>
                <w:sz w:val="24"/>
                <w:szCs w:val="24"/>
              </w:rPr>
              <w:t>6</w:t>
            </w:r>
          </w:p>
        </w:tc>
        <w:tc>
          <w:tcPr>
            <w:tcW w:w="1334" w:type="dxa"/>
            <w:vAlign w:val="center"/>
          </w:tcPr>
          <w:p w:rsidR="00135545" w:rsidRDefault="00E23441">
            <w:pPr>
              <w:jc w:val="center"/>
            </w:pPr>
            <w:r>
              <w:rPr>
                <w:color w:val="000000"/>
                <w:sz w:val="24"/>
                <w:szCs w:val="24"/>
              </w:rPr>
              <w:t>601336</w:t>
            </w:r>
          </w:p>
        </w:tc>
        <w:tc>
          <w:tcPr>
            <w:tcW w:w="1777" w:type="dxa"/>
            <w:vAlign w:val="center"/>
          </w:tcPr>
          <w:p w:rsidR="00135545" w:rsidRDefault="00E23441">
            <w:pPr>
              <w:jc w:val="center"/>
            </w:pPr>
            <w:r>
              <w:rPr>
                <w:color w:val="000000"/>
                <w:sz w:val="24"/>
                <w:szCs w:val="24"/>
              </w:rPr>
              <w:t>新华保险</w:t>
            </w:r>
          </w:p>
        </w:tc>
        <w:tc>
          <w:tcPr>
            <w:tcW w:w="1334" w:type="dxa"/>
            <w:vAlign w:val="center"/>
          </w:tcPr>
          <w:p w:rsidR="00135545" w:rsidRDefault="00E23441">
            <w:pPr>
              <w:jc w:val="right"/>
            </w:pPr>
            <w:r>
              <w:rPr>
                <w:color w:val="000000"/>
                <w:sz w:val="24"/>
                <w:szCs w:val="24"/>
              </w:rPr>
              <w:t>2,913,367</w:t>
            </w:r>
          </w:p>
        </w:tc>
        <w:tc>
          <w:tcPr>
            <w:tcW w:w="1924" w:type="dxa"/>
            <w:vAlign w:val="center"/>
          </w:tcPr>
          <w:p w:rsidR="00135545" w:rsidRDefault="00E23441">
            <w:pPr>
              <w:jc w:val="right"/>
            </w:pPr>
            <w:r>
              <w:rPr>
                <w:color w:val="000000"/>
                <w:sz w:val="24"/>
                <w:szCs w:val="24"/>
              </w:rPr>
              <w:t>144,386,468.52</w:t>
            </w:r>
          </w:p>
        </w:tc>
        <w:tc>
          <w:tcPr>
            <w:tcW w:w="1644" w:type="dxa"/>
            <w:vAlign w:val="center"/>
          </w:tcPr>
          <w:p w:rsidR="00135545" w:rsidRDefault="00E23441">
            <w:pPr>
              <w:jc w:val="right"/>
            </w:pPr>
            <w:r>
              <w:rPr>
                <w:color w:val="000000"/>
                <w:sz w:val="24"/>
                <w:szCs w:val="24"/>
              </w:rPr>
              <w:t>2.18</w:t>
            </w:r>
          </w:p>
        </w:tc>
      </w:tr>
      <w:tr w:rsidR="00135545">
        <w:trPr>
          <w:jc w:val="center"/>
        </w:trPr>
        <w:tc>
          <w:tcPr>
            <w:tcW w:w="855" w:type="dxa"/>
            <w:vAlign w:val="center"/>
          </w:tcPr>
          <w:p w:rsidR="00135545" w:rsidRDefault="00E23441">
            <w:pPr>
              <w:jc w:val="center"/>
            </w:pPr>
            <w:r>
              <w:rPr>
                <w:color w:val="000000"/>
                <w:sz w:val="24"/>
                <w:szCs w:val="24"/>
              </w:rPr>
              <w:t>7</w:t>
            </w:r>
          </w:p>
        </w:tc>
        <w:tc>
          <w:tcPr>
            <w:tcW w:w="1334" w:type="dxa"/>
            <w:vAlign w:val="center"/>
          </w:tcPr>
          <w:p w:rsidR="00135545" w:rsidRDefault="00E23441">
            <w:pPr>
              <w:jc w:val="center"/>
            </w:pPr>
            <w:r>
              <w:rPr>
                <w:color w:val="000000"/>
                <w:sz w:val="24"/>
                <w:szCs w:val="24"/>
              </w:rPr>
              <w:t>601688</w:t>
            </w:r>
          </w:p>
        </w:tc>
        <w:tc>
          <w:tcPr>
            <w:tcW w:w="1777" w:type="dxa"/>
            <w:vAlign w:val="center"/>
          </w:tcPr>
          <w:p w:rsidR="00135545" w:rsidRDefault="00E23441">
            <w:pPr>
              <w:jc w:val="center"/>
            </w:pPr>
            <w:r>
              <w:rPr>
                <w:color w:val="000000"/>
                <w:sz w:val="24"/>
                <w:szCs w:val="24"/>
              </w:rPr>
              <w:t>华泰证券</w:t>
            </w:r>
          </w:p>
        </w:tc>
        <w:tc>
          <w:tcPr>
            <w:tcW w:w="1334" w:type="dxa"/>
            <w:vAlign w:val="center"/>
          </w:tcPr>
          <w:p w:rsidR="00135545" w:rsidRDefault="00E23441">
            <w:pPr>
              <w:jc w:val="right"/>
            </w:pPr>
            <w:r>
              <w:rPr>
                <w:color w:val="000000"/>
                <w:sz w:val="24"/>
                <w:szCs w:val="24"/>
              </w:rPr>
              <w:t>5,462,220</w:t>
            </w:r>
          </w:p>
        </w:tc>
        <w:tc>
          <w:tcPr>
            <w:tcW w:w="1924" w:type="dxa"/>
            <w:vAlign w:val="center"/>
          </w:tcPr>
          <w:p w:rsidR="00135545" w:rsidRDefault="00E23441">
            <w:pPr>
              <w:jc w:val="right"/>
            </w:pPr>
            <w:r>
              <w:rPr>
                <w:color w:val="000000"/>
                <w:sz w:val="24"/>
                <w:szCs w:val="24"/>
              </w:rPr>
              <w:t>133,660,523.40</w:t>
            </w:r>
          </w:p>
        </w:tc>
        <w:tc>
          <w:tcPr>
            <w:tcW w:w="1644" w:type="dxa"/>
            <w:vAlign w:val="center"/>
          </w:tcPr>
          <w:p w:rsidR="00135545" w:rsidRDefault="00E23441">
            <w:pPr>
              <w:jc w:val="right"/>
            </w:pPr>
            <w:r>
              <w:rPr>
                <w:color w:val="000000"/>
                <w:sz w:val="24"/>
                <w:szCs w:val="24"/>
              </w:rPr>
              <w:t>2.02</w:t>
            </w:r>
          </w:p>
        </w:tc>
      </w:tr>
      <w:tr w:rsidR="00135545">
        <w:trPr>
          <w:jc w:val="center"/>
        </w:trPr>
        <w:tc>
          <w:tcPr>
            <w:tcW w:w="855" w:type="dxa"/>
            <w:vAlign w:val="center"/>
          </w:tcPr>
          <w:p w:rsidR="00135545" w:rsidRDefault="00E23441">
            <w:pPr>
              <w:jc w:val="center"/>
            </w:pPr>
            <w:r>
              <w:rPr>
                <w:color w:val="000000"/>
                <w:sz w:val="24"/>
                <w:szCs w:val="24"/>
              </w:rPr>
              <w:t>8</w:t>
            </w:r>
          </w:p>
        </w:tc>
        <w:tc>
          <w:tcPr>
            <w:tcW w:w="1334" w:type="dxa"/>
            <w:vAlign w:val="center"/>
          </w:tcPr>
          <w:p w:rsidR="00135545" w:rsidRDefault="00E23441">
            <w:pPr>
              <w:jc w:val="center"/>
            </w:pPr>
            <w:r>
              <w:rPr>
                <w:color w:val="000000"/>
                <w:sz w:val="24"/>
                <w:szCs w:val="24"/>
              </w:rPr>
              <w:t>600079</w:t>
            </w:r>
          </w:p>
        </w:tc>
        <w:tc>
          <w:tcPr>
            <w:tcW w:w="1777" w:type="dxa"/>
            <w:vAlign w:val="center"/>
          </w:tcPr>
          <w:p w:rsidR="00135545" w:rsidRDefault="00E23441">
            <w:pPr>
              <w:jc w:val="center"/>
            </w:pPr>
            <w:r>
              <w:rPr>
                <w:color w:val="000000"/>
                <w:sz w:val="24"/>
                <w:szCs w:val="24"/>
              </w:rPr>
              <w:t>人福医药</w:t>
            </w:r>
          </w:p>
        </w:tc>
        <w:tc>
          <w:tcPr>
            <w:tcW w:w="1334" w:type="dxa"/>
            <w:vAlign w:val="center"/>
          </w:tcPr>
          <w:p w:rsidR="00135545" w:rsidRDefault="00E23441">
            <w:pPr>
              <w:jc w:val="right"/>
            </w:pPr>
            <w:r>
              <w:rPr>
                <w:color w:val="000000"/>
                <w:sz w:val="24"/>
                <w:szCs w:val="24"/>
              </w:rPr>
              <w:t>4,695,589</w:t>
            </w:r>
          </w:p>
        </w:tc>
        <w:tc>
          <w:tcPr>
            <w:tcW w:w="1924" w:type="dxa"/>
            <w:vAlign w:val="center"/>
          </w:tcPr>
          <w:p w:rsidR="00135545" w:rsidRDefault="00E23441">
            <w:pPr>
              <w:jc w:val="right"/>
            </w:pPr>
            <w:r>
              <w:rPr>
                <w:color w:val="000000"/>
                <w:sz w:val="24"/>
                <w:szCs w:val="24"/>
              </w:rPr>
              <w:t>120,441,857.85</w:t>
            </w:r>
          </w:p>
        </w:tc>
        <w:tc>
          <w:tcPr>
            <w:tcW w:w="1644" w:type="dxa"/>
            <w:vAlign w:val="center"/>
          </w:tcPr>
          <w:p w:rsidR="00135545" w:rsidRDefault="00E23441">
            <w:pPr>
              <w:jc w:val="right"/>
            </w:pPr>
            <w:r>
              <w:rPr>
                <w:color w:val="000000"/>
                <w:sz w:val="24"/>
                <w:szCs w:val="24"/>
              </w:rPr>
              <w:t>1.82</w:t>
            </w:r>
          </w:p>
        </w:tc>
      </w:tr>
      <w:tr w:rsidR="00135545">
        <w:trPr>
          <w:jc w:val="center"/>
        </w:trPr>
        <w:tc>
          <w:tcPr>
            <w:tcW w:w="855" w:type="dxa"/>
            <w:vAlign w:val="center"/>
          </w:tcPr>
          <w:p w:rsidR="00135545" w:rsidRDefault="00E23441">
            <w:pPr>
              <w:jc w:val="center"/>
            </w:pPr>
            <w:r>
              <w:rPr>
                <w:color w:val="000000"/>
                <w:sz w:val="24"/>
                <w:szCs w:val="24"/>
              </w:rPr>
              <w:t>9</w:t>
            </w:r>
          </w:p>
        </w:tc>
        <w:tc>
          <w:tcPr>
            <w:tcW w:w="1334" w:type="dxa"/>
            <w:vAlign w:val="center"/>
          </w:tcPr>
          <w:p w:rsidR="00135545" w:rsidRDefault="00E23441">
            <w:pPr>
              <w:jc w:val="center"/>
            </w:pPr>
            <w:r>
              <w:rPr>
                <w:color w:val="000000"/>
                <w:sz w:val="24"/>
                <w:szCs w:val="24"/>
              </w:rPr>
              <w:t>600030</w:t>
            </w:r>
          </w:p>
        </w:tc>
        <w:tc>
          <w:tcPr>
            <w:tcW w:w="1777" w:type="dxa"/>
            <w:vAlign w:val="center"/>
          </w:tcPr>
          <w:p w:rsidR="00135545" w:rsidRDefault="00E23441">
            <w:pPr>
              <w:jc w:val="center"/>
            </w:pPr>
            <w:r>
              <w:rPr>
                <w:color w:val="000000"/>
                <w:sz w:val="24"/>
                <w:szCs w:val="24"/>
              </w:rPr>
              <w:t>中信证券</w:t>
            </w:r>
          </w:p>
        </w:tc>
        <w:tc>
          <w:tcPr>
            <w:tcW w:w="1334" w:type="dxa"/>
            <w:vAlign w:val="center"/>
          </w:tcPr>
          <w:p w:rsidR="00135545" w:rsidRDefault="00E23441">
            <w:pPr>
              <w:jc w:val="right"/>
            </w:pPr>
            <w:r>
              <w:rPr>
                <w:color w:val="000000"/>
                <w:sz w:val="24"/>
                <w:szCs w:val="24"/>
              </w:rPr>
              <w:t>3,500,000</w:t>
            </w:r>
          </w:p>
        </w:tc>
        <w:tc>
          <w:tcPr>
            <w:tcW w:w="1924" w:type="dxa"/>
            <w:vAlign w:val="center"/>
          </w:tcPr>
          <w:p w:rsidR="00135545" w:rsidRDefault="00E23441">
            <w:pPr>
              <w:jc w:val="right"/>
            </w:pPr>
            <w:r>
              <w:rPr>
                <w:color w:val="000000"/>
                <w:sz w:val="24"/>
                <w:szCs w:val="24"/>
              </w:rPr>
              <w:t>118,650,000.00</w:t>
            </w:r>
          </w:p>
        </w:tc>
        <w:tc>
          <w:tcPr>
            <w:tcW w:w="1644" w:type="dxa"/>
            <w:vAlign w:val="center"/>
          </w:tcPr>
          <w:p w:rsidR="00135545" w:rsidRDefault="00E23441">
            <w:pPr>
              <w:jc w:val="right"/>
            </w:pPr>
            <w:r>
              <w:rPr>
                <w:color w:val="000000"/>
                <w:sz w:val="24"/>
                <w:szCs w:val="24"/>
              </w:rPr>
              <w:t>1.79</w:t>
            </w:r>
          </w:p>
        </w:tc>
      </w:tr>
      <w:tr w:rsidR="00135545">
        <w:trPr>
          <w:jc w:val="center"/>
        </w:trPr>
        <w:tc>
          <w:tcPr>
            <w:tcW w:w="855" w:type="dxa"/>
            <w:vAlign w:val="center"/>
          </w:tcPr>
          <w:p w:rsidR="00135545" w:rsidRDefault="00E23441">
            <w:pPr>
              <w:jc w:val="center"/>
            </w:pPr>
            <w:r>
              <w:rPr>
                <w:color w:val="000000"/>
                <w:sz w:val="24"/>
                <w:szCs w:val="24"/>
              </w:rPr>
              <w:t>10</w:t>
            </w:r>
          </w:p>
        </w:tc>
        <w:tc>
          <w:tcPr>
            <w:tcW w:w="1334" w:type="dxa"/>
            <w:vAlign w:val="center"/>
          </w:tcPr>
          <w:p w:rsidR="00135545" w:rsidRDefault="00E23441">
            <w:pPr>
              <w:jc w:val="center"/>
            </w:pPr>
            <w:r>
              <w:rPr>
                <w:color w:val="000000"/>
                <w:sz w:val="24"/>
                <w:szCs w:val="24"/>
              </w:rPr>
              <w:t>600015</w:t>
            </w:r>
          </w:p>
        </w:tc>
        <w:tc>
          <w:tcPr>
            <w:tcW w:w="1777" w:type="dxa"/>
            <w:vAlign w:val="center"/>
          </w:tcPr>
          <w:p w:rsidR="00135545" w:rsidRDefault="00E23441">
            <w:pPr>
              <w:jc w:val="center"/>
            </w:pPr>
            <w:r>
              <w:rPr>
                <w:color w:val="000000"/>
                <w:sz w:val="24"/>
                <w:szCs w:val="24"/>
              </w:rPr>
              <w:t>华夏银行</w:t>
            </w:r>
          </w:p>
        </w:tc>
        <w:tc>
          <w:tcPr>
            <w:tcW w:w="1334" w:type="dxa"/>
            <w:vAlign w:val="center"/>
          </w:tcPr>
          <w:p w:rsidR="00135545" w:rsidRDefault="00E23441">
            <w:pPr>
              <w:jc w:val="right"/>
            </w:pPr>
            <w:r>
              <w:rPr>
                <w:color w:val="000000"/>
                <w:sz w:val="24"/>
                <w:szCs w:val="24"/>
              </w:rPr>
              <w:t>8,499,911</w:t>
            </w:r>
          </w:p>
        </w:tc>
        <w:tc>
          <w:tcPr>
            <w:tcW w:w="1924" w:type="dxa"/>
            <w:vAlign w:val="center"/>
          </w:tcPr>
          <w:p w:rsidR="00135545" w:rsidRDefault="00E23441">
            <w:pPr>
              <w:jc w:val="right"/>
            </w:pPr>
            <w:r>
              <w:rPr>
                <w:color w:val="000000"/>
                <w:sz w:val="24"/>
                <w:szCs w:val="24"/>
              </w:rPr>
              <w:t>114,408,802.06</w:t>
            </w:r>
          </w:p>
        </w:tc>
        <w:tc>
          <w:tcPr>
            <w:tcW w:w="1644" w:type="dxa"/>
            <w:vAlign w:val="center"/>
          </w:tcPr>
          <w:p w:rsidR="00135545" w:rsidRDefault="00E23441">
            <w:pPr>
              <w:jc w:val="right"/>
            </w:pPr>
            <w:r>
              <w:rPr>
                <w:color w:val="000000"/>
                <w:sz w:val="24"/>
                <w:szCs w:val="24"/>
              </w:rPr>
              <w:t>1.73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340,264,000.00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5.15</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340,264,000.00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5.15</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66,517,755.16</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1.01</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406,781,755.16</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6.15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135545">
        <w:trPr>
          <w:jc w:val="center"/>
        </w:trPr>
        <w:tc>
          <w:tcPr>
            <w:tcW w:w="850" w:type="dxa"/>
            <w:vAlign w:val="center"/>
          </w:tcPr>
          <w:p w:rsidR="00135545" w:rsidRDefault="00E23441">
            <w:pPr>
              <w:jc w:val="center"/>
            </w:pPr>
            <w:r>
              <w:rPr>
                <w:color w:val="000000"/>
                <w:sz w:val="24"/>
                <w:szCs w:val="24"/>
              </w:rPr>
              <w:t>1</w:t>
            </w:r>
          </w:p>
        </w:tc>
        <w:tc>
          <w:tcPr>
            <w:tcW w:w="1475" w:type="dxa"/>
            <w:vAlign w:val="center"/>
          </w:tcPr>
          <w:p w:rsidR="00135545" w:rsidRDefault="00E23441">
            <w:pPr>
              <w:jc w:val="center"/>
            </w:pPr>
            <w:r>
              <w:rPr>
                <w:color w:val="000000"/>
                <w:sz w:val="24"/>
                <w:szCs w:val="24"/>
              </w:rPr>
              <w:t>140223</w:t>
            </w:r>
          </w:p>
        </w:tc>
        <w:tc>
          <w:tcPr>
            <w:tcW w:w="1769" w:type="dxa"/>
            <w:vAlign w:val="center"/>
          </w:tcPr>
          <w:p w:rsidR="00135545" w:rsidRDefault="00E23441">
            <w:pPr>
              <w:jc w:val="center"/>
            </w:pPr>
            <w:r>
              <w:rPr>
                <w:color w:val="000000"/>
                <w:sz w:val="24"/>
                <w:szCs w:val="24"/>
              </w:rPr>
              <w:t>14</w:t>
            </w:r>
            <w:r>
              <w:rPr>
                <w:color w:val="000000"/>
                <w:sz w:val="24"/>
                <w:szCs w:val="24"/>
              </w:rPr>
              <w:t>国开</w:t>
            </w:r>
            <w:r>
              <w:rPr>
                <w:color w:val="000000"/>
                <w:sz w:val="24"/>
                <w:szCs w:val="24"/>
              </w:rPr>
              <w:t>23</w:t>
            </w:r>
          </w:p>
        </w:tc>
        <w:tc>
          <w:tcPr>
            <w:tcW w:w="1387" w:type="dxa"/>
            <w:vAlign w:val="center"/>
          </w:tcPr>
          <w:p w:rsidR="00135545" w:rsidRDefault="00E23441">
            <w:pPr>
              <w:jc w:val="right"/>
            </w:pPr>
            <w:r>
              <w:rPr>
                <w:color w:val="000000"/>
                <w:sz w:val="24"/>
                <w:szCs w:val="24"/>
              </w:rPr>
              <w:t>1,400,000</w:t>
            </w:r>
          </w:p>
        </w:tc>
        <w:tc>
          <w:tcPr>
            <w:tcW w:w="2150" w:type="dxa"/>
            <w:vAlign w:val="center"/>
          </w:tcPr>
          <w:p w:rsidR="00135545" w:rsidRDefault="00E23441">
            <w:pPr>
              <w:jc w:val="right"/>
            </w:pPr>
            <w:r>
              <w:rPr>
                <w:color w:val="000000"/>
                <w:sz w:val="24"/>
                <w:szCs w:val="24"/>
              </w:rPr>
              <w:t>140,182,000.00</w:t>
            </w:r>
          </w:p>
        </w:tc>
        <w:tc>
          <w:tcPr>
            <w:tcW w:w="1237" w:type="dxa"/>
            <w:vAlign w:val="center"/>
          </w:tcPr>
          <w:p w:rsidR="00135545" w:rsidRDefault="00E23441">
            <w:pPr>
              <w:jc w:val="right"/>
            </w:pPr>
            <w:r>
              <w:rPr>
                <w:color w:val="000000"/>
                <w:sz w:val="24"/>
                <w:szCs w:val="24"/>
              </w:rPr>
              <w:t>2.12</w:t>
            </w:r>
          </w:p>
        </w:tc>
      </w:tr>
      <w:tr w:rsidR="00135545">
        <w:trPr>
          <w:jc w:val="center"/>
        </w:trPr>
        <w:tc>
          <w:tcPr>
            <w:tcW w:w="850" w:type="dxa"/>
            <w:vAlign w:val="center"/>
          </w:tcPr>
          <w:p w:rsidR="00135545" w:rsidRDefault="00E23441">
            <w:pPr>
              <w:jc w:val="center"/>
            </w:pPr>
            <w:r>
              <w:rPr>
                <w:color w:val="000000"/>
                <w:sz w:val="24"/>
                <w:szCs w:val="24"/>
              </w:rPr>
              <w:t>2</w:t>
            </w:r>
          </w:p>
        </w:tc>
        <w:tc>
          <w:tcPr>
            <w:tcW w:w="1475" w:type="dxa"/>
            <w:vAlign w:val="center"/>
          </w:tcPr>
          <w:p w:rsidR="00135545" w:rsidRDefault="00E23441">
            <w:pPr>
              <w:jc w:val="center"/>
            </w:pPr>
            <w:r>
              <w:rPr>
                <w:color w:val="000000"/>
                <w:sz w:val="24"/>
                <w:szCs w:val="24"/>
              </w:rPr>
              <w:t>140213</w:t>
            </w:r>
          </w:p>
        </w:tc>
        <w:tc>
          <w:tcPr>
            <w:tcW w:w="1769" w:type="dxa"/>
            <w:vAlign w:val="center"/>
          </w:tcPr>
          <w:p w:rsidR="00135545" w:rsidRDefault="00E23441">
            <w:pPr>
              <w:jc w:val="center"/>
            </w:pPr>
            <w:r>
              <w:rPr>
                <w:color w:val="000000"/>
                <w:sz w:val="24"/>
                <w:szCs w:val="24"/>
              </w:rPr>
              <w:t>14</w:t>
            </w:r>
            <w:r>
              <w:rPr>
                <w:color w:val="000000"/>
                <w:sz w:val="24"/>
                <w:szCs w:val="24"/>
              </w:rPr>
              <w:t>国开</w:t>
            </w:r>
            <w:r>
              <w:rPr>
                <w:color w:val="000000"/>
                <w:sz w:val="24"/>
                <w:szCs w:val="24"/>
              </w:rPr>
              <w:t>13</w:t>
            </w:r>
          </w:p>
        </w:tc>
        <w:tc>
          <w:tcPr>
            <w:tcW w:w="1387" w:type="dxa"/>
            <w:vAlign w:val="center"/>
          </w:tcPr>
          <w:p w:rsidR="00135545" w:rsidRDefault="00E23441">
            <w:pPr>
              <w:jc w:val="right"/>
            </w:pPr>
            <w:r>
              <w:rPr>
                <w:color w:val="000000"/>
                <w:sz w:val="24"/>
                <w:szCs w:val="24"/>
              </w:rPr>
              <w:t>800,000</w:t>
            </w:r>
          </w:p>
        </w:tc>
        <w:tc>
          <w:tcPr>
            <w:tcW w:w="2150" w:type="dxa"/>
            <w:vAlign w:val="center"/>
          </w:tcPr>
          <w:p w:rsidR="00135545" w:rsidRDefault="00E23441">
            <w:pPr>
              <w:jc w:val="right"/>
            </w:pPr>
            <w:r>
              <w:rPr>
                <w:color w:val="000000"/>
                <w:sz w:val="24"/>
                <w:szCs w:val="24"/>
              </w:rPr>
              <w:t>80,000,000.00</w:t>
            </w:r>
          </w:p>
        </w:tc>
        <w:tc>
          <w:tcPr>
            <w:tcW w:w="1237" w:type="dxa"/>
            <w:vAlign w:val="center"/>
          </w:tcPr>
          <w:p w:rsidR="00135545" w:rsidRDefault="00E23441">
            <w:pPr>
              <w:jc w:val="right"/>
            </w:pPr>
            <w:r>
              <w:rPr>
                <w:color w:val="000000"/>
                <w:sz w:val="24"/>
                <w:szCs w:val="24"/>
              </w:rPr>
              <w:t>1.21</w:t>
            </w:r>
          </w:p>
        </w:tc>
      </w:tr>
      <w:tr w:rsidR="00135545">
        <w:trPr>
          <w:jc w:val="center"/>
        </w:trPr>
        <w:tc>
          <w:tcPr>
            <w:tcW w:w="850" w:type="dxa"/>
            <w:vAlign w:val="center"/>
          </w:tcPr>
          <w:p w:rsidR="00135545" w:rsidRDefault="00E23441">
            <w:pPr>
              <w:jc w:val="center"/>
            </w:pPr>
            <w:r>
              <w:rPr>
                <w:color w:val="000000"/>
                <w:sz w:val="24"/>
                <w:szCs w:val="24"/>
              </w:rPr>
              <w:t>3</w:t>
            </w:r>
          </w:p>
        </w:tc>
        <w:tc>
          <w:tcPr>
            <w:tcW w:w="1475" w:type="dxa"/>
            <w:vAlign w:val="center"/>
          </w:tcPr>
          <w:p w:rsidR="00135545" w:rsidRDefault="00E23441">
            <w:pPr>
              <w:jc w:val="center"/>
            </w:pPr>
            <w:r>
              <w:rPr>
                <w:color w:val="000000"/>
                <w:sz w:val="24"/>
                <w:szCs w:val="24"/>
              </w:rPr>
              <w:t>140218</w:t>
            </w:r>
          </w:p>
        </w:tc>
        <w:tc>
          <w:tcPr>
            <w:tcW w:w="1769" w:type="dxa"/>
            <w:vAlign w:val="center"/>
          </w:tcPr>
          <w:p w:rsidR="00135545" w:rsidRDefault="00E23441">
            <w:pPr>
              <w:jc w:val="center"/>
            </w:pPr>
            <w:r>
              <w:rPr>
                <w:color w:val="000000"/>
                <w:sz w:val="24"/>
                <w:szCs w:val="24"/>
              </w:rPr>
              <w:t>14</w:t>
            </w:r>
            <w:r>
              <w:rPr>
                <w:color w:val="000000"/>
                <w:sz w:val="24"/>
                <w:szCs w:val="24"/>
              </w:rPr>
              <w:t>国开</w:t>
            </w:r>
            <w:r>
              <w:rPr>
                <w:color w:val="000000"/>
                <w:sz w:val="24"/>
                <w:szCs w:val="24"/>
              </w:rPr>
              <w:t>18</w:t>
            </w:r>
          </w:p>
        </w:tc>
        <w:tc>
          <w:tcPr>
            <w:tcW w:w="1387" w:type="dxa"/>
            <w:vAlign w:val="center"/>
          </w:tcPr>
          <w:p w:rsidR="00135545" w:rsidRDefault="00E23441">
            <w:pPr>
              <w:jc w:val="right"/>
            </w:pPr>
            <w:r>
              <w:rPr>
                <w:color w:val="000000"/>
                <w:sz w:val="24"/>
                <w:szCs w:val="24"/>
              </w:rPr>
              <w:t>500,000</w:t>
            </w:r>
          </w:p>
        </w:tc>
        <w:tc>
          <w:tcPr>
            <w:tcW w:w="2150" w:type="dxa"/>
            <w:vAlign w:val="center"/>
          </w:tcPr>
          <w:p w:rsidR="00135545" w:rsidRDefault="00E23441">
            <w:pPr>
              <w:jc w:val="right"/>
            </w:pPr>
            <w:r>
              <w:rPr>
                <w:color w:val="000000"/>
                <w:sz w:val="24"/>
                <w:szCs w:val="24"/>
              </w:rPr>
              <w:t>50,035,000.00</w:t>
            </w:r>
          </w:p>
        </w:tc>
        <w:tc>
          <w:tcPr>
            <w:tcW w:w="1237" w:type="dxa"/>
            <w:vAlign w:val="center"/>
          </w:tcPr>
          <w:p w:rsidR="00135545" w:rsidRDefault="00E23441">
            <w:pPr>
              <w:jc w:val="right"/>
            </w:pPr>
            <w:r>
              <w:rPr>
                <w:color w:val="000000"/>
                <w:sz w:val="24"/>
                <w:szCs w:val="24"/>
              </w:rPr>
              <w:t>0.76</w:t>
            </w:r>
          </w:p>
        </w:tc>
      </w:tr>
      <w:tr w:rsidR="00135545">
        <w:trPr>
          <w:jc w:val="center"/>
        </w:trPr>
        <w:tc>
          <w:tcPr>
            <w:tcW w:w="850" w:type="dxa"/>
            <w:vAlign w:val="center"/>
          </w:tcPr>
          <w:p w:rsidR="00135545" w:rsidRDefault="00E23441">
            <w:pPr>
              <w:jc w:val="center"/>
            </w:pPr>
            <w:r>
              <w:rPr>
                <w:color w:val="000000"/>
                <w:sz w:val="24"/>
                <w:szCs w:val="24"/>
              </w:rPr>
              <w:t>4</w:t>
            </w:r>
          </w:p>
        </w:tc>
        <w:tc>
          <w:tcPr>
            <w:tcW w:w="1475" w:type="dxa"/>
            <w:vAlign w:val="center"/>
          </w:tcPr>
          <w:p w:rsidR="00135545" w:rsidRDefault="00E23441">
            <w:pPr>
              <w:jc w:val="center"/>
            </w:pPr>
            <w:r>
              <w:rPr>
                <w:color w:val="000000"/>
                <w:sz w:val="24"/>
                <w:szCs w:val="24"/>
              </w:rPr>
              <w:t>113001</w:t>
            </w:r>
          </w:p>
        </w:tc>
        <w:tc>
          <w:tcPr>
            <w:tcW w:w="1769" w:type="dxa"/>
            <w:vAlign w:val="center"/>
          </w:tcPr>
          <w:p w:rsidR="00135545" w:rsidRDefault="00E23441">
            <w:pPr>
              <w:jc w:val="center"/>
            </w:pPr>
            <w:r>
              <w:rPr>
                <w:color w:val="000000"/>
                <w:sz w:val="24"/>
                <w:szCs w:val="24"/>
              </w:rPr>
              <w:t>中行转债</w:t>
            </w:r>
          </w:p>
        </w:tc>
        <w:tc>
          <w:tcPr>
            <w:tcW w:w="1387" w:type="dxa"/>
            <w:vAlign w:val="center"/>
          </w:tcPr>
          <w:p w:rsidR="00135545" w:rsidRDefault="00E23441">
            <w:pPr>
              <w:jc w:val="right"/>
            </w:pPr>
            <w:r>
              <w:rPr>
                <w:color w:val="000000"/>
                <w:sz w:val="24"/>
                <w:szCs w:val="24"/>
              </w:rPr>
              <w:t>274,700</w:t>
            </w:r>
          </w:p>
        </w:tc>
        <w:tc>
          <w:tcPr>
            <w:tcW w:w="2150" w:type="dxa"/>
            <w:vAlign w:val="center"/>
          </w:tcPr>
          <w:p w:rsidR="00135545" w:rsidRDefault="00E23441">
            <w:pPr>
              <w:jc w:val="right"/>
            </w:pPr>
            <w:r>
              <w:rPr>
                <w:color w:val="000000"/>
                <w:sz w:val="24"/>
                <w:szCs w:val="24"/>
              </w:rPr>
              <w:t>43,015,273.00</w:t>
            </w:r>
          </w:p>
        </w:tc>
        <w:tc>
          <w:tcPr>
            <w:tcW w:w="1237" w:type="dxa"/>
            <w:vAlign w:val="center"/>
          </w:tcPr>
          <w:p w:rsidR="00135545" w:rsidRDefault="00E23441">
            <w:pPr>
              <w:jc w:val="right"/>
            </w:pPr>
            <w:r>
              <w:rPr>
                <w:color w:val="000000"/>
                <w:sz w:val="24"/>
                <w:szCs w:val="24"/>
              </w:rPr>
              <w:t>0.65</w:t>
            </w:r>
          </w:p>
        </w:tc>
      </w:tr>
      <w:tr w:rsidR="00135545">
        <w:trPr>
          <w:jc w:val="center"/>
        </w:trPr>
        <w:tc>
          <w:tcPr>
            <w:tcW w:w="850" w:type="dxa"/>
            <w:vAlign w:val="center"/>
          </w:tcPr>
          <w:p w:rsidR="00135545" w:rsidRDefault="00E23441">
            <w:pPr>
              <w:jc w:val="center"/>
            </w:pPr>
            <w:r>
              <w:rPr>
                <w:color w:val="000000"/>
                <w:sz w:val="24"/>
                <w:szCs w:val="24"/>
              </w:rPr>
              <w:t>5</w:t>
            </w:r>
          </w:p>
        </w:tc>
        <w:tc>
          <w:tcPr>
            <w:tcW w:w="1475" w:type="dxa"/>
            <w:vAlign w:val="center"/>
          </w:tcPr>
          <w:p w:rsidR="00135545" w:rsidRDefault="00E23441">
            <w:pPr>
              <w:jc w:val="center"/>
            </w:pPr>
            <w:r>
              <w:rPr>
                <w:color w:val="000000"/>
                <w:sz w:val="24"/>
                <w:szCs w:val="24"/>
              </w:rPr>
              <w:t>140204</w:t>
            </w:r>
          </w:p>
        </w:tc>
        <w:tc>
          <w:tcPr>
            <w:tcW w:w="1769" w:type="dxa"/>
            <w:vAlign w:val="center"/>
          </w:tcPr>
          <w:p w:rsidR="00135545" w:rsidRDefault="00E23441">
            <w:pPr>
              <w:jc w:val="center"/>
            </w:pPr>
            <w:r>
              <w:rPr>
                <w:color w:val="000000"/>
                <w:sz w:val="24"/>
                <w:szCs w:val="24"/>
              </w:rPr>
              <w:t>14</w:t>
            </w:r>
            <w:r>
              <w:rPr>
                <w:color w:val="000000"/>
                <w:sz w:val="24"/>
                <w:szCs w:val="24"/>
              </w:rPr>
              <w:t>国开</w:t>
            </w:r>
            <w:r>
              <w:rPr>
                <w:color w:val="000000"/>
                <w:sz w:val="24"/>
                <w:szCs w:val="24"/>
              </w:rPr>
              <w:t>04</w:t>
            </w:r>
          </w:p>
        </w:tc>
        <w:tc>
          <w:tcPr>
            <w:tcW w:w="1387" w:type="dxa"/>
            <w:vAlign w:val="center"/>
          </w:tcPr>
          <w:p w:rsidR="00135545" w:rsidRDefault="00E23441">
            <w:pPr>
              <w:jc w:val="right"/>
            </w:pPr>
            <w:r>
              <w:rPr>
                <w:color w:val="000000"/>
                <w:sz w:val="24"/>
                <w:szCs w:val="24"/>
              </w:rPr>
              <w:t>400,000</w:t>
            </w:r>
          </w:p>
        </w:tc>
        <w:tc>
          <w:tcPr>
            <w:tcW w:w="2150" w:type="dxa"/>
            <w:vAlign w:val="center"/>
          </w:tcPr>
          <w:p w:rsidR="00135545" w:rsidRDefault="00E23441">
            <w:pPr>
              <w:jc w:val="right"/>
            </w:pPr>
            <w:r>
              <w:rPr>
                <w:color w:val="000000"/>
                <w:sz w:val="24"/>
                <w:szCs w:val="24"/>
              </w:rPr>
              <w:t>40,008,000.00</w:t>
            </w:r>
          </w:p>
        </w:tc>
        <w:tc>
          <w:tcPr>
            <w:tcW w:w="1237" w:type="dxa"/>
            <w:vAlign w:val="center"/>
          </w:tcPr>
          <w:p w:rsidR="00135545" w:rsidRDefault="00E23441">
            <w:pPr>
              <w:jc w:val="right"/>
            </w:pPr>
            <w:r>
              <w:rPr>
                <w:color w:val="000000"/>
                <w:sz w:val="24"/>
                <w:szCs w:val="24"/>
              </w:rPr>
              <w:t>0.61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2,193,204.74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25,095,637.41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7,792,929.77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132,758.90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35,214,530.82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135545">
        <w:trPr>
          <w:jc w:val="center"/>
        </w:trPr>
        <w:tc>
          <w:tcPr>
            <w:tcW w:w="1883" w:type="dxa"/>
            <w:vAlign w:val="center"/>
          </w:tcPr>
          <w:p w:rsidR="00135545" w:rsidRDefault="00E23441">
            <w:pPr>
              <w:jc w:val="center"/>
            </w:pPr>
            <w:r>
              <w:rPr>
                <w:color w:val="000000"/>
                <w:sz w:val="24"/>
                <w:szCs w:val="24"/>
              </w:rPr>
              <w:t>1</w:t>
            </w:r>
          </w:p>
        </w:tc>
        <w:tc>
          <w:tcPr>
            <w:tcW w:w="1801" w:type="dxa"/>
            <w:vAlign w:val="center"/>
          </w:tcPr>
          <w:p w:rsidR="00135545" w:rsidRDefault="00E23441">
            <w:pPr>
              <w:jc w:val="center"/>
            </w:pPr>
            <w:r>
              <w:rPr>
                <w:color w:val="000000"/>
                <w:sz w:val="24"/>
                <w:szCs w:val="24"/>
              </w:rPr>
              <w:t>113001</w:t>
            </w:r>
          </w:p>
        </w:tc>
        <w:tc>
          <w:tcPr>
            <w:tcW w:w="1727" w:type="dxa"/>
            <w:vAlign w:val="center"/>
          </w:tcPr>
          <w:p w:rsidR="00135545" w:rsidRDefault="00E23441">
            <w:pPr>
              <w:jc w:val="center"/>
            </w:pPr>
            <w:r>
              <w:rPr>
                <w:color w:val="000000"/>
                <w:sz w:val="24"/>
                <w:szCs w:val="24"/>
              </w:rPr>
              <w:t>中行转债</w:t>
            </w:r>
          </w:p>
        </w:tc>
        <w:tc>
          <w:tcPr>
            <w:tcW w:w="1768" w:type="dxa"/>
            <w:vAlign w:val="center"/>
          </w:tcPr>
          <w:p w:rsidR="00135545" w:rsidRDefault="00E23441">
            <w:pPr>
              <w:jc w:val="right"/>
            </w:pPr>
            <w:r>
              <w:rPr>
                <w:color w:val="000000"/>
                <w:sz w:val="24"/>
                <w:szCs w:val="24"/>
              </w:rPr>
              <w:t>43,015,273.00</w:t>
            </w:r>
          </w:p>
        </w:tc>
        <w:tc>
          <w:tcPr>
            <w:tcW w:w="1689" w:type="dxa"/>
            <w:vAlign w:val="center"/>
          </w:tcPr>
          <w:p w:rsidR="00135545" w:rsidRDefault="00E23441">
            <w:pPr>
              <w:jc w:val="right"/>
            </w:pPr>
            <w:r>
              <w:rPr>
                <w:color w:val="000000"/>
                <w:sz w:val="24"/>
                <w:szCs w:val="24"/>
              </w:rPr>
              <w:t>0.65</w:t>
            </w:r>
          </w:p>
        </w:tc>
      </w:tr>
      <w:tr w:rsidR="00135545">
        <w:trPr>
          <w:jc w:val="center"/>
        </w:trPr>
        <w:tc>
          <w:tcPr>
            <w:tcW w:w="1883" w:type="dxa"/>
            <w:vAlign w:val="center"/>
          </w:tcPr>
          <w:p w:rsidR="00135545" w:rsidRDefault="00E23441">
            <w:pPr>
              <w:jc w:val="center"/>
            </w:pPr>
            <w:r>
              <w:rPr>
                <w:color w:val="000000"/>
                <w:sz w:val="24"/>
                <w:szCs w:val="24"/>
              </w:rPr>
              <w:t>2</w:t>
            </w:r>
          </w:p>
        </w:tc>
        <w:tc>
          <w:tcPr>
            <w:tcW w:w="1801" w:type="dxa"/>
            <w:vAlign w:val="center"/>
          </w:tcPr>
          <w:p w:rsidR="00135545" w:rsidRDefault="00E23441">
            <w:pPr>
              <w:jc w:val="center"/>
            </w:pPr>
            <w:r>
              <w:rPr>
                <w:color w:val="000000"/>
                <w:sz w:val="24"/>
                <w:szCs w:val="24"/>
              </w:rPr>
              <w:t>110023</w:t>
            </w:r>
          </w:p>
        </w:tc>
        <w:tc>
          <w:tcPr>
            <w:tcW w:w="1727" w:type="dxa"/>
            <w:vAlign w:val="center"/>
          </w:tcPr>
          <w:p w:rsidR="00135545" w:rsidRDefault="00E23441">
            <w:pPr>
              <w:jc w:val="center"/>
            </w:pPr>
            <w:r>
              <w:rPr>
                <w:color w:val="000000"/>
                <w:sz w:val="24"/>
                <w:szCs w:val="24"/>
              </w:rPr>
              <w:t>民生转债</w:t>
            </w:r>
          </w:p>
        </w:tc>
        <w:tc>
          <w:tcPr>
            <w:tcW w:w="1768" w:type="dxa"/>
            <w:vAlign w:val="center"/>
          </w:tcPr>
          <w:p w:rsidR="00135545" w:rsidRDefault="00E23441">
            <w:pPr>
              <w:jc w:val="right"/>
            </w:pPr>
            <w:r>
              <w:rPr>
                <w:color w:val="000000"/>
                <w:sz w:val="24"/>
                <w:szCs w:val="24"/>
              </w:rPr>
              <w:t>11,625,741.60</w:t>
            </w:r>
          </w:p>
        </w:tc>
        <w:tc>
          <w:tcPr>
            <w:tcW w:w="1689" w:type="dxa"/>
            <w:vAlign w:val="center"/>
          </w:tcPr>
          <w:p w:rsidR="00135545" w:rsidRDefault="00E23441">
            <w:pPr>
              <w:jc w:val="right"/>
            </w:pPr>
            <w:r>
              <w:rPr>
                <w:color w:val="000000"/>
                <w:sz w:val="24"/>
                <w:szCs w:val="24"/>
              </w:rPr>
              <w:t>0.18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8,971,822,085.31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19,100,525.48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893,076,231.18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8,097,846,379.61</w:t>
            </w:r>
          </w:p>
        </w:tc>
      </w:tr>
    </w:tbl>
    <w:p w:rsidR="00135545" w:rsidRDefault="00E2344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F6CA5">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19,034,797.82</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19,034,797.82</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0.24</w:t>
            </w:r>
          </w:p>
        </w:tc>
      </w:tr>
    </w:tbl>
    <w:p w:rsidR="00135545" w:rsidRDefault="00E2344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1F6CA5">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D15518" w:rsidP="00F153F9">
      <w:pPr>
        <w:spacing w:before="29" w:line="288" w:lineRule="auto"/>
        <w:rPr>
          <w:color w:val="000000"/>
          <w:sz w:val="24"/>
          <w:szCs w:val="24"/>
        </w:rPr>
      </w:pPr>
      <w:r>
        <w:rPr>
          <w:rFonts w:hint="eastAsia"/>
          <w:color w:val="000000"/>
          <w:sz w:val="24"/>
          <w:szCs w:val="24"/>
        </w:rPr>
        <w:t>1</w:t>
      </w:r>
      <w:r>
        <w:rPr>
          <w:rFonts w:hint="eastAsia"/>
          <w:color w:val="000000"/>
          <w:sz w:val="24"/>
          <w:szCs w:val="24"/>
        </w:rPr>
        <w:t>、</w:t>
      </w:r>
      <w:r w:rsidR="004061AC" w:rsidRPr="00414345">
        <w:rPr>
          <w:color w:val="000000"/>
          <w:sz w:val="24"/>
          <w:szCs w:val="24"/>
        </w:rPr>
        <w:t>依据中国证监会《关于进一步规范证券投资基金估值业务的指导意见》（证监会公告</w:t>
      </w:r>
      <w:r w:rsidR="004061AC" w:rsidRPr="00414345">
        <w:rPr>
          <w:color w:val="000000"/>
          <w:sz w:val="24"/>
          <w:szCs w:val="24"/>
        </w:rPr>
        <w:t>[2008]38</w:t>
      </w:r>
      <w:r w:rsidR="004061AC" w:rsidRPr="00414345">
        <w:rPr>
          <w:color w:val="000000"/>
          <w:sz w:val="24"/>
          <w:szCs w:val="24"/>
        </w:rPr>
        <w:t>号）的有关规定和《关于发布中基协（</w:t>
      </w:r>
      <w:r w:rsidR="004061AC" w:rsidRPr="00414345">
        <w:rPr>
          <w:color w:val="000000"/>
          <w:sz w:val="24"/>
          <w:szCs w:val="24"/>
        </w:rPr>
        <w:t>AMAC</w:t>
      </w:r>
      <w:r w:rsidR="004061AC" w:rsidRPr="00414345">
        <w:rPr>
          <w:color w:val="000000"/>
          <w:sz w:val="24"/>
          <w:szCs w:val="24"/>
        </w:rPr>
        <w:t>）基金行业股票估值指数的通知》的指导意见，经与基金托管人协商一致，本基金对其所持有的对其所持有的中航飞机（证券代码：</w:t>
      </w:r>
      <w:r w:rsidR="004061AC" w:rsidRPr="00414345">
        <w:rPr>
          <w:color w:val="000000"/>
          <w:sz w:val="24"/>
          <w:szCs w:val="24"/>
        </w:rPr>
        <w:t>000768</w:t>
      </w:r>
      <w:r w:rsidR="004061AC" w:rsidRPr="00414345">
        <w:rPr>
          <w:color w:val="000000"/>
          <w:sz w:val="24"/>
          <w:szCs w:val="24"/>
        </w:rPr>
        <w:t>）股票自</w:t>
      </w:r>
      <w:r w:rsidR="004061AC" w:rsidRPr="00414345">
        <w:rPr>
          <w:color w:val="000000"/>
          <w:sz w:val="24"/>
          <w:szCs w:val="24"/>
        </w:rPr>
        <w:t>2014</w:t>
      </w:r>
      <w:r w:rsidR="004061AC" w:rsidRPr="00414345">
        <w:rPr>
          <w:color w:val="000000"/>
          <w:sz w:val="24"/>
          <w:szCs w:val="24"/>
        </w:rPr>
        <w:t>年</w:t>
      </w:r>
      <w:r w:rsidR="004061AC" w:rsidRPr="00414345">
        <w:rPr>
          <w:color w:val="000000"/>
          <w:sz w:val="24"/>
          <w:szCs w:val="24"/>
        </w:rPr>
        <w:t>10</w:t>
      </w:r>
      <w:r w:rsidR="004061AC" w:rsidRPr="00414345">
        <w:rPr>
          <w:color w:val="000000"/>
          <w:sz w:val="24"/>
          <w:szCs w:val="24"/>
        </w:rPr>
        <w:t>月</w:t>
      </w:r>
      <w:r w:rsidR="004061AC" w:rsidRPr="00414345">
        <w:rPr>
          <w:color w:val="000000"/>
          <w:sz w:val="24"/>
          <w:szCs w:val="24"/>
        </w:rPr>
        <w:t>8</w:t>
      </w:r>
      <w:r w:rsidR="004061AC" w:rsidRPr="00414345">
        <w:rPr>
          <w:color w:val="000000"/>
          <w:sz w:val="24"/>
          <w:szCs w:val="24"/>
        </w:rPr>
        <w:t>日起按照指数收益法进行估值，并已于</w:t>
      </w:r>
      <w:r w:rsidR="004061AC" w:rsidRPr="00414345">
        <w:rPr>
          <w:color w:val="000000"/>
          <w:sz w:val="24"/>
          <w:szCs w:val="24"/>
        </w:rPr>
        <w:t>2014</w:t>
      </w:r>
      <w:r w:rsidR="004061AC" w:rsidRPr="00414345">
        <w:rPr>
          <w:color w:val="000000"/>
          <w:sz w:val="24"/>
          <w:szCs w:val="24"/>
        </w:rPr>
        <w:t>年</w:t>
      </w:r>
      <w:r w:rsidR="004061AC" w:rsidRPr="00414345">
        <w:rPr>
          <w:color w:val="000000"/>
          <w:sz w:val="24"/>
          <w:szCs w:val="24"/>
        </w:rPr>
        <w:t>10</w:t>
      </w:r>
      <w:r w:rsidR="004061AC" w:rsidRPr="00414345">
        <w:rPr>
          <w:color w:val="000000"/>
          <w:sz w:val="24"/>
          <w:szCs w:val="24"/>
        </w:rPr>
        <w:t>月</w:t>
      </w:r>
      <w:r w:rsidR="004061AC" w:rsidRPr="00414345">
        <w:rPr>
          <w:color w:val="000000"/>
          <w:sz w:val="24"/>
          <w:szCs w:val="24"/>
        </w:rPr>
        <w:t>17</w:t>
      </w:r>
      <w:r w:rsidR="004061AC" w:rsidRPr="00414345">
        <w:rPr>
          <w:color w:val="000000"/>
          <w:sz w:val="24"/>
          <w:szCs w:val="24"/>
        </w:rPr>
        <w:t>日起恢复按市场价格进行估值；本基金对其所持有的泰格医药（证券代码：</w:t>
      </w:r>
      <w:r w:rsidR="004061AC" w:rsidRPr="00414345">
        <w:rPr>
          <w:color w:val="000000"/>
          <w:sz w:val="24"/>
          <w:szCs w:val="24"/>
        </w:rPr>
        <w:t>300347</w:t>
      </w:r>
      <w:r w:rsidR="004061AC" w:rsidRPr="00414345">
        <w:rPr>
          <w:color w:val="000000"/>
          <w:sz w:val="24"/>
          <w:szCs w:val="24"/>
        </w:rPr>
        <w:t>）股票自</w:t>
      </w:r>
      <w:r w:rsidR="004061AC" w:rsidRPr="00414345">
        <w:rPr>
          <w:color w:val="000000"/>
          <w:sz w:val="24"/>
          <w:szCs w:val="24"/>
        </w:rPr>
        <w:t>2014</w:t>
      </w:r>
      <w:r w:rsidR="004061AC" w:rsidRPr="00414345">
        <w:rPr>
          <w:color w:val="000000"/>
          <w:sz w:val="24"/>
          <w:szCs w:val="24"/>
        </w:rPr>
        <w:t>年</w:t>
      </w:r>
      <w:r w:rsidR="004061AC" w:rsidRPr="00414345">
        <w:rPr>
          <w:color w:val="000000"/>
          <w:sz w:val="24"/>
          <w:szCs w:val="24"/>
        </w:rPr>
        <w:t>12</w:t>
      </w:r>
      <w:r w:rsidR="004061AC" w:rsidRPr="00414345">
        <w:rPr>
          <w:color w:val="000000"/>
          <w:sz w:val="24"/>
          <w:szCs w:val="24"/>
        </w:rPr>
        <w:t>月</w:t>
      </w:r>
      <w:r w:rsidR="004061AC" w:rsidRPr="00414345">
        <w:rPr>
          <w:color w:val="000000"/>
          <w:sz w:val="24"/>
          <w:szCs w:val="24"/>
        </w:rPr>
        <w:t>15</w:t>
      </w:r>
      <w:r w:rsidR="004061AC" w:rsidRPr="00414345">
        <w:rPr>
          <w:color w:val="000000"/>
          <w:sz w:val="24"/>
          <w:szCs w:val="24"/>
        </w:rPr>
        <w:t>日起按照指数收益法进行估值；本基金对其所持有的龙元建设（证券代码：</w:t>
      </w:r>
      <w:r w:rsidR="004061AC" w:rsidRPr="00414345">
        <w:rPr>
          <w:color w:val="000000"/>
          <w:sz w:val="24"/>
          <w:szCs w:val="24"/>
        </w:rPr>
        <w:t>600491</w:t>
      </w:r>
      <w:r w:rsidR="004061AC" w:rsidRPr="00414345">
        <w:rPr>
          <w:color w:val="000000"/>
          <w:sz w:val="24"/>
          <w:szCs w:val="24"/>
        </w:rPr>
        <w:t>）股票自</w:t>
      </w:r>
      <w:r w:rsidR="004061AC" w:rsidRPr="00414345">
        <w:rPr>
          <w:color w:val="000000"/>
          <w:sz w:val="24"/>
          <w:szCs w:val="24"/>
        </w:rPr>
        <w:t>2014</w:t>
      </w:r>
      <w:r w:rsidR="004061AC" w:rsidRPr="00414345">
        <w:rPr>
          <w:color w:val="000000"/>
          <w:sz w:val="24"/>
          <w:szCs w:val="24"/>
        </w:rPr>
        <w:t>年</w:t>
      </w:r>
      <w:r w:rsidR="004061AC" w:rsidRPr="00414345">
        <w:rPr>
          <w:color w:val="000000"/>
          <w:sz w:val="24"/>
          <w:szCs w:val="24"/>
        </w:rPr>
        <w:t>12</w:t>
      </w:r>
      <w:r w:rsidR="004061AC" w:rsidRPr="00414345">
        <w:rPr>
          <w:color w:val="000000"/>
          <w:sz w:val="24"/>
          <w:szCs w:val="24"/>
        </w:rPr>
        <w:t>月</w:t>
      </w:r>
      <w:r w:rsidR="004061AC" w:rsidRPr="00414345">
        <w:rPr>
          <w:color w:val="000000"/>
          <w:sz w:val="24"/>
          <w:szCs w:val="24"/>
        </w:rPr>
        <w:t>19</w:t>
      </w:r>
      <w:r w:rsidR="004061AC" w:rsidRPr="00414345">
        <w:rPr>
          <w:color w:val="000000"/>
          <w:sz w:val="24"/>
          <w:szCs w:val="24"/>
        </w:rPr>
        <w:t>日起按照指数收益法进行估值，并已于</w:t>
      </w:r>
      <w:r w:rsidR="004061AC" w:rsidRPr="00414345">
        <w:rPr>
          <w:color w:val="000000"/>
          <w:sz w:val="24"/>
          <w:szCs w:val="24"/>
        </w:rPr>
        <w:t>2014</w:t>
      </w:r>
      <w:r w:rsidR="004061AC" w:rsidRPr="00414345">
        <w:rPr>
          <w:color w:val="000000"/>
          <w:sz w:val="24"/>
          <w:szCs w:val="24"/>
        </w:rPr>
        <w:t>年</w:t>
      </w:r>
      <w:r w:rsidR="004061AC" w:rsidRPr="00414345">
        <w:rPr>
          <w:color w:val="000000"/>
          <w:sz w:val="24"/>
          <w:szCs w:val="24"/>
        </w:rPr>
        <w:t>12</w:t>
      </w:r>
      <w:r w:rsidR="004061AC" w:rsidRPr="00414345">
        <w:rPr>
          <w:color w:val="000000"/>
          <w:sz w:val="24"/>
          <w:szCs w:val="24"/>
        </w:rPr>
        <w:t>月</w:t>
      </w:r>
      <w:r w:rsidR="004061AC" w:rsidRPr="00414345">
        <w:rPr>
          <w:color w:val="000000"/>
          <w:sz w:val="24"/>
          <w:szCs w:val="24"/>
        </w:rPr>
        <w:t>26</w:t>
      </w:r>
      <w:r w:rsidR="004061AC" w:rsidRPr="00414345">
        <w:rPr>
          <w:color w:val="000000"/>
          <w:sz w:val="24"/>
          <w:szCs w:val="24"/>
        </w:rPr>
        <w:t>日起恢复按市场价格进行估值。</w:t>
      </w:r>
    </w:p>
    <w:p w:rsidR="00D15518" w:rsidRPr="00D15518" w:rsidRDefault="00D15518" w:rsidP="00F153F9">
      <w:pPr>
        <w:spacing w:before="29" w:line="288" w:lineRule="auto"/>
        <w:rPr>
          <w:color w:val="000000"/>
          <w:sz w:val="24"/>
          <w:szCs w:val="24"/>
        </w:rPr>
      </w:pPr>
      <w:r>
        <w:rPr>
          <w:rFonts w:hint="eastAsia"/>
          <w:color w:val="000000"/>
          <w:sz w:val="24"/>
          <w:szCs w:val="24"/>
        </w:rPr>
        <w:t>2</w:t>
      </w:r>
      <w:r>
        <w:rPr>
          <w:rFonts w:hint="eastAsia"/>
          <w:color w:val="000000"/>
          <w:sz w:val="24"/>
          <w:szCs w:val="24"/>
        </w:rPr>
        <w:t>、</w:t>
      </w:r>
      <w:r w:rsidRPr="00D15518">
        <w:rPr>
          <w:rFonts w:hint="eastAsia"/>
          <w:color w:val="000000"/>
          <w:sz w:val="24"/>
          <w:szCs w:val="24"/>
        </w:rPr>
        <w:t>本基金托管人</w:t>
      </w:r>
      <w:r w:rsidRPr="00D15518">
        <w:rPr>
          <w:rFonts w:hint="eastAsia"/>
          <w:color w:val="000000"/>
          <w:sz w:val="24"/>
          <w:szCs w:val="24"/>
        </w:rPr>
        <w:t>2014</w:t>
      </w:r>
      <w:r w:rsidRPr="00D15518">
        <w:rPr>
          <w:rFonts w:hint="eastAsia"/>
          <w:color w:val="000000"/>
          <w:sz w:val="24"/>
          <w:szCs w:val="24"/>
        </w:rPr>
        <w:t>年</w:t>
      </w:r>
      <w:r w:rsidR="007F1308">
        <w:rPr>
          <w:color w:val="000000"/>
          <w:sz w:val="24"/>
          <w:szCs w:val="24"/>
        </w:rPr>
        <w:t>11</w:t>
      </w:r>
      <w:r w:rsidRPr="00D15518">
        <w:rPr>
          <w:rFonts w:hint="eastAsia"/>
          <w:color w:val="000000"/>
          <w:sz w:val="24"/>
          <w:szCs w:val="24"/>
        </w:rPr>
        <w:t>月</w:t>
      </w:r>
      <w:r w:rsidR="007F1308">
        <w:rPr>
          <w:color w:val="000000"/>
          <w:sz w:val="24"/>
          <w:szCs w:val="24"/>
        </w:rPr>
        <w:t>3</w:t>
      </w:r>
      <w:bookmarkStart w:id="0" w:name="_GoBack"/>
      <w:bookmarkEnd w:id="0"/>
      <w:r w:rsidRPr="00D15518">
        <w:rPr>
          <w:rFonts w:hint="eastAsia"/>
          <w:color w:val="000000"/>
          <w:sz w:val="24"/>
          <w:szCs w:val="24"/>
        </w:rPr>
        <w:t>日发布公告，聘任赵观甫为中国建设银行投资托管业务部总经理。</w:t>
      </w:r>
    </w:p>
    <w:p w:rsidR="00D15518" w:rsidRPr="00414345" w:rsidRDefault="00D15518" w:rsidP="00C15CAC">
      <w:pPr>
        <w:spacing w:before="29" w:line="288" w:lineRule="auto"/>
        <w:ind w:firstLineChars="200" w:firstLine="480"/>
        <w:rPr>
          <w:color w:val="000000"/>
          <w:sz w:val="24"/>
          <w:szCs w:val="24"/>
        </w:rPr>
      </w:pPr>
    </w:p>
    <w:p w:rsidR="00B22DEE" w:rsidRPr="00E02660" w:rsidRDefault="004061AC" w:rsidP="001F6CA5">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135545" w:rsidRDefault="00E23441">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、中国证监会批准交银施罗德蓝筹股票证券投资基金募集的文件；</w:t>
      </w:r>
      <w:r>
        <w:rPr>
          <w:color w:val="000000"/>
          <w:sz w:val="24"/>
          <w:szCs w:val="24"/>
        </w:rPr>
        <w:t xml:space="preserve"> </w:t>
      </w:r>
    </w:p>
    <w:p w:rsidR="00135545" w:rsidRDefault="00E23441">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、《交银施罗德蓝筹股票证券投资基金基金合同》；</w:t>
      </w:r>
      <w:r>
        <w:rPr>
          <w:color w:val="000000"/>
          <w:sz w:val="24"/>
          <w:szCs w:val="24"/>
        </w:rPr>
        <w:t xml:space="preserve"> </w:t>
      </w:r>
    </w:p>
    <w:p w:rsidR="00135545" w:rsidRDefault="00E23441">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、《交银施罗德蓝筹股票证券投资基金招募说明书》；</w:t>
      </w:r>
      <w:r>
        <w:rPr>
          <w:color w:val="000000"/>
          <w:sz w:val="24"/>
          <w:szCs w:val="24"/>
        </w:rPr>
        <w:t xml:space="preserve"> </w:t>
      </w:r>
    </w:p>
    <w:p w:rsidR="00135545" w:rsidRDefault="00E23441">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、《交银施罗德蓝筹股票证券投资基金托管协议》；</w:t>
      </w:r>
      <w:r>
        <w:rPr>
          <w:color w:val="000000"/>
          <w:sz w:val="24"/>
          <w:szCs w:val="24"/>
        </w:rPr>
        <w:t xml:space="preserve"> </w:t>
      </w:r>
    </w:p>
    <w:p w:rsidR="00135545" w:rsidRDefault="00E23441">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、关于募集交银施罗德蓝筹股票证券投资基金之法律意见书；</w:t>
      </w:r>
      <w:r>
        <w:rPr>
          <w:color w:val="000000"/>
          <w:sz w:val="24"/>
          <w:szCs w:val="24"/>
        </w:rPr>
        <w:t xml:space="preserve"> </w:t>
      </w:r>
    </w:p>
    <w:p w:rsidR="00135545" w:rsidRDefault="00E23441">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135545" w:rsidRDefault="00E23441">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、报告期内交银施罗德蓝筹股票证券投资基金在指定报刊上各项公告的原稿。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135545" w:rsidRDefault="00E23441">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97A" w:rsidRDefault="0040097A" w:rsidP="00876D65">
      <w:r>
        <w:separator/>
      </w:r>
    </w:p>
  </w:endnote>
  <w:endnote w:type="continuationSeparator" w:id="0">
    <w:p w:rsidR="0040097A" w:rsidRDefault="0040097A"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4750F">
      <w:rPr>
        <w:kern w:val="0"/>
        <w:szCs w:val="21"/>
      </w:rPr>
      <w:fldChar w:fldCharType="begin"/>
    </w:r>
    <w:r>
      <w:rPr>
        <w:kern w:val="0"/>
        <w:szCs w:val="21"/>
      </w:rPr>
      <w:instrText xml:space="preserve"> PAGE </w:instrText>
    </w:r>
    <w:r w:rsidR="00B4750F">
      <w:rPr>
        <w:kern w:val="0"/>
        <w:szCs w:val="21"/>
      </w:rPr>
      <w:fldChar w:fldCharType="separate"/>
    </w:r>
    <w:r w:rsidR="007F1308">
      <w:rPr>
        <w:noProof/>
        <w:kern w:val="0"/>
        <w:szCs w:val="21"/>
      </w:rPr>
      <w:t>12</w:t>
    </w:r>
    <w:r w:rsidR="00B4750F">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4750F">
      <w:rPr>
        <w:kern w:val="0"/>
        <w:szCs w:val="21"/>
      </w:rPr>
      <w:fldChar w:fldCharType="begin"/>
    </w:r>
    <w:r>
      <w:rPr>
        <w:kern w:val="0"/>
        <w:szCs w:val="21"/>
      </w:rPr>
      <w:instrText xml:space="preserve"> NUMPAGES </w:instrText>
    </w:r>
    <w:r w:rsidR="00B4750F">
      <w:rPr>
        <w:kern w:val="0"/>
        <w:szCs w:val="21"/>
      </w:rPr>
      <w:fldChar w:fldCharType="separate"/>
    </w:r>
    <w:r w:rsidR="007F1308">
      <w:rPr>
        <w:noProof/>
        <w:kern w:val="0"/>
        <w:szCs w:val="21"/>
      </w:rPr>
      <w:t>13</w:t>
    </w:r>
    <w:r w:rsidR="00B4750F">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97A" w:rsidRDefault="0040097A" w:rsidP="00876D65">
      <w:r>
        <w:separator/>
      </w:r>
    </w:p>
  </w:footnote>
  <w:footnote w:type="continuationSeparator" w:id="0">
    <w:p w:rsidR="0040097A" w:rsidRDefault="0040097A"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1EA2"/>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554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17DB"/>
    <w:rsid w:val="001D6A4B"/>
    <w:rsid w:val="001E2554"/>
    <w:rsid w:val="001E4630"/>
    <w:rsid w:val="001F0964"/>
    <w:rsid w:val="001F30DA"/>
    <w:rsid w:val="001F5DC5"/>
    <w:rsid w:val="001F6CA5"/>
    <w:rsid w:val="00200FAB"/>
    <w:rsid w:val="00213821"/>
    <w:rsid w:val="00213DFB"/>
    <w:rsid w:val="00217B92"/>
    <w:rsid w:val="0022309F"/>
    <w:rsid w:val="00224294"/>
    <w:rsid w:val="0022679F"/>
    <w:rsid w:val="002279D3"/>
    <w:rsid w:val="00240248"/>
    <w:rsid w:val="0024363B"/>
    <w:rsid w:val="00245FD2"/>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AE0"/>
    <w:rsid w:val="003B6FBC"/>
    <w:rsid w:val="003D742E"/>
    <w:rsid w:val="003E62FB"/>
    <w:rsid w:val="003E6867"/>
    <w:rsid w:val="003F09B5"/>
    <w:rsid w:val="003F1ECB"/>
    <w:rsid w:val="003F39DF"/>
    <w:rsid w:val="003F63BE"/>
    <w:rsid w:val="004003F8"/>
    <w:rsid w:val="0040097A"/>
    <w:rsid w:val="004033ED"/>
    <w:rsid w:val="004061AC"/>
    <w:rsid w:val="00410630"/>
    <w:rsid w:val="00414345"/>
    <w:rsid w:val="004149AC"/>
    <w:rsid w:val="0042009D"/>
    <w:rsid w:val="004216D2"/>
    <w:rsid w:val="00421CD2"/>
    <w:rsid w:val="00426096"/>
    <w:rsid w:val="00427F58"/>
    <w:rsid w:val="00433805"/>
    <w:rsid w:val="00443869"/>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2177"/>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46462"/>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82460"/>
    <w:rsid w:val="00794090"/>
    <w:rsid w:val="00796CA8"/>
    <w:rsid w:val="007972F5"/>
    <w:rsid w:val="00797305"/>
    <w:rsid w:val="007A0693"/>
    <w:rsid w:val="007A093F"/>
    <w:rsid w:val="007A40FF"/>
    <w:rsid w:val="007B035B"/>
    <w:rsid w:val="007B3F6B"/>
    <w:rsid w:val="007B4C04"/>
    <w:rsid w:val="007B5AFB"/>
    <w:rsid w:val="007C395A"/>
    <w:rsid w:val="007C5862"/>
    <w:rsid w:val="007D0922"/>
    <w:rsid w:val="007D100C"/>
    <w:rsid w:val="007D2F19"/>
    <w:rsid w:val="007E2686"/>
    <w:rsid w:val="007E57C0"/>
    <w:rsid w:val="007F1308"/>
    <w:rsid w:val="007F29B1"/>
    <w:rsid w:val="007F7F0B"/>
    <w:rsid w:val="008014F9"/>
    <w:rsid w:val="0080358B"/>
    <w:rsid w:val="008059BD"/>
    <w:rsid w:val="0081286B"/>
    <w:rsid w:val="00812D46"/>
    <w:rsid w:val="008148E0"/>
    <w:rsid w:val="00815769"/>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126C4"/>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50F"/>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1503"/>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5518"/>
    <w:rsid w:val="00D1638E"/>
    <w:rsid w:val="00D2061C"/>
    <w:rsid w:val="00D21FFF"/>
    <w:rsid w:val="00D2206B"/>
    <w:rsid w:val="00D272A5"/>
    <w:rsid w:val="00D346D9"/>
    <w:rsid w:val="00D43AFB"/>
    <w:rsid w:val="00D44EE8"/>
    <w:rsid w:val="00D57B7C"/>
    <w:rsid w:val="00D639DF"/>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23441"/>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0689"/>
    <w:rsid w:val="00EF17AB"/>
    <w:rsid w:val="00EF6FA5"/>
    <w:rsid w:val="00F11104"/>
    <w:rsid w:val="00F11BB5"/>
    <w:rsid w:val="00F153F9"/>
    <w:rsid w:val="00F16E3F"/>
    <w:rsid w:val="00F2070B"/>
    <w:rsid w:val="00F22499"/>
    <w:rsid w:val="00F22B0F"/>
    <w:rsid w:val="00F24B42"/>
    <w:rsid w:val="00F24F73"/>
    <w:rsid w:val="00F27299"/>
    <w:rsid w:val="00F31B0C"/>
    <w:rsid w:val="00F31F6E"/>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docId w15:val="{A692F667-92D2-4600-A59C-23D4EF1EA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 w:id="189873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BCCD2-3683-46B5-A342-C24C3BA4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1803</TotalTime>
  <Pages>13</Pages>
  <Words>1200</Words>
  <Characters>6846</Characters>
  <Application>Microsoft Office Word</Application>
  <DocSecurity>0</DocSecurity>
  <Lines>57</Lines>
  <Paragraphs>16</Paragraphs>
  <ScaleCrop>false</ScaleCrop>
  <Company/>
  <LinksUpToDate>false</LinksUpToDate>
  <CharactersWithSpaces>8030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568</cp:revision>
  <dcterms:created xsi:type="dcterms:W3CDTF">2012-10-16T06:07:00Z</dcterms:created>
  <dcterms:modified xsi:type="dcterms:W3CDTF">2015-01-20T06:46:00Z</dcterms:modified>
</cp:coreProperties>
</file>