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5745CF">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84ABD" w:rsidRDefault="005745C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745CF">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银成长</w:t>
            </w:r>
            <w:proofErr w:type="gramEnd"/>
            <w:r w:rsidRPr="00414345">
              <w:rPr>
                <w:color w:val="000000"/>
                <w:kern w:val="0"/>
                <w:sz w:val="24"/>
                <w:szCs w:val="24"/>
              </w:rPr>
              <w:t>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1,449,579,345.41</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富时中国国债指数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本基金是一只股票型基金，以具有良好成长性的公司为主要投资对象，追求超额收益，属于证券投资基金中较高预期收益和较高风险的品种。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745CF">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5745CF" w:rsidRPr="00414345" w:rsidTr="005745C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745CF" w:rsidRPr="00414345" w:rsidTr="00574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981,211,903.67</w:t>
            </w:r>
          </w:p>
        </w:tc>
      </w:tr>
      <w:tr w:rsidR="005745CF" w:rsidRPr="00414345" w:rsidTr="00574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69,138,841.56</w:t>
            </w:r>
          </w:p>
        </w:tc>
      </w:tr>
      <w:tr w:rsidR="005745CF" w:rsidRPr="00414345" w:rsidTr="00574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0.0353</w:t>
            </w:r>
          </w:p>
        </w:tc>
      </w:tr>
      <w:tr w:rsidR="005745CF" w:rsidRPr="00414345" w:rsidTr="00574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4,674,245,705.51</w:t>
            </w:r>
          </w:p>
        </w:tc>
      </w:tr>
      <w:tr w:rsidR="005745CF" w:rsidRPr="00414345" w:rsidTr="005745C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3.2246</w:t>
            </w:r>
          </w:p>
        </w:tc>
      </w:tr>
    </w:tbl>
    <w:p w:rsidR="00184ABD" w:rsidRDefault="005745C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84ABD">
        <w:trPr>
          <w:jc w:val="center"/>
        </w:trPr>
        <w:tc>
          <w:tcPr>
            <w:tcW w:w="1701" w:type="dxa"/>
            <w:vAlign w:val="center"/>
          </w:tcPr>
          <w:p w:rsidR="00184ABD" w:rsidRDefault="005745CF">
            <w:pPr>
              <w:jc w:val="left"/>
            </w:pPr>
            <w:r>
              <w:rPr>
                <w:color w:val="000000"/>
                <w:sz w:val="24"/>
                <w:szCs w:val="24"/>
              </w:rPr>
              <w:t>过去三个月</w:t>
            </w:r>
          </w:p>
        </w:tc>
        <w:tc>
          <w:tcPr>
            <w:tcW w:w="1045" w:type="dxa"/>
            <w:vAlign w:val="center"/>
          </w:tcPr>
          <w:p w:rsidR="00184ABD" w:rsidRDefault="005745CF">
            <w:pPr>
              <w:jc w:val="center"/>
            </w:pPr>
            <w:r>
              <w:rPr>
                <w:color w:val="000000"/>
                <w:sz w:val="24"/>
                <w:szCs w:val="24"/>
              </w:rPr>
              <w:t>1.23%</w:t>
            </w:r>
          </w:p>
        </w:tc>
        <w:tc>
          <w:tcPr>
            <w:tcW w:w="1344" w:type="dxa"/>
            <w:vAlign w:val="center"/>
          </w:tcPr>
          <w:p w:rsidR="00184ABD" w:rsidRDefault="005745CF">
            <w:pPr>
              <w:jc w:val="center"/>
            </w:pPr>
            <w:r>
              <w:rPr>
                <w:color w:val="000000"/>
                <w:sz w:val="24"/>
                <w:szCs w:val="24"/>
              </w:rPr>
              <w:t>1.61%</w:t>
            </w:r>
          </w:p>
        </w:tc>
        <w:tc>
          <w:tcPr>
            <w:tcW w:w="1194" w:type="dxa"/>
            <w:vAlign w:val="center"/>
          </w:tcPr>
          <w:p w:rsidR="00184ABD" w:rsidRDefault="005745CF">
            <w:pPr>
              <w:jc w:val="center"/>
            </w:pPr>
            <w:r>
              <w:rPr>
                <w:color w:val="000000"/>
                <w:sz w:val="24"/>
                <w:szCs w:val="24"/>
              </w:rPr>
              <w:t>13.40%</w:t>
            </w:r>
          </w:p>
        </w:tc>
        <w:tc>
          <w:tcPr>
            <w:tcW w:w="1492" w:type="dxa"/>
            <w:vAlign w:val="center"/>
          </w:tcPr>
          <w:p w:rsidR="00184ABD" w:rsidRDefault="005745CF">
            <w:pPr>
              <w:jc w:val="center"/>
            </w:pPr>
            <w:r>
              <w:rPr>
                <w:color w:val="000000"/>
                <w:sz w:val="24"/>
                <w:szCs w:val="24"/>
              </w:rPr>
              <w:t>0.99%</w:t>
            </w:r>
          </w:p>
        </w:tc>
        <w:tc>
          <w:tcPr>
            <w:tcW w:w="1194" w:type="dxa"/>
            <w:vAlign w:val="center"/>
          </w:tcPr>
          <w:p w:rsidR="00184ABD" w:rsidRDefault="005745CF">
            <w:pPr>
              <w:jc w:val="center"/>
            </w:pPr>
            <w:r>
              <w:rPr>
                <w:color w:val="000000"/>
                <w:sz w:val="24"/>
                <w:szCs w:val="24"/>
              </w:rPr>
              <w:t>-12.17%</w:t>
            </w:r>
          </w:p>
        </w:tc>
        <w:tc>
          <w:tcPr>
            <w:tcW w:w="898" w:type="dxa"/>
            <w:vAlign w:val="center"/>
          </w:tcPr>
          <w:p w:rsidR="00184ABD" w:rsidRDefault="005745CF">
            <w:pPr>
              <w:jc w:val="center"/>
            </w:pPr>
            <w:r>
              <w:rPr>
                <w:color w:val="000000"/>
                <w:sz w:val="24"/>
                <w:szCs w:val="24"/>
              </w:rPr>
              <w:t>0.62%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745CF">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84ABD">
        <w:trPr>
          <w:jc w:val="center"/>
        </w:trPr>
        <w:tc>
          <w:tcPr>
            <w:tcW w:w="846" w:type="dxa"/>
            <w:vAlign w:val="center"/>
          </w:tcPr>
          <w:p w:rsidR="00184ABD" w:rsidRDefault="005745CF">
            <w:pPr>
              <w:jc w:val="center"/>
            </w:pPr>
            <w:proofErr w:type="gramStart"/>
            <w:r>
              <w:rPr>
                <w:color w:val="000000"/>
                <w:sz w:val="24"/>
                <w:szCs w:val="24"/>
              </w:rPr>
              <w:t>管华雨</w:t>
            </w:r>
            <w:proofErr w:type="gramEnd"/>
          </w:p>
        </w:tc>
        <w:tc>
          <w:tcPr>
            <w:tcW w:w="845" w:type="dxa"/>
            <w:vAlign w:val="center"/>
          </w:tcPr>
          <w:p w:rsidR="00184ABD" w:rsidRDefault="005745CF">
            <w:pPr>
              <w:jc w:val="center"/>
            </w:pPr>
            <w:r>
              <w:rPr>
                <w:color w:val="000000"/>
                <w:sz w:val="24"/>
                <w:szCs w:val="24"/>
              </w:rPr>
              <w:t>本基金、交银施罗德新成长股票型证券投资基金的基金经理，公司权</w:t>
            </w:r>
            <w:r>
              <w:rPr>
                <w:color w:val="000000"/>
                <w:sz w:val="24"/>
                <w:szCs w:val="24"/>
              </w:rPr>
              <w:lastRenderedPageBreak/>
              <w:t>益投资总监</w:t>
            </w:r>
          </w:p>
        </w:tc>
        <w:tc>
          <w:tcPr>
            <w:tcW w:w="1549" w:type="dxa"/>
            <w:vAlign w:val="center"/>
          </w:tcPr>
          <w:p w:rsidR="00184ABD" w:rsidRDefault="005745CF">
            <w:pPr>
              <w:jc w:val="center"/>
            </w:pPr>
            <w:r>
              <w:rPr>
                <w:color w:val="000000"/>
                <w:sz w:val="24"/>
                <w:szCs w:val="24"/>
              </w:rPr>
              <w:lastRenderedPageBreak/>
              <w:t>2010-10-08</w:t>
            </w:r>
          </w:p>
        </w:tc>
        <w:tc>
          <w:tcPr>
            <w:tcW w:w="1548" w:type="dxa"/>
            <w:vAlign w:val="center"/>
          </w:tcPr>
          <w:p w:rsidR="00184ABD" w:rsidRDefault="005745CF">
            <w:pPr>
              <w:jc w:val="center"/>
            </w:pPr>
            <w:r>
              <w:rPr>
                <w:color w:val="000000"/>
                <w:sz w:val="24"/>
                <w:szCs w:val="24"/>
              </w:rPr>
              <w:t>-</w:t>
            </w:r>
          </w:p>
        </w:tc>
        <w:tc>
          <w:tcPr>
            <w:tcW w:w="1407" w:type="dxa"/>
            <w:vAlign w:val="center"/>
          </w:tcPr>
          <w:p w:rsidR="00184ABD" w:rsidRDefault="005745CF">
            <w:pPr>
              <w:jc w:val="center"/>
            </w:pPr>
            <w:r>
              <w:rPr>
                <w:color w:val="000000"/>
                <w:sz w:val="24"/>
                <w:szCs w:val="24"/>
              </w:rPr>
              <w:t>12</w:t>
            </w:r>
            <w:r>
              <w:rPr>
                <w:color w:val="000000"/>
                <w:sz w:val="24"/>
                <w:szCs w:val="24"/>
              </w:rPr>
              <w:t>年</w:t>
            </w:r>
          </w:p>
        </w:tc>
        <w:tc>
          <w:tcPr>
            <w:tcW w:w="2673" w:type="dxa"/>
            <w:vAlign w:val="center"/>
          </w:tcPr>
          <w:p w:rsidR="00184ABD" w:rsidRDefault="005745CF">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w:t>
            </w:r>
            <w:proofErr w:type="gramStart"/>
            <w:r>
              <w:rPr>
                <w:color w:val="000000"/>
                <w:sz w:val="24"/>
                <w:szCs w:val="24"/>
              </w:rPr>
              <w:t>诚基金</w:t>
            </w:r>
            <w:proofErr w:type="gramEnd"/>
            <w:r>
              <w:rPr>
                <w:color w:val="000000"/>
                <w:sz w:val="24"/>
                <w:szCs w:val="24"/>
              </w:rPr>
              <w:t>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w:t>
            </w:r>
            <w:proofErr w:type="gramStart"/>
            <w:r>
              <w:rPr>
                <w:color w:val="000000"/>
                <w:sz w:val="24"/>
                <w:szCs w:val="24"/>
              </w:rPr>
              <w:t>担任信</w:t>
            </w:r>
            <w:proofErr w:type="gramEnd"/>
            <w:r>
              <w:rPr>
                <w:color w:val="000000"/>
                <w:sz w:val="24"/>
                <w:szCs w:val="24"/>
              </w:rPr>
              <w:t>诚四季红混合型证券投资</w:t>
            </w:r>
            <w:proofErr w:type="gramStart"/>
            <w:r>
              <w:rPr>
                <w:color w:val="000000"/>
                <w:sz w:val="24"/>
                <w:szCs w:val="24"/>
              </w:rPr>
              <w:t>基金基金</w:t>
            </w:r>
            <w:proofErr w:type="gramEnd"/>
            <w:r>
              <w:rPr>
                <w:color w:val="000000"/>
                <w:sz w:val="24"/>
                <w:szCs w:val="24"/>
              </w:rPr>
              <w:t>经理。</w:t>
            </w:r>
            <w:r>
              <w:rPr>
                <w:color w:val="000000"/>
                <w:sz w:val="24"/>
                <w:szCs w:val="24"/>
              </w:rPr>
              <w:t>2010</w:t>
            </w:r>
            <w:r>
              <w:rPr>
                <w:color w:val="000000"/>
                <w:sz w:val="24"/>
                <w:szCs w:val="24"/>
              </w:rPr>
              <w:t>年加入交银施罗德基金管理有限公司，历任权益部总经理助理、副总经理、总</w:t>
            </w:r>
            <w:r>
              <w:rPr>
                <w:color w:val="000000"/>
                <w:sz w:val="24"/>
                <w:szCs w:val="24"/>
              </w:rPr>
              <w:lastRenderedPageBreak/>
              <w:t>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5</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日担任交银施罗德成长</w:t>
            </w:r>
            <w:r>
              <w:rPr>
                <w:color w:val="000000"/>
                <w:sz w:val="24"/>
                <w:szCs w:val="24"/>
              </w:rPr>
              <w:t>30</w:t>
            </w:r>
            <w:r>
              <w:rPr>
                <w:color w:val="000000"/>
                <w:sz w:val="24"/>
                <w:szCs w:val="24"/>
              </w:rPr>
              <w:t>股票型证券投资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日担任交银施罗德趋势优先股票证券投资</w:t>
            </w:r>
            <w:proofErr w:type="gramStart"/>
            <w:r>
              <w:rPr>
                <w:color w:val="000000"/>
                <w:sz w:val="24"/>
                <w:szCs w:val="24"/>
              </w:rPr>
              <w:t>基金基金</w:t>
            </w:r>
            <w:proofErr w:type="gramEnd"/>
            <w:r>
              <w:rPr>
                <w:color w:val="000000"/>
                <w:sz w:val="24"/>
                <w:szCs w:val="24"/>
              </w:rPr>
              <w:t>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84ABD" w:rsidRDefault="005745C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84ABD" w:rsidRDefault="005745C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w:t>
      </w:r>
      <w:r>
        <w:rPr>
          <w:color w:val="000000"/>
          <w:sz w:val="24"/>
          <w:szCs w:val="24"/>
        </w:rPr>
        <w:t>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84ABD" w:rsidRDefault="005745C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84ABD" w:rsidRDefault="005745CF">
      <w:pPr>
        <w:spacing w:before="29" w:line="288" w:lineRule="auto"/>
        <w:ind w:firstLineChars="200" w:firstLine="480"/>
        <w:rPr>
          <w:color w:val="000000"/>
          <w:sz w:val="24"/>
          <w:szCs w:val="24"/>
        </w:rPr>
      </w:pPr>
      <w:r>
        <w:rPr>
          <w:color w:val="000000"/>
          <w:sz w:val="24"/>
          <w:szCs w:val="24"/>
        </w:rPr>
        <w:t>2014</w:t>
      </w:r>
      <w:r>
        <w:rPr>
          <w:color w:val="000000"/>
          <w:sz w:val="24"/>
          <w:szCs w:val="24"/>
        </w:rPr>
        <w:t>年四季度，宏观经济低位稳定，流动性进一步宽松，无风险利率显著下行，导致社会资金快速进入股市，市场出现久违的大涨。从板块和风格上看，低估值、前期低涨幅、基金持仓低的周期类</w:t>
      </w:r>
      <w:r>
        <w:rPr>
          <w:color w:val="000000"/>
          <w:sz w:val="24"/>
          <w:szCs w:val="24"/>
        </w:rPr>
        <w:t>股票出现强劲上涨，以创业板为代表的中小市值股票则因为资金分流、业绩不达预期以及监管趋严，出现震荡下跌，大盘股</w:t>
      </w:r>
      <w:proofErr w:type="gramStart"/>
      <w:r>
        <w:rPr>
          <w:color w:val="000000"/>
          <w:sz w:val="24"/>
          <w:szCs w:val="24"/>
        </w:rPr>
        <w:t>远远跑</w:t>
      </w:r>
      <w:proofErr w:type="gramEnd"/>
      <w:r>
        <w:rPr>
          <w:color w:val="000000"/>
          <w:sz w:val="24"/>
          <w:szCs w:val="24"/>
        </w:rPr>
        <w:t>赢小盘股表现。</w:t>
      </w:r>
    </w:p>
    <w:p w:rsidR="00184ABD" w:rsidRDefault="005745CF">
      <w:pPr>
        <w:spacing w:before="29" w:line="288" w:lineRule="auto"/>
        <w:ind w:firstLineChars="200" w:firstLine="480"/>
        <w:rPr>
          <w:color w:val="000000"/>
          <w:sz w:val="24"/>
          <w:szCs w:val="24"/>
        </w:rPr>
      </w:pPr>
      <w:r>
        <w:rPr>
          <w:color w:val="000000"/>
          <w:sz w:val="24"/>
          <w:szCs w:val="24"/>
        </w:rPr>
        <w:t>四季度前半期，本基金关注到互联网行业的最新变化，参与了互联网金融等子板块，取得了一定的收益；进入</w:t>
      </w:r>
      <w:r>
        <w:rPr>
          <w:color w:val="000000"/>
          <w:sz w:val="24"/>
          <w:szCs w:val="24"/>
        </w:rPr>
        <w:t>11</w:t>
      </w:r>
      <w:r>
        <w:rPr>
          <w:color w:val="000000"/>
          <w:sz w:val="24"/>
          <w:szCs w:val="24"/>
        </w:rPr>
        <w:t>月份，观察到新增资金对于低估值蓝筹股的强力修复，本基金调整持仓策略，较大幅度地增加了保险、地产、银行等行业的配置，降低了高估值、盈利实现较远的中小市值股票的比重。由于蓝筹股上涨速度和中小市值股票下跌速度非常快，而本基金</w:t>
      </w:r>
      <w:proofErr w:type="gramStart"/>
      <w:r>
        <w:rPr>
          <w:color w:val="000000"/>
          <w:sz w:val="24"/>
          <w:szCs w:val="24"/>
        </w:rPr>
        <w:t>调仓速度</w:t>
      </w:r>
      <w:proofErr w:type="gramEnd"/>
      <w:r>
        <w:rPr>
          <w:color w:val="000000"/>
          <w:sz w:val="24"/>
          <w:szCs w:val="24"/>
        </w:rPr>
        <w:t>稍慢，一定程度上影响了净值的表现。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展望未来，本基金认为，在</w:t>
      </w:r>
      <w:r w:rsidRPr="00414345">
        <w:rPr>
          <w:color w:val="000000"/>
          <w:sz w:val="24"/>
          <w:szCs w:val="24"/>
        </w:rPr>
        <w:t>“</w:t>
      </w:r>
      <w:r w:rsidRPr="00414345">
        <w:rPr>
          <w:color w:val="000000"/>
          <w:sz w:val="24"/>
          <w:szCs w:val="24"/>
        </w:rPr>
        <w:t>新常态</w:t>
      </w:r>
      <w:r w:rsidRPr="00414345">
        <w:rPr>
          <w:color w:val="000000"/>
          <w:sz w:val="24"/>
          <w:szCs w:val="24"/>
        </w:rPr>
        <w:t>”</w:t>
      </w:r>
      <w:r w:rsidRPr="00414345">
        <w:rPr>
          <w:color w:val="000000"/>
          <w:sz w:val="24"/>
          <w:szCs w:val="24"/>
        </w:rPr>
        <w:t>下，经济增速逐渐降低，但是无风险收益率也将继续下行，股市面临居民资产配置进入的有利环境。因此，代表改革和转型的新兴行业龙头公司和低估值、有持续稳定分红的蓝筹股都存在较好的投资机会。本基金将继续深入研究，把握主要新兴行业的产业发展规律和估值方法，并密切关注国内外政策、流动性和居民大类资产配置行为的变化，控制好风险，力争为持有人创造良好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3.2246</w:t>
      </w:r>
      <w:r w:rsidRPr="00414345">
        <w:rPr>
          <w:color w:val="000000"/>
          <w:sz w:val="24"/>
          <w:szCs w:val="24"/>
        </w:rPr>
        <w:t>元，本报告期份额净值增长率为</w:t>
      </w:r>
      <w:r w:rsidRPr="00414345">
        <w:rPr>
          <w:color w:val="000000"/>
          <w:sz w:val="24"/>
          <w:szCs w:val="24"/>
        </w:rPr>
        <w:t>1.23%</w:t>
      </w:r>
      <w:r w:rsidRPr="00414345">
        <w:rPr>
          <w:color w:val="000000"/>
          <w:sz w:val="24"/>
          <w:szCs w:val="24"/>
        </w:rPr>
        <w:t>，同期业绩比较基准增长率</w:t>
      </w:r>
      <w:r w:rsidRPr="00414345">
        <w:rPr>
          <w:color w:val="000000"/>
          <w:sz w:val="24"/>
          <w:szCs w:val="24"/>
        </w:rPr>
        <w:t>13.40%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5745CF">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5745CF">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w:t>
            </w:r>
            <w:r w:rsidRPr="00414345">
              <w:rPr>
                <w:color w:val="000000"/>
                <w:sz w:val="24"/>
                <w:szCs w:val="24"/>
              </w:rPr>
              <w:lastRenderedPageBreak/>
              <w:t>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4,142,322,903.60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4,142,322,903.60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253,272,682.80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253,272,682.80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187,251,233.15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3.97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137,323,745.09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4,720,170,564.64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66,523,323.57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1,275,539,679.91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36,697,181.25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292,533,196.25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79,334,495.71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93,291,214.66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404,475,352.13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966,095,478.78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584,759,550.20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275,022,199.16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9,359,198.98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58,692,033.00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4,142,322,903.60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84ABD">
        <w:trPr>
          <w:jc w:val="center"/>
        </w:trPr>
        <w:tc>
          <w:tcPr>
            <w:tcW w:w="855" w:type="dxa"/>
            <w:vAlign w:val="center"/>
          </w:tcPr>
          <w:p w:rsidR="00184ABD" w:rsidRDefault="005745CF">
            <w:pPr>
              <w:jc w:val="center"/>
            </w:pPr>
            <w:r>
              <w:rPr>
                <w:color w:val="000000"/>
                <w:sz w:val="24"/>
                <w:szCs w:val="24"/>
              </w:rPr>
              <w:t>1</w:t>
            </w:r>
          </w:p>
        </w:tc>
        <w:tc>
          <w:tcPr>
            <w:tcW w:w="1334" w:type="dxa"/>
            <w:vAlign w:val="center"/>
          </w:tcPr>
          <w:p w:rsidR="00184ABD" w:rsidRDefault="005745CF">
            <w:pPr>
              <w:jc w:val="center"/>
            </w:pPr>
            <w:r>
              <w:rPr>
                <w:color w:val="000000"/>
                <w:sz w:val="24"/>
                <w:szCs w:val="24"/>
              </w:rPr>
              <w:t>601318</w:t>
            </w:r>
          </w:p>
        </w:tc>
        <w:tc>
          <w:tcPr>
            <w:tcW w:w="1777" w:type="dxa"/>
            <w:vAlign w:val="center"/>
          </w:tcPr>
          <w:p w:rsidR="00184ABD" w:rsidRDefault="005745CF">
            <w:pPr>
              <w:jc w:val="center"/>
            </w:pPr>
            <w:r>
              <w:rPr>
                <w:color w:val="000000"/>
                <w:sz w:val="24"/>
                <w:szCs w:val="24"/>
              </w:rPr>
              <w:t>中国平安</w:t>
            </w:r>
          </w:p>
        </w:tc>
        <w:tc>
          <w:tcPr>
            <w:tcW w:w="1334" w:type="dxa"/>
            <w:vAlign w:val="center"/>
          </w:tcPr>
          <w:p w:rsidR="00184ABD" w:rsidRDefault="005745CF">
            <w:pPr>
              <w:jc w:val="right"/>
            </w:pPr>
            <w:r>
              <w:rPr>
                <w:color w:val="000000"/>
                <w:sz w:val="24"/>
                <w:szCs w:val="24"/>
              </w:rPr>
              <w:t>5,579,920</w:t>
            </w:r>
          </w:p>
        </w:tc>
        <w:tc>
          <w:tcPr>
            <w:tcW w:w="1924" w:type="dxa"/>
            <w:vAlign w:val="center"/>
          </w:tcPr>
          <w:p w:rsidR="00184ABD" w:rsidRDefault="005745CF">
            <w:pPr>
              <w:jc w:val="right"/>
            </w:pPr>
            <w:r>
              <w:rPr>
                <w:color w:val="000000"/>
                <w:sz w:val="24"/>
                <w:szCs w:val="24"/>
              </w:rPr>
              <w:t>416,875,823.20</w:t>
            </w:r>
          </w:p>
        </w:tc>
        <w:tc>
          <w:tcPr>
            <w:tcW w:w="1644" w:type="dxa"/>
            <w:vAlign w:val="center"/>
          </w:tcPr>
          <w:p w:rsidR="00184ABD" w:rsidRDefault="005745CF">
            <w:pPr>
              <w:jc w:val="right"/>
            </w:pPr>
            <w:r>
              <w:rPr>
                <w:color w:val="000000"/>
                <w:sz w:val="24"/>
                <w:szCs w:val="24"/>
              </w:rPr>
              <w:t>8.92</w:t>
            </w:r>
          </w:p>
        </w:tc>
      </w:tr>
      <w:tr w:rsidR="00184ABD">
        <w:trPr>
          <w:jc w:val="center"/>
        </w:trPr>
        <w:tc>
          <w:tcPr>
            <w:tcW w:w="855" w:type="dxa"/>
            <w:vAlign w:val="center"/>
          </w:tcPr>
          <w:p w:rsidR="00184ABD" w:rsidRDefault="005745CF">
            <w:pPr>
              <w:jc w:val="center"/>
            </w:pPr>
            <w:r>
              <w:rPr>
                <w:color w:val="000000"/>
                <w:sz w:val="24"/>
                <w:szCs w:val="24"/>
              </w:rPr>
              <w:t>2</w:t>
            </w:r>
          </w:p>
        </w:tc>
        <w:tc>
          <w:tcPr>
            <w:tcW w:w="1334" w:type="dxa"/>
            <w:vAlign w:val="center"/>
          </w:tcPr>
          <w:p w:rsidR="00184ABD" w:rsidRDefault="005745CF">
            <w:pPr>
              <w:jc w:val="center"/>
            </w:pPr>
            <w:r>
              <w:rPr>
                <w:color w:val="000000"/>
                <w:sz w:val="24"/>
                <w:szCs w:val="24"/>
              </w:rPr>
              <w:t>002081</w:t>
            </w:r>
          </w:p>
        </w:tc>
        <w:tc>
          <w:tcPr>
            <w:tcW w:w="1777" w:type="dxa"/>
            <w:vAlign w:val="center"/>
          </w:tcPr>
          <w:p w:rsidR="00184ABD" w:rsidRDefault="005745CF">
            <w:pPr>
              <w:jc w:val="cente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334" w:type="dxa"/>
            <w:vAlign w:val="center"/>
          </w:tcPr>
          <w:p w:rsidR="00184ABD" w:rsidRDefault="005745CF">
            <w:pPr>
              <w:jc w:val="right"/>
            </w:pPr>
            <w:r>
              <w:rPr>
                <w:color w:val="000000"/>
                <w:sz w:val="24"/>
                <w:szCs w:val="24"/>
              </w:rPr>
              <w:t>12,624,197</w:t>
            </w:r>
          </w:p>
        </w:tc>
        <w:tc>
          <w:tcPr>
            <w:tcW w:w="1924" w:type="dxa"/>
            <w:vAlign w:val="center"/>
          </w:tcPr>
          <w:p w:rsidR="00184ABD" w:rsidRDefault="005745CF">
            <w:pPr>
              <w:jc w:val="right"/>
            </w:pPr>
            <w:r>
              <w:rPr>
                <w:color w:val="000000"/>
                <w:sz w:val="24"/>
                <w:szCs w:val="24"/>
              </w:rPr>
              <w:t>212,086,509.60</w:t>
            </w:r>
          </w:p>
        </w:tc>
        <w:tc>
          <w:tcPr>
            <w:tcW w:w="1644" w:type="dxa"/>
            <w:vAlign w:val="center"/>
          </w:tcPr>
          <w:p w:rsidR="00184ABD" w:rsidRDefault="005745CF">
            <w:pPr>
              <w:jc w:val="right"/>
            </w:pPr>
            <w:r>
              <w:rPr>
                <w:color w:val="000000"/>
                <w:sz w:val="24"/>
                <w:szCs w:val="24"/>
              </w:rPr>
              <w:t>4.54</w:t>
            </w:r>
          </w:p>
        </w:tc>
      </w:tr>
      <w:tr w:rsidR="00184ABD">
        <w:trPr>
          <w:jc w:val="center"/>
        </w:trPr>
        <w:tc>
          <w:tcPr>
            <w:tcW w:w="855" w:type="dxa"/>
            <w:vAlign w:val="center"/>
          </w:tcPr>
          <w:p w:rsidR="00184ABD" w:rsidRDefault="005745CF">
            <w:pPr>
              <w:jc w:val="center"/>
            </w:pPr>
            <w:r>
              <w:rPr>
                <w:color w:val="000000"/>
                <w:sz w:val="24"/>
                <w:szCs w:val="24"/>
              </w:rPr>
              <w:t>3</w:t>
            </w:r>
          </w:p>
        </w:tc>
        <w:tc>
          <w:tcPr>
            <w:tcW w:w="1334" w:type="dxa"/>
            <w:vAlign w:val="center"/>
          </w:tcPr>
          <w:p w:rsidR="00184ABD" w:rsidRDefault="005745CF">
            <w:pPr>
              <w:jc w:val="center"/>
            </w:pPr>
            <w:r>
              <w:rPr>
                <w:color w:val="000000"/>
                <w:sz w:val="24"/>
                <w:szCs w:val="24"/>
              </w:rPr>
              <w:t>300347</w:t>
            </w:r>
          </w:p>
        </w:tc>
        <w:tc>
          <w:tcPr>
            <w:tcW w:w="1777" w:type="dxa"/>
            <w:vAlign w:val="center"/>
          </w:tcPr>
          <w:p w:rsidR="00184ABD" w:rsidRDefault="005745CF">
            <w:pPr>
              <w:jc w:val="center"/>
            </w:pPr>
            <w:r>
              <w:rPr>
                <w:color w:val="000000"/>
                <w:sz w:val="24"/>
                <w:szCs w:val="24"/>
              </w:rPr>
              <w:t>泰格医药</w:t>
            </w:r>
          </w:p>
        </w:tc>
        <w:tc>
          <w:tcPr>
            <w:tcW w:w="1334" w:type="dxa"/>
            <w:vAlign w:val="center"/>
          </w:tcPr>
          <w:p w:rsidR="00184ABD" w:rsidRDefault="005745CF">
            <w:pPr>
              <w:jc w:val="right"/>
            </w:pPr>
            <w:r>
              <w:rPr>
                <w:color w:val="000000"/>
                <w:sz w:val="24"/>
                <w:szCs w:val="24"/>
              </w:rPr>
              <w:t>7,002,641</w:t>
            </w:r>
          </w:p>
        </w:tc>
        <w:tc>
          <w:tcPr>
            <w:tcW w:w="1924" w:type="dxa"/>
            <w:vAlign w:val="center"/>
          </w:tcPr>
          <w:p w:rsidR="00184ABD" w:rsidRDefault="005745CF">
            <w:pPr>
              <w:jc w:val="right"/>
            </w:pPr>
            <w:r>
              <w:rPr>
                <w:color w:val="000000"/>
                <w:sz w:val="24"/>
                <w:szCs w:val="24"/>
              </w:rPr>
              <w:t>205,877,645.40</w:t>
            </w:r>
          </w:p>
        </w:tc>
        <w:tc>
          <w:tcPr>
            <w:tcW w:w="1644" w:type="dxa"/>
            <w:vAlign w:val="center"/>
          </w:tcPr>
          <w:p w:rsidR="00184ABD" w:rsidRDefault="005745CF">
            <w:pPr>
              <w:jc w:val="right"/>
            </w:pPr>
            <w:r>
              <w:rPr>
                <w:color w:val="000000"/>
                <w:sz w:val="24"/>
                <w:szCs w:val="24"/>
              </w:rPr>
              <w:t>4.40</w:t>
            </w:r>
          </w:p>
        </w:tc>
      </w:tr>
      <w:tr w:rsidR="00184ABD">
        <w:trPr>
          <w:jc w:val="center"/>
        </w:trPr>
        <w:tc>
          <w:tcPr>
            <w:tcW w:w="855" w:type="dxa"/>
            <w:vAlign w:val="center"/>
          </w:tcPr>
          <w:p w:rsidR="00184ABD" w:rsidRDefault="005745CF">
            <w:pPr>
              <w:jc w:val="center"/>
            </w:pPr>
            <w:r>
              <w:rPr>
                <w:color w:val="000000"/>
                <w:sz w:val="24"/>
                <w:szCs w:val="24"/>
              </w:rPr>
              <w:t>4</w:t>
            </w:r>
          </w:p>
        </w:tc>
        <w:tc>
          <w:tcPr>
            <w:tcW w:w="1334" w:type="dxa"/>
            <w:vAlign w:val="center"/>
          </w:tcPr>
          <w:p w:rsidR="00184ABD" w:rsidRDefault="005745CF">
            <w:pPr>
              <w:jc w:val="center"/>
            </w:pPr>
            <w:r>
              <w:rPr>
                <w:color w:val="000000"/>
                <w:sz w:val="24"/>
                <w:szCs w:val="24"/>
              </w:rPr>
              <w:t>002180</w:t>
            </w:r>
          </w:p>
        </w:tc>
        <w:tc>
          <w:tcPr>
            <w:tcW w:w="1777" w:type="dxa"/>
            <w:vAlign w:val="center"/>
          </w:tcPr>
          <w:p w:rsidR="00184ABD" w:rsidRDefault="005745CF">
            <w:pPr>
              <w:jc w:val="center"/>
            </w:pPr>
            <w:r>
              <w:rPr>
                <w:color w:val="000000"/>
                <w:sz w:val="24"/>
                <w:szCs w:val="24"/>
              </w:rPr>
              <w:t>艾派克</w:t>
            </w:r>
          </w:p>
        </w:tc>
        <w:tc>
          <w:tcPr>
            <w:tcW w:w="1334" w:type="dxa"/>
            <w:vAlign w:val="center"/>
          </w:tcPr>
          <w:p w:rsidR="00184ABD" w:rsidRDefault="005745CF">
            <w:pPr>
              <w:jc w:val="right"/>
            </w:pPr>
            <w:r>
              <w:rPr>
                <w:color w:val="000000"/>
                <w:sz w:val="24"/>
                <w:szCs w:val="24"/>
              </w:rPr>
              <w:t>8,006,524</w:t>
            </w:r>
          </w:p>
        </w:tc>
        <w:tc>
          <w:tcPr>
            <w:tcW w:w="1924" w:type="dxa"/>
            <w:vAlign w:val="center"/>
          </w:tcPr>
          <w:p w:rsidR="00184ABD" w:rsidRDefault="005745CF">
            <w:pPr>
              <w:jc w:val="right"/>
            </w:pPr>
            <w:r>
              <w:rPr>
                <w:color w:val="000000"/>
                <w:sz w:val="24"/>
                <w:szCs w:val="24"/>
              </w:rPr>
              <w:t>188,233,379.24</w:t>
            </w:r>
          </w:p>
        </w:tc>
        <w:tc>
          <w:tcPr>
            <w:tcW w:w="1644" w:type="dxa"/>
            <w:vAlign w:val="center"/>
          </w:tcPr>
          <w:p w:rsidR="00184ABD" w:rsidRDefault="005745CF">
            <w:pPr>
              <w:jc w:val="right"/>
            </w:pPr>
            <w:r>
              <w:rPr>
                <w:color w:val="000000"/>
                <w:sz w:val="24"/>
                <w:szCs w:val="24"/>
              </w:rPr>
              <w:t>4.03</w:t>
            </w:r>
          </w:p>
        </w:tc>
      </w:tr>
      <w:tr w:rsidR="00184ABD">
        <w:trPr>
          <w:jc w:val="center"/>
        </w:trPr>
        <w:tc>
          <w:tcPr>
            <w:tcW w:w="855" w:type="dxa"/>
            <w:vAlign w:val="center"/>
          </w:tcPr>
          <w:p w:rsidR="00184ABD" w:rsidRDefault="005745CF">
            <w:pPr>
              <w:jc w:val="center"/>
            </w:pPr>
            <w:r>
              <w:rPr>
                <w:color w:val="000000"/>
                <w:sz w:val="24"/>
                <w:szCs w:val="24"/>
              </w:rPr>
              <w:t>5</w:t>
            </w:r>
          </w:p>
        </w:tc>
        <w:tc>
          <w:tcPr>
            <w:tcW w:w="1334" w:type="dxa"/>
            <w:vAlign w:val="center"/>
          </w:tcPr>
          <w:p w:rsidR="00184ABD" w:rsidRDefault="005745CF">
            <w:pPr>
              <w:jc w:val="center"/>
            </w:pPr>
            <w:r>
              <w:rPr>
                <w:color w:val="000000"/>
                <w:sz w:val="24"/>
                <w:szCs w:val="24"/>
              </w:rPr>
              <w:t>601166</w:t>
            </w:r>
          </w:p>
        </w:tc>
        <w:tc>
          <w:tcPr>
            <w:tcW w:w="1777" w:type="dxa"/>
            <w:vAlign w:val="center"/>
          </w:tcPr>
          <w:p w:rsidR="00184ABD" w:rsidRDefault="005745CF">
            <w:pPr>
              <w:jc w:val="center"/>
            </w:pPr>
            <w:r>
              <w:rPr>
                <w:color w:val="000000"/>
                <w:sz w:val="24"/>
                <w:szCs w:val="24"/>
              </w:rPr>
              <w:t>兴业银行</w:t>
            </w:r>
          </w:p>
        </w:tc>
        <w:tc>
          <w:tcPr>
            <w:tcW w:w="1334" w:type="dxa"/>
            <w:vAlign w:val="center"/>
          </w:tcPr>
          <w:p w:rsidR="00184ABD" w:rsidRDefault="005745CF">
            <w:pPr>
              <w:jc w:val="right"/>
            </w:pPr>
            <w:r>
              <w:rPr>
                <w:color w:val="000000"/>
                <w:sz w:val="24"/>
                <w:szCs w:val="24"/>
              </w:rPr>
              <w:t>11,362,200</w:t>
            </w:r>
          </w:p>
        </w:tc>
        <w:tc>
          <w:tcPr>
            <w:tcW w:w="1924" w:type="dxa"/>
            <w:vAlign w:val="center"/>
          </w:tcPr>
          <w:p w:rsidR="00184ABD" w:rsidRDefault="005745CF">
            <w:pPr>
              <w:jc w:val="right"/>
            </w:pPr>
            <w:r>
              <w:rPr>
                <w:color w:val="000000"/>
                <w:sz w:val="24"/>
                <w:szCs w:val="24"/>
              </w:rPr>
              <w:t>187,476,300.00</w:t>
            </w:r>
          </w:p>
        </w:tc>
        <w:tc>
          <w:tcPr>
            <w:tcW w:w="1644" w:type="dxa"/>
            <w:vAlign w:val="center"/>
          </w:tcPr>
          <w:p w:rsidR="00184ABD" w:rsidRDefault="005745CF">
            <w:pPr>
              <w:jc w:val="right"/>
            </w:pPr>
            <w:r>
              <w:rPr>
                <w:color w:val="000000"/>
                <w:sz w:val="24"/>
                <w:szCs w:val="24"/>
              </w:rPr>
              <w:t>4.01</w:t>
            </w:r>
          </w:p>
        </w:tc>
      </w:tr>
      <w:tr w:rsidR="00184ABD">
        <w:trPr>
          <w:jc w:val="center"/>
        </w:trPr>
        <w:tc>
          <w:tcPr>
            <w:tcW w:w="855" w:type="dxa"/>
            <w:vAlign w:val="center"/>
          </w:tcPr>
          <w:p w:rsidR="00184ABD" w:rsidRDefault="005745CF">
            <w:pPr>
              <w:jc w:val="center"/>
            </w:pPr>
            <w:r>
              <w:rPr>
                <w:color w:val="000000"/>
                <w:sz w:val="24"/>
                <w:szCs w:val="24"/>
              </w:rPr>
              <w:t>6</w:t>
            </w:r>
          </w:p>
        </w:tc>
        <w:tc>
          <w:tcPr>
            <w:tcW w:w="1334" w:type="dxa"/>
            <w:vAlign w:val="center"/>
          </w:tcPr>
          <w:p w:rsidR="00184ABD" w:rsidRDefault="005745CF">
            <w:pPr>
              <w:jc w:val="center"/>
            </w:pPr>
            <w:r>
              <w:rPr>
                <w:color w:val="000000"/>
                <w:sz w:val="24"/>
                <w:szCs w:val="24"/>
              </w:rPr>
              <w:t>300059</w:t>
            </w:r>
          </w:p>
        </w:tc>
        <w:tc>
          <w:tcPr>
            <w:tcW w:w="1777" w:type="dxa"/>
            <w:vAlign w:val="center"/>
          </w:tcPr>
          <w:p w:rsidR="00184ABD" w:rsidRDefault="005745CF">
            <w:pPr>
              <w:jc w:val="center"/>
            </w:pPr>
            <w:r>
              <w:rPr>
                <w:color w:val="000000"/>
                <w:sz w:val="24"/>
                <w:szCs w:val="24"/>
              </w:rPr>
              <w:t>东方财富</w:t>
            </w:r>
          </w:p>
        </w:tc>
        <w:tc>
          <w:tcPr>
            <w:tcW w:w="1334" w:type="dxa"/>
            <w:vAlign w:val="center"/>
          </w:tcPr>
          <w:p w:rsidR="00184ABD" w:rsidRDefault="005745CF">
            <w:pPr>
              <w:jc w:val="right"/>
            </w:pPr>
            <w:r>
              <w:rPr>
                <w:color w:val="000000"/>
                <w:sz w:val="24"/>
                <w:szCs w:val="24"/>
              </w:rPr>
              <w:t>6,157,211</w:t>
            </w:r>
          </w:p>
        </w:tc>
        <w:tc>
          <w:tcPr>
            <w:tcW w:w="1924" w:type="dxa"/>
            <w:vAlign w:val="center"/>
          </w:tcPr>
          <w:p w:rsidR="00184ABD" w:rsidRDefault="005745CF">
            <w:pPr>
              <w:jc w:val="right"/>
            </w:pPr>
            <w:r>
              <w:rPr>
                <w:color w:val="000000"/>
                <w:sz w:val="24"/>
                <w:szCs w:val="24"/>
              </w:rPr>
              <w:t>172,155,619.56</w:t>
            </w:r>
          </w:p>
        </w:tc>
        <w:tc>
          <w:tcPr>
            <w:tcW w:w="1644" w:type="dxa"/>
            <w:vAlign w:val="center"/>
          </w:tcPr>
          <w:p w:rsidR="00184ABD" w:rsidRDefault="005745CF">
            <w:pPr>
              <w:jc w:val="right"/>
            </w:pPr>
            <w:r>
              <w:rPr>
                <w:color w:val="000000"/>
                <w:sz w:val="24"/>
                <w:szCs w:val="24"/>
              </w:rPr>
              <w:t>3.68</w:t>
            </w:r>
          </w:p>
        </w:tc>
      </w:tr>
      <w:tr w:rsidR="00184ABD">
        <w:trPr>
          <w:jc w:val="center"/>
        </w:trPr>
        <w:tc>
          <w:tcPr>
            <w:tcW w:w="855" w:type="dxa"/>
            <w:vAlign w:val="center"/>
          </w:tcPr>
          <w:p w:rsidR="00184ABD" w:rsidRDefault="005745CF">
            <w:pPr>
              <w:jc w:val="center"/>
            </w:pPr>
            <w:r>
              <w:rPr>
                <w:color w:val="000000"/>
                <w:sz w:val="24"/>
                <w:szCs w:val="24"/>
              </w:rPr>
              <w:t>7</w:t>
            </w:r>
          </w:p>
        </w:tc>
        <w:tc>
          <w:tcPr>
            <w:tcW w:w="1334" w:type="dxa"/>
            <w:vAlign w:val="center"/>
          </w:tcPr>
          <w:p w:rsidR="00184ABD" w:rsidRDefault="005745CF">
            <w:pPr>
              <w:jc w:val="center"/>
            </w:pPr>
            <w:r>
              <w:rPr>
                <w:color w:val="000000"/>
                <w:sz w:val="24"/>
                <w:szCs w:val="24"/>
              </w:rPr>
              <w:t>600340</w:t>
            </w:r>
          </w:p>
        </w:tc>
        <w:tc>
          <w:tcPr>
            <w:tcW w:w="1777" w:type="dxa"/>
            <w:vAlign w:val="center"/>
          </w:tcPr>
          <w:p w:rsidR="00184ABD" w:rsidRDefault="005745CF">
            <w:pPr>
              <w:jc w:val="center"/>
            </w:pPr>
            <w:r>
              <w:rPr>
                <w:color w:val="000000"/>
                <w:sz w:val="24"/>
                <w:szCs w:val="24"/>
              </w:rPr>
              <w:t>华夏幸福</w:t>
            </w:r>
          </w:p>
        </w:tc>
        <w:tc>
          <w:tcPr>
            <w:tcW w:w="1334" w:type="dxa"/>
            <w:vAlign w:val="center"/>
          </w:tcPr>
          <w:p w:rsidR="00184ABD" w:rsidRDefault="005745CF">
            <w:pPr>
              <w:jc w:val="right"/>
            </w:pPr>
            <w:r>
              <w:rPr>
                <w:color w:val="000000"/>
                <w:sz w:val="24"/>
                <w:szCs w:val="24"/>
              </w:rPr>
              <w:t>2,999,748</w:t>
            </w:r>
          </w:p>
        </w:tc>
        <w:tc>
          <w:tcPr>
            <w:tcW w:w="1924" w:type="dxa"/>
            <w:vAlign w:val="center"/>
          </w:tcPr>
          <w:p w:rsidR="00184ABD" w:rsidRDefault="005745CF">
            <w:pPr>
              <w:jc w:val="right"/>
            </w:pPr>
            <w:r>
              <w:rPr>
                <w:color w:val="000000"/>
                <w:sz w:val="24"/>
                <w:szCs w:val="24"/>
              </w:rPr>
              <w:t>130,789,012.80</w:t>
            </w:r>
          </w:p>
        </w:tc>
        <w:tc>
          <w:tcPr>
            <w:tcW w:w="1644" w:type="dxa"/>
            <w:vAlign w:val="center"/>
          </w:tcPr>
          <w:p w:rsidR="00184ABD" w:rsidRDefault="005745CF">
            <w:pPr>
              <w:jc w:val="right"/>
            </w:pPr>
            <w:r>
              <w:rPr>
                <w:color w:val="000000"/>
                <w:sz w:val="24"/>
                <w:szCs w:val="24"/>
              </w:rPr>
              <w:t>2.80</w:t>
            </w:r>
          </w:p>
        </w:tc>
      </w:tr>
      <w:tr w:rsidR="00184ABD">
        <w:trPr>
          <w:jc w:val="center"/>
        </w:trPr>
        <w:tc>
          <w:tcPr>
            <w:tcW w:w="855" w:type="dxa"/>
            <w:vAlign w:val="center"/>
          </w:tcPr>
          <w:p w:rsidR="00184ABD" w:rsidRDefault="005745CF">
            <w:pPr>
              <w:jc w:val="center"/>
            </w:pPr>
            <w:r>
              <w:rPr>
                <w:color w:val="000000"/>
                <w:sz w:val="24"/>
                <w:szCs w:val="24"/>
              </w:rPr>
              <w:t>8</w:t>
            </w:r>
          </w:p>
        </w:tc>
        <w:tc>
          <w:tcPr>
            <w:tcW w:w="1334" w:type="dxa"/>
            <w:vAlign w:val="center"/>
          </w:tcPr>
          <w:p w:rsidR="00184ABD" w:rsidRDefault="005745CF">
            <w:pPr>
              <w:jc w:val="center"/>
            </w:pPr>
            <w:r>
              <w:rPr>
                <w:color w:val="000000"/>
                <w:sz w:val="24"/>
                <w:szCs w:val="24"/>
              </w:rPr>
              <w:t>000671</w:t>
            </w:r>
          </w:p>
        </w:tc>
        <w:tc>
          <w:tcPr>
            <w:tcW w:w="1777" w:type="dxa"/>
            <w:vAlign w:val="center"/>
          </w:tcPr>
          <w:p w:rsidR="00184ABD" w:rsidRDefault="005745CF">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184ABD" w:rsidRDefault="005745CF">
            <w:pPr>
              <w:jc w:val="right"/>
            </w:pPr>
            <w:r>
              <w:rPr>
                <w:color w:val="000000"/>
                <w:sz w:val="24"/>
                <w:szCs w:val="24"/>
              </w:rPr>
              <w:t>9,199,932</w:t>
            </w:r>
          </w:p>
        </w:tc>
        <w:tc>
          <w:tcPr>
            <w:tcW w:w="1924" w:type="dxa"/>
            <w:vAlign w:val="center"/>
          </w:tcPr>
          <w:p w:rsidR="00184ABD" w:rsidRDefault="005745CF">
            <w:pPr>
              <w:jc w:val="right"/>
            </w:pPr>
            <w:r>
              <w:rPr>
                <w:color w:val="000000"/>
                <w:sz w:val="24"/>
                <w:szCs w:val="24"/>
              </w:rPr>
              <w:t>127,603,056.84</w:t>
            </w:r>
          </w:p>
        </w:tc>
        <w:tc>
          <w:tcPr>
            <w:tcW w:w="1644" w:type="dxa"/>
            <w:vAlign w:val="center"/>
          </w:tcPr>
          <w:p w:rsidR="00184ABD" w:rsidRDefault="005745CF">
            <w:pPr>
              <w:jc w:val="right"/>
            </w:pPr>
            <w:r>
              <w:rPr>
                <w:color w:val="000000"/>
                <w:sz w:val="24"/>
                <w:szCs w:val="24"/>
              </w:rPr>
              <w:t>2.73</w:t>
            </w:r>
          </w:p>
        </w:tc>
      </w:tr>
      <w:tr w:rsidR="00184ABD">
        <w:trPr>
          <w:jc w:val="center"/>
        </w:trPr>
        <w:tc>
          <w:tcPr>
            <w:tcW w:w="855" w:type="dxa"/>
            <w:vAlign w:val="center"/>
          </w:tcPr>
          <w:p w:rsidR="00184ABD" w:rsidRDefault="005745CF">
            <w:pPr>
              <w:jc w:val="center"/>
            </w:pPr>
            <w:r>
              <w:rPr>
                <w:color w:val="000000"/>
                <w:sz w:val="24"/>
                <w:szCs w:val="24"/>
              </w:rPr>
              <w:t>9</w:t>
            </w:r>
          </w:p>
        </w:tc>
        <w:tc>
          <w:tcPr>
            <w:tcW w:w="1334" w:type="dxa"/>
            <w:vAlign w:val="center"/>
          </w:tcPr>
          <w:p w:rsidR="00184ABD" w:rsidRDefault="005745CF">
            <w:pPr>
              <w:jc w:val="center"/>
            </w:pPr>
            <w:r>
              <w:rPr>
                <w:color w:val="000000"/>
                <w:sz w:val="24"/>
                <w:szCs w:val="24"/>
              </w:rPr>
              <w:t>601601</w:t>
            </w:r>
          </w:p>
        </w:tc>
        <w:tc>
          <w:tcPr>
            <w:tcW w:w="1777" w:type="dxa"/>
            <w:vAlign w:val="center"/>
          </w:tcPr>
          <w:p w:rsidR="00184ABD" w:rsidRDefault="005745CF">
            <w:pPr>
              <w:jc w:val="center"/>
            </w:pPr>
            <w:r>
              <w:rPr>
                <w:color w:val="000000"/>
                <w:sz w:val="24"/>
                <w:szCs w:val="24"/>
              </w:rPr>
              <w:t>中国太保</w:t>
            </w:r>
          </w:p>
        </w:tc>
        <w:tc>
          <w:tcPr>
            <w:tcW w:w="1334" w:type="dxa"/>
            <w:vAlign w:val="center"/>
          </w:tcPr>
          <w:p w:rsidR="00184ABD" w:rsidRDefault="005745CF">
            <w:pPr>
              <w:jc w:val="right"/>
            </w:pPr>
            <w:r>
              <w:rPr>
                <w:color w:val="000000"/>
                <w:sz w:val="24"/>
                <w:szCs w:val="24"/>
              </w:rPr>
              <w:t>3,725,228</w:t>
            </w:r>
          </w:p>
        </w:tc>
        <w:tc>
          <w:tcPr>
            <w:tcW w:w="1924" w:type="dxa"/>
            <w:vAlign w:val="center"/>
          </w:tcPr>
          <w:p w:rsidR="00184ABD" w:rsidRDefault="005745CF">
            <w:pPr>
              <w:jc w:val="right"/>
            </w:pPr>
            <w:r>
              <w:rPr>
                <w:color w:val="000000"/>
                <w:sz w:val="24"/>
                <w:szCs w:val="24"/>
              </w:rPr>
              <w:t>120,324,864.40</w:t>
            </w:r>
          </w:p>
        </w:tc>
        <w:tc>
          <w:tcPr>
            <w:tcW w:w="1644" w:type="dxa"/>
            <w:vAlign w:val="center"/>
          </w:tcPr>
          <w:p w:rsidR="00184ABD" w:rsidRDefault="005745CF">
            <w:pPr>
              <w:jc w:val="right"/>
            </w:pPr>
            <w:r>
              <w:rPr>
                <w:color w:val="000000"/>
                <w:sz w:val="24"/>
                <w:szCs w:val="24"/>
              </w:rPr>
              <w:t>2.57</w:t>
            </w:r>
          </w:p>
        </w:tc>
      </w:tr>
      <w:tr w:rsidR="00184ABD">
        <w:trPr>
          <w:jc w:val="center"/>
        </w:trPr>
        <w:tc>
          <w:tcPr>
            <w:tcW w:w="855" w:type="dxa"/>
            <w:vAlign w:val="center"/>
          </w:tcPr>
          <w:p w:rsidR="00184ABD" w:rsidRDefault="005745CF">
            <w:pPr>
              <w:jc w:val="center"/>
            </w:pPr>
            <w:r>
              <w:rPr>
                <w:color w:val="000000"/>
                <w:sz w:val="24"/>
                <w:szCs w:val="24"/>
              </w:rPr>
              <w:t>10</w:t>
            </w:r>
          </w:p>
        </w:tc>
        <w:tc>
          <w:tcPr>
            <w:tcW w:w="1334" w:type="dxa"/>
            <w:vAlign w:val="center"/>
          </w:tcPr>
          <w:p w:rsidR="00184ABD" w:rsidRDefault="005745CF">
            <w:pPr>
              <w:jc w:val="center"/>
            </w:pPr>
            <w:r>
              <w:rPr>
                <w:color w:val="000000"/>
                <w:sz w:val="24"/>
                <w:szCs w:val="24"/>
              </w:rPr>
              <w:t>000927</w:t>
            </w:r>
          </w:p>
        </w:tc>
        <w:tc>
          <w:tcPr>
            <w:tcW w:w="1777" w:type="dxa"/>
            <w:vAlign w:val="center"/>
          </w:tcPr>
          <w:p w:rsidR="00184ABD" w:rsidRDefault="005745CF">
            <w:pPr>
              <w:jc w:val="center"/>
            </w:pPr>
            <w:proofErr w:type="gramStart"/>
            <w:r>
              <w:rPr>
                <w:color w:val="000000"/>
                <w:sz w:val="24"/>
                <w:szCs w:val="24"/>
              </w:rPr>
              <w:t>一</w:t>
            </w:r>
            <w:proofErr w:type="gramEnd"/>
            <w:r>
              <w:rPr>
                <w:color w:val="000000"/>
                <w:sz w:val="24"/>
                <w:szCs w:val="24"/>
              </w:rPr>
              <w:t>汽夏利</w:t>
            </w:r>
          </w:p>
        </w:tc>
        <w:tc>
          <w:tcPr>
            <w:tcW w:w="1334" w:type="dxa"/>
            <w:vAlign w:val="center"/>
          </w:tcPr>
          <w:p w:rsidR="00184ABD" w:rsidRDefault="005745CF">
            <w:pPr>
              <w:jc w:val="right"/>
            </w:pPr>
            <w:r>
              <w:rPr>
                <w:color w:val="000000"/>
                <w:sz w:val="24"/>
                <w:szCs w:val="24"/>
              </w:rPr>
              <w:t>15,894,125</w:t>
            </w:r>
          </w:p>
        </w:tc>
        <w:tc>
          <w:tcPr>
            <w:tcW w:w="1924" w:type="dxa"/>
            <w:vAlign w:val="center"/>
          </w:tcPr>
          <w:p w:rsidR="00184ABD" w:rsidRDefault="005745CF">
            <w:pPr>
              <w:jc w:val="right"/>
            </w:pPr>
            <w:r>
              <w:rPr>
                <w:color w:val="000000"/>
                <w:sz w:val="24"/>
                <w:szCs w:val="24"/>
              </w:rPr>
              <w:t>105,060,166.25</w:t>
            </w:r>
          </w:p>
        </w:tc>
        <w:tc>
          <w:tcPr>
            <w:tcW w:w="1644" w:type="dxa"/>
            <w:vAlign w:val="center"/>
          </w:tcPr>
          <w:p w:rsidR="00184ABD" w:rsidRDefault="005745CF">
            <w:pPr>
              <w:jc w:val="right"/>
            </w:pPr>
            <w:r>
              <w:rPr>
                <w:color w:val="000000"/>
                <w:sz w:val="24"/>
                <w:szCs w:val="24"/>
              </w:rPr>
              <w:t>2.25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250,310,000.00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250,310,000.00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2,962,682.80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253,272,682.80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84ABD">
        <w:trPr>
          <w:jc w:val="center"/>
        </w:trPr>
        <w:tc>
          <w:tcPr>
            <w:tcW w:w="850" w:type="dxa"/>
            <w:vAlign w:val="center"/>
          </w:tcPr>
          <w:p w:rsidR="00184ABD" w:rsidRDefault="005745CF">
            <w:pPr>
              <w:jc w:val="center"/>
            </w:pPr>
            <w:r>
              <w:rPr>
                <w:color w:val="000000"/>
                <w:sz w:val="24"/>
                <w:szCs w:val="24"/>
              </w:rPr>
              <w:t>1</w:t>
            </w:r>
          </w:p>
        </w:tc>
        <w:tc>
          <w:tcPr>
            <w:tcW w:w="1475" w:type="dxa"/>
            <w:vAlign w:val="center"/>
          </w:tcPr>
          <w:p w:rsidR="00184ABD" w:rsidRDefault="005745CF">
            <w:pPr>
              <w:jc w:val="center"/>
            </w:pPr>
            <w:r>
              <w:rPr>
                <w:color w:val="000000"/>
                <w:sz w:val="24"/>
                <w:szCs w:val="24"/>
              </w:rPr>
              <w:t>140207</w:t>
            </w:r>
          </w:p>
        </w:tc>
        <w:tc>
          <w:tcPr>
            <w:tcW w:w="1769" w:type="dxa"/>
            <w:vAlign w:val="center"/>
          </w:tcPr>
          <w:p w:rsidR="00184ABD" w:rsidRDefault="005745CF">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184ABD" w:rsidRDefault="005745CF">
            <w:pPr>
              <w:jc w:val="right"/>
            </w:pPr>
            <w:r>
              <w:rPr>
                <w:color w:val="000000"/>
                <w:sz w:val="24"/>
                <w:szCs w:val="24"/>
              </w:rPr>
              <w:t>2,000,000</w:t>
            </w:r>
          </w:p>
        </w:tc>
        <w:tc>
          <w:tcPr>
            <w:tcW w:w="2150" w:type="dxa"/>
            <w:vAlign w:val="center"/>
          </w:tcPr>
          <w:p w:rsidR="00184ABD" w:rsidRDefault="005745CF">
            <w:pPr>
              <w:jc w:val="right"/>
            </w:pPr>
            <w:r>
              <w:rPr>
                <w:color w:val="000000"/>
                <w:sz w:val="24"/>
                <w:szCs w:val="24"/>
              </w:rPr>
              <w:t>200,300,000.00</w:t>
            </w:r>
          </w:p>
        </w:tc>
        <w:tc>
          <w:tcPr>
            <w:tcW w:w="1237" w:type="dxa"/>
            <w:vAlign w:val="center"/>
          </w:tcPr>
          <w:p w:rsidR="00184ABD" w:rsidRDefault="005745CF">
            <w:pPr>
              <w:jc w:val="right"/>
            </w:pPr>
            <w:r>
              <w:rPr>
                <w:color w:val="000000"/>
                <w:sz w:val="24"/>
                <w:szCs w:val="24"/>
              </w:rPr>
              <w:t>4.29</w:t>
            </w:r>
          </w:p>
        </w:tc>
      </w:tr>
      <w:tr w:rsidR="00184ABD">
        <w:trPr>
          <w:jc w:val="center"/>
        </w:trPr>
        <w:tc>
          <w:tcPr>
            <w:tcW w:w="850" w:type="dxa"/>
            <w:vAlign w:val="center"/>
          </w:tcPr>
          <w:p w:rsidR="00184ABD" w:rsidRDefault="005745CF">
            <w:pPr>
              <w:jc w:val="center"/>
            </w:pPr>
            <w:r>
              <w:rPr>
                <w:color w:val="000000"/>
                <w:sz w:val="24"/>
                <w:szCs w:val="24"/>
              </w:rPr>
              <w:t>2</w:t>
            </w:r>
          </w:p>
        </w:tc>
        <w:tc>
          <w:tcPr>
            <w:tcW w:w="1475" w:type="dxa"/>
            <w:vAlign w:val="center"/>
          </w:tcPr>
          <w:p w:rsidR="00184ABD" w:rsidRDefault="005745CF">
            <w:pPr>
              <w:jc w:val="center"/>
            </w:pPr>
            <w:r>
              <w:rPr>
                <w:color w:val="000000"/>
                <w:sz w:val="24"/>
                <w:szCs w:val="24"/>
              </w:rPr>
              <w:t>140204</w:t>
            </w:r>
          </w:p>
        </w:tc>
        <w:tc>
          <w:tcPr>
            <w:tcW w:w="1769" w:type="dxa"/>
            <w:vAlign w:val="center"/>
          </w:tcPr>
          <w:p w:rsidR="00184ABD" w:rsidRDefault="005745CF">
            <w:pPr>
              <w:jc w:val="center"/>
            </w:pPr>
            <w:r>
              <w:rPr>
                <w:color w:val="000000"/>
                <w:sz w:val="24"/>
                <w:szCs w:val="24"/>
              </w:rPr>
              <w:t>14</w:t>
            </w:r>
            <w:r>
              <w:rPr>
                <w:color w:val="000000"/>
                <w:sz w:val="24"/>
                <w:szCs w:val="24"/>
              </w:rPr>
              <w:t>国开</w:t>
            </w:r>
            <w:r>
              <w:rPr>
                <w:color w:val="000000"/>
                <w:sz w:val="24"/>
                <w:szCs w:val="24"/>
              </w:rPr>
              <w:t>04</w:t>
            </w:r>
          </w:p>
        </w:tc>
        <w:tc>
          <w:tcPr>
            <w:tcW w:w="1387" w:type="dxa"/>
            <w:vAlign w:val="center"/>
          </w:tcPr>
          <w:p w:rsidR="00184ABD" w:rsidRDefault="005745CF">
            <w:pPr>
              <w:jc w:val="right"/>
            </w:pPr>
            <w:r>
              <w:rPr>
                <w:color w:val="000000"/>
                <w:sz w:val="24"/>
                <w:szCs w:val="24"/>
              </w:rPr>
              <w:t>500,000</w:t>
            </w:r>
          </w:p>
        </w:tc>
        <w:tc>
          <w:tcPr>
            <w:tcW w:w="2150" w:type="dxa"/>
            <w:vAlign w:val="center"/>
          </w:tcPr>
          <w:p w:rsidR="00184ABD" w:rsidRDefault="005745CF">
            <w:pPr>
              <w:jc w:val="right"/>
            </w:pPr>
            <w:r>
              <w:rPr>
                <w:color w:val="000000"/>
                <w:sz w:val="24"/>
                <w:szCs w:val="24"/>
              </w:rPr>
              <w:t>50,010,000.00</w:t>
            </w:r>
          </w:p>
        </w:tc>
        <w:tc>
          <w:tcPr>
            <w:tcW w:w="1237" w:type="dxa"/>
            <w:vAlign w:val="center"/>
          </w:tcPr>
          <w:p w:rsidR="00184ABD" w:rsidRDefault="005745CF">
            <w:pPr>
              <w:jc w:val="right"/>
            </w:pPr>
            <w:r>
              <w:rPr>
                <w:color w:val="000000"/>
                <w:sz w:val="24"/>
                <w:szCs w:val="24"/>
              </w:rPr>
              <w:t>1.07</w:t>
            </w:r>
          </w:p>
        </w:tc>
      </w:tr>
      <w:tr w:rsidR="00184ABD">
        <w:trPr>
          <w:jc w:val="center"/>
        </w:trPr>
        <w:tc>
          <w:tcPr>
            <w:tcW w:w="850" w:type="dxa"/>
            <w:vAlign w:val="center"/>
          </w:tcPr>
          <w:p w:rsidR="00184ABD" w:rsidRDefault="005745CF">
            <w:pPr>
              <w:jc w:val="center"/>
            </w:pPr>
            <w:r>
              <w:rPr>
                <w:color w:val="000000"/>
                <w:sz w:val="24"/>
                <w:szCs w:val="24"/>
              </w:rPr>
              <w:t>3</w:t>
            </w:r>
          </w:p>
        </w:tc>
        <w:tc>
          <w:tcPr>
            <w:tcW w:w="1475" w:type="dxa"/>
            <w:vAlign w:val="center"/>
          </w:tcPr>
          <w:p w:rsidR="00184ABD" w:rsidRDefault="005745CF">
            <w:pPr>
              <w:jc w:val="center"/>
            </w:pPr>
            <w:r>
              <w:rPr>
                <w:color w:val="000000"/>
                <w:sz w:val="24"/>
                <w:szCs w:val="24"/>
              </w:rPr>
              <w:t>113001</w:t>
            </w:r>
          </w:p>
        </w:tc>
        <w:tc>
          <w:tcPr>
            <w:tcW w:w="1769" w:type="dxa"/>
            <w:vAlign w:val="center"/>
          </w:tcPr>
          <w:p w:rsidR="00184ABD" w:rsidRDefault="005745CF">
            <w:pPr>
              <w:jc w:val="center"/>
            </w:pPr>
            <w:r>
              <w:rPr>
                <w:color w:val="000000"/>
                <w:sz w:val="24"/>
                <w:szCs w:val="24"/>
              </w:rPr>
              <w:t>中行转债</w:t>
            </w:r>
          </w:p>
        </w:tc>
        <w:tc>
          <w:tcPr>
            <w:tcW w:w="1387" w:type="dxa"/>
            <w:vAlign w:val="center"/>
          </w:tcPr>
          <w:p w:rsidR="00184ABD" w:rsidRDefault="005745CF">
            <w:pPr>
              <w:jc w:val="right"/>
            </w:pPr>
            <w:r>
              <w:rPr>
                <w:color w:val="000000"/>
                <w:sz w:val="24"/>
                <w:szCs w:val="24"/>
              </w:rPr>
              <w:t>18,920</w:t>
            </w:r>
          </w:p>
        </w:tc>
        <w:tc>
          <w:tcPr>
            <w:tcW w:w="2150" w:type="dxa"/>
            <w:vAlign w:val="center"/>
          </w:tcPr>
          <w:p w:rsidR="00184ABD" w:rsidRDefault="005745CF">
            <w:pPr>
              <w:jc w:val="right"/>
            </w:pPr>
            <w:r>
              <w:rPr>
                <w:color w:val="000000"/>
                <w:sz w:val="24"/>
                <w:szCs w:val="24"/>
              </w:rPr>
              <w:t>2,962,682.80</w:t>
            </w:r>
          </w:p>
        </w:tc>
        <w:tc>
          <w:tcPr>
            <w:tcW w:w="1237" w:type="dxa"/>
            <w:vAlign w:val="center"/>
          </w:tcPr>
          <w:p w:rsidR="00184ABD" w:rsidRDefault="005745CF">
            <w:pPr>
              <w:jc w:val="right"/>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2,494,199.70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124,715,538.92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9,448,345.77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665,660.70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137,323,745.09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184ABD">
        <w:trPr>
          <w:jc w:val="center"/>
        </w:trPr>
        <w:tc>
          <w:tcPr>
            <w:tcW w:w="1883" w:type="dxa"/>
            <w:vAlign w:val="center"/>
          </w:tcPr>
          <w:p w:rsidR="00184ABD" w:rsidRDefault="005745CF">
            <w:pPr>
              <w:jc w:val="center"/>
            </w:pPr>
            <w:r>
              <w:rPr>
                <w:color w:val="000000"/>
                <w:sz w:val="24"/>
                <w:szCs w:val="24"/>
              </w:rPr>
              <w:t>1</w:t>
            </w:r>
          </w:p>
        </w:tc>
        <w:tc>
          <w:tcPr>
            <w:tcW w:w="1801" w:type="dxa"/>
            <w:vAlign w:val="center"/>
          </w:tcPr>
          <w:p w:rsidR="00184ABD" w:rsidRDefault="005745CF">
            <w:pPr>
              <w:jc w:val="center"/>
            </w:pPr>
            <w:r>
              <w:rPr>
                <w:color w:val="000000"/>
                <w:sz w:val="24"/>
                <w:szCs w:val="24"/>
              </w:rPr>
              <w:t>113001</w:t>
            </w:r>
          </w:p>
        </w:tc>
        <w:tc>
          <w:tcPr>
            <w:tcW w:w="1727" w:type="dxa"/>
            <w:vAlign w:val="center"/>
          </w:tcPr>
          <w:p w:rsidR="00184ABD" w:rsidRDefault="005745CF">
            <w:pPr>
              <w:jc w:val="center"/>
            </w:pPr>
            <w:r>
              <w:rPr>
                <w:color w:val="000000"/>
                <w:sz w:val="24"/>
                <w:szCs w:val="24"/>
              </w:rPr>
              <w:t>中行转债</w:t>
            </w:r>
          </w:p>
        </w:tc>
        <w:tc>
          <w:tcPr>
            <w:tcW w:w="1768" w:type="dxa"/>
            <w:vAlign w:val="center"/>
          </w:tcPr>
          <w:p w:rsidR="00184ABD" w:rsidRDefault="005745CF">
            <w:pPr>
              <w:jc w:val="right"/>
            </w:pPr>
            <w:r>
              <w:rPr>
                <w:color w:val="000000"/>
                <w:sz w:val="24"/>
                <w:szCs w:val="24"/>
              </w:rPr>
              <w:t>2,962,682.80</w:t>
            </w:r>
          </w:p>
        </w:tc>
        <w:tc>
          <w:tcPr>
            <w:tcW w:w="1689" w:type="dxa"/>
            <w:vAlign w:val="center"/>
          </w:tcPr>
          <w:p w:rsidR="00184ABD" w:rsidRDefault="005745CF">
            <w:pPr>
              <w:jc w:val="right"/>
            </w:pPr>
            <w:r>
              <w:rPr>
                <w:color w:val="000000"/>
                <w:sz w:val="24"/>
                <w:szCs w:val="24"/>
              </w:rPr>
              <w:t>0.06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84ABD">
        <w:trPr>
          <w:jc w:val="center"/>
        </w:trPr>
        <w:tc>
          <w:tcPr>
            <w:tcW w:w="1129" w:type="dxa"/>
            <w:vAlign w:val="center"/>
          </w:tcPr>
          <w:p w:rsidR="00184ABD" w:rsidRDefault="005745CF">
            <w:pPr>
              <w:jc w:val="center"/>
            </w:pPr>
            <w:r>
              <w:rPr>
                <w:color w:val="000000"/>
                <w:sz w:val="24"/>
                <w:szCs w:val="24"/>
              </w:rPr>
              <w:t>1</w:t>
            </w:r>
          </w:p>
        </w:tc>
        <w:tc>
          <w:tcPr>
            <w:tcW w:w="1356" w:type="dxa"/>
            <w:vAlign w:val="center"/>
          </w:tcPr>
          <w:p w:rsidR="00184ABD" w:rsidRDefault="005745CF">
            <w:pPr>
              <w:jc w:val="center"/>
            </w:pPr>
            <w:r>
              <w:rPr>
                <w:color w:val="000000"/>
                <w:sz w:val="24"/>
                <w:szCs w:val="24"/>
              </w:rPr>
              <w:t>300347</w:t>
            </w:r>
          </w:p>
        </w:tc>
        <w:tc>
          <w:tcPr>
            <w:tcW w:w="1355" w:type="dxa"/>
            <w:vAlign w:val="center"/>
          </w:tcPr>
          <w:p w:rsidR="00184ABD" w:rsidRDefault="005745CF">
            <w:pPr>
              <w:jc w:val="center"/>
            </w:pPr>
            <w:r>
              <w:rPr>
                <w:color w:val="000000"/>
                <w:sz w:val="24"/>
                <w:szCs w:val="24"/>
              </w:rPr>
              <w:t>泰格医药</w:t>
            </w:r>
          </w:p>
        </w:tc>
        <w:tc>
          <w:tcPr>
            <w:tcW w:w="1880" w:type="dxa"/>
            <w:vAlign w:val="center"/>
          </w:tcPr>
          <w:p w:rsidR="00184ABD" w:rsidRDefault="005745CF">
            <w:pPr>
              <w:jc w:val="right"/>
            </w:pPr>
            <w:r>
              <w:rPr>
                <w:color w:val="000000"/>
                <w:sz w:val="24"/>
                <w:szCs w:val="24"/>
              </w:rPr>
              <w:t>205,877,645.40</w:t>
            </w:r>
          </w:p>
        </w:tc>
        <w:tc>
          <w:tcPr>
            <w:tcW w:w="1724" w:type="dxa"/>
            <w:vAlign w:val="center"/>
          </w:tcPr>
          <w:p w:rsidR="00184ABD" w:rsidRDefault="005745CF">
            <w:pPr>
              <w:jc w:val="right"/>
            </w:pPr>
            <w:r>
              <w:rPr>
                <w:color w:val="000000"/>
                <w:sz w:val="24"/>
                <w:szCs w:val="24"/>
              </w:rPr>
              <w:t>4.40</w:t>
            </w:r>
          </w:p>
        </w:tc>
        <w:tc>
          <w:tcPr>
            <w:tcW w:w="1424" w:type="dxa"/>
            <w:vAlign w:val="center"/>
          </w:tcPr>
          <w:p w:rsidR="00184ABD" w:rsidRDefault="005745CF">
            <w:pPr>
              <w:jc w:val="right"/>
            </w:pPr>
            <w:r>
              <w:rPr>
                <w:color w:val="000000"/>
                <w:sz w:val="24"/>
                <w:szCs w:val="24"/>
              </w:rPr>
              <w:t>重大事项</w:t>
            </w:r>
          </w:p>
        </w:tc>
      </w:tr>
      <w:tr w:rsidR="00184ABD">
        <w:trPr>
          <w:jc w:val="center"/>
        </w:trPr>
        <w:tc>
          <w:tcPr>
            <w:tcW w:w="1129" w:type="dxa"/>
            <w:vAlign w:val="center"/>
          </w:tcPr>
          <w:p w:rsidR="00184ABD" w:rsidRDefault="005745CF">
            <w:pPr>
              <w:jc w:val="center"/>
            </w:pPr>
            <w:r>
              <w:rPr>
                <w:color w:val="000000"/>
                <w:sz w:val="24"/>
                <w:szCs w:val="24"/>
              </w:rPr>
              <w:t>2</w:t>
            </w:r>
          </w:p>
        </w:tc>
        <w:tc>
          <w:tcPr>
            <w:tcW w:w="1356" w:type="dxa"/>
            <w:vAlign w:val="center"/>
          </w:tcPr>
          <w:p w:rsidR="00184ABD" w:rsidRDefault="005745CF">
            <w:pPr>
              <w:jc w:val="center"/>
            </w:pPr>
            <w:r>
              <w:rPr>
                <w:color w:val="000000"/>
                <w:sz w:val="24"/>
                <w:szCs w:val="24"/>
              </w:rPr>
              <w:t>002180</w:t>
            </w:r>
          </w:p>
        </w:tc>
        <w:tc>
          <w:tcPr>
            <w:tcW w:w="1355" w:type="dxa"/>
            <w:vAlign w:val="center"/>
          </w:tcPr>
          <w:p w:rsidR="00184ABD" w:rsidRDefault="005745CF">
            <w:pPr>
              <w:jc w:val="center"/>
            </w:pPr>
            <w:r>
              <w:rPr>
                <w:color w:val="000000"/>
                <w:sz w:val="24"/>
                <w:szCs w:val="24"/>
              </w:rPr>
              <w:t>艾派克</w:t>
            </w:r>
          </w:p>
        </w:tc>
        <w:tc>
          <w:tcPr>
            <w:tcW w:w="1880" w:type="dxa"/>
            <w:vAlign w:val="center"/>
          </w:tcPr>
          <w:p w:rsidR="00184ABD" w:rsidRDefault="005745CF">
            <w:pPr>
              <w:jc w:val="right"/>
            </w:pPr>
            <w:r>
              <w:rPr>
                <w:color w:val="000000"/>
                <w:sz w:val="24"/>
                <w:szCs w:val="24"/>
              </w:rPr>
              <w:t>188,233,379.24</w:t>
            </w:r>
          </w:p>
        </w:tc>
        <w:tc>
          <w:tcPr>
            <w:tcW w:w="1724" w:type="dxa"/>
            <w:vAlign w:val="center"/>
          </w:tcPr>
          <w:p w:rsidR="00184ABD" w:rsidRDefault="005745CF">
            <w:pPr>
              <w:jc w:val="right"/>
            </w:pPr>
            <w:r>
              <w:rPr>
                <w:color w:val="000000"/>
                <w:sz w:val="24"/>
                <w:szCs w:val="24"/>
              </w:rPr>
              <w:t>4.03</w:t>
            </w:r>
          </w:p>
        </w:tc>
        <w:tc>
          <w:tcPr>
            <w:tcW w:w="1424" w:type="dxa"/>
            <w:vAlign w:val="center"/>
          </w:tcPr>
          <w:p w:rsidR="00184ABD" w:rsidRDefault="005745C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2,439,429,623.70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45,289,671.11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1,035,139,949.40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w:t>
            </w:r>
            <w:r w:rsidR="00F31B0C" w:rsidRPr="006664D2">
              <w:rPr>
                <w:rFonts w:hint="eastAsia"/>
                <w:color w:val="000000"/>
                <w:kern w:val="0"/>
                <w:sz w:val="24"/>
              </w:rPr>
              <w:lastRenderedPageBreak/>
              <w:t>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lastRenderedPageBreak/>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1,449,579,345.41</w:t>
            </w:r>
          </w:p>
        </w:tc>
      </w:tr>
    </w:tbl>
    <w:p w:rsidR="00184ABD" w:rsidRDefault="005745C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745CF">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5745CF">
      <w:pPr>
        <w:pStyle w:val="1"/>
        <w:spacing w:beforeLines="100" w:afterLines="100"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）基金行业股票估值指数的通知》的指导意见，经与基金托管人协商一致，本基金对其所持有的东华软件（证券代码：</w:t>
      </w:r>
      <w:r w:rsidRPr="00414345">
        <w:rPr>
          <w:color w:val="000000"/>
          <w:sz w:val="24"/>
          <w:szCs w:val="24"/>
        </w:rPr>
        <w:t>002065</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19</w:t>
      </w:r>
      <w:r w:rsidRPr="00414345">
        <w:rPr>
          <w:color w:val="000000"/>
          <w:sz w:val="24"/>
          <w:szCs w:val="24"/>
        </w:rPr>
        <w:t>日恢复按市场价格进行估值；本基金对其所持有的泰格医药（证券代码：</w:t>
      </w:r>
      <w:r w:rsidRPr="00414345">
        <w:rPr>
          <w:color w:val="000000"/>
          <w:sz w:val="24"/>
          <w:szCs w:val="24"/>
        </w:rPr>
        <w:t>300347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5745CF">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84ABD" w:rsidRDefault="005745C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w:t>
      </w:r>
      <w:proofErr w:type="gramStart"/>
      <w:r>
        <w:rPr>
          <w:color w:val="000000"/>
          <w:sz w:val="24"/>
          <w:szCs w:val="24"/>
        </w:rPr>
        <w:t>交银施罗</w:t>
      </w:r>
      <w:proofErr w:type="gramEnd"/>
      <w:r>
        <w:rPr>
          <w:color w:val="000000"/>
          <w:sz w:val="24"/>
          <w:szCs w:val="24"/>
        </w:rPr>
        <w:t>德成长股票证券投资基金募集的文件；</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、《交银施罗德成长股票证券投资基金基金合同》；</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、《交银施罗德成长股票证券投资基金招募说明书》；</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、《交银施罗德成长股票证券投资基金托管协议》；</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5</w:t>
      </w:r>
      <w:r>
        <w:rPr>
          <w:color w:val="000000"/>
          <w:sz w:val="24"/>
          <w:szCs w:val="24"/>
        </w:rPr>
        <w:t>、关于募集</w:t>
      </w:r>
      <w:proofErr w:type="gramStart"/>
      <w:r>
        <w:rPr>
          <w:color w:val="000000"/>
          <w:sz w:val="24"/>
          <w:szCs w:val="24"/>
        </w:rPr>
        <w:t>交银施罗</w:t>
      </w:r>
      <w:proofErr w:type="gramEnd"/>
      <w:r>
        <w:rPr>
          <w:color w:val="000000"/>
          <w:sz w:val="24"/>
          <w:szCs w:val="24"/>
        </w:rPr>
        <w:t>德成长股票证券投资基金之法律意见书；</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84ABD" w:rsidRDefault="005745C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w:t>
      </w:r>
      <w:proofErr w:type="gramStart"/>
      <w:r w:rsidRPr="00414345">
        <w:rPr>
          <w:color w:val="000000"/>
          <w:sz w:val="24"/>
          <w:szCs w:val="24"/>
        </w:rPr>
        <w:t>交银施罗</w:t>
      </w:r>
      <w:proofErr w:type="gramEnd"/>
      <w:r w:rsidRPr="00414345">
        <w:rPr>
          <w:color w:val="000000"/>
          <w:sz w:val="24"/>
          <w:szCs w:val="24"/>
        </w:rPr>
        <w:t>德成长股票证券投资基金在指定报刊上各项公告的原稿。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84ABD" w:rsidRDefault="005745C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0E0" w:rsidRDefault="00BD70E0" w:rsidP="00876D65">
      <w:r>
        <w:separator/>
      </w:r>
    </w:p>
  </w:endnote>
  <w:endnote w:type="continuationSeparator" w:id="0">
    <w:p w:rsidR="00BD70E0" w:rsidRDefault="00BD70E0"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84ABD">
      <w:rPr>
        <w:kern w:val="0"/>
        <w:szCs w:val="21"/>
      </w:rPr>
      <w:fldChar w:fldCharType="begin"/>
    </w:r>
    <w:r>
      <w:rPr>
        <w:kern w:val="0"/>
        <w:szCs w:val="21"/>
      </w:rPr>
      <w:instrText xml:space="preserve"> PAGE </w:instrText>
    </w:r>
    <w:r w:rsidR="00184ABD">
      <w:rPr>
        <w:kern w:val="0"/>
        <w:szCs w:val="21"/>
      </w:rPr>
      <w:fldChar w:fldCharType="separate"/>
    </w:r>
    <w:r w:rsidR="005745CF">
      <w:rPr>
        <w:noProof/>
        <w:kern w:val="0"/>
        <w:szCs w:val="21"/>
      </w:rPr>
      <w:t>5</w:t>
    </w:r>
    <w:r w:rsidR="00184ABD">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84ABD">
      <w:rPr>
        <w:kern w:val="0"/>
        <w:szCs w:val="21"/>
      </w:rPr>
      <w:fldChar w:fldCharType="begin"/>
    </w:r>
    <w:r>
      <w:rPr>
        <w:kern w:val="0"/>
        <w:szCs w:val="21"/>
      </w:rPr>
      <w:instrText xml:space="preserve"> NUMPAGES </w:instrText>
    </w:r>
    <w:r w:rsidR="00184ABD">
      <w:rPr>
        <w:kern w:val="0"/>
        <w:szCs w:val="21"/>
      </w:rPr>
      <w:fldChar w:fldCharType="separate"/>
    </w:r>
    <w:r w:rsidR="005745CF">
      <w:rPr>
        <w:noProof/>
        <w:kern w:val="0"/>
        <w:szCs w:val="21"/>
      </w:rPr>
      <w:t>12</w:t>
    </w:r>
    <w:r w:rsidR="00184ABD">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0E0" w:rsidRDefault="00BD70E0" w:rsidP="00876D65">
      <w:r>
        <w:separator/>
      </w:r>
    </w:p>
  </w:footnote>
  <w:footnote w:type="continuationSeparator" w:id="0">
    <w:p w:rsidR="00BD70E0" w:rsidRDefault="00BD70E0"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4ABD"/>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45CF"/>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1309-E3CB-42EF-880D-4D26F7D7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12</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黄莹</cp:lastModifiedBy>
  <cp:revision>558</cp:revision>
  <dcterms:created xsi:type="dcterms:W3CDTF">2012-10-16T06:07:00Z</dcterms:created>
  <dcterms:modified xsi:type="dcterms:W3CDTF">2015-01-13T08:23:00Z</dcterms:modified>
</cp:coreProperties>
</file>