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交银施罗德稳健配置混合型证券投资基金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2014</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2014</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二〇一五年一月二十二日</w:t>
      </w:r>
    </w:p>
    <w:p w:rsidR="004061AC" w:rsidRPr="00414345" w:rsidRDefault="004061AC" w:rsidP="002D6E3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E31DCF" w:rsidRDefault="002D6E39">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E31DCF" w:rsidRDefault="002D6E39">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2015</w:t>
      </w:r>
      <w:r>
        <w:rPr>
          <w:color w:val="000000"/>
          <w:sz w:val="24"/>
          <w:szCs w:val="24"/>
        </w:rPr>
        <w:t>年</w:t>
      </w:r>
      <w:r>
        <w:rPr>
          <w:color w:val="000000"/>
          <w:sz w:val="24"/>
          <w:szCs w:val="24"/>
        </w:rPr>
        <w:t>1</w:t>
      </w:r>
      <w:r>
        <w:rPr>
          <w:color w:val="000000"/>
          <w:sz w:val="24"/>
          <w:szCs w:val="24"/>
        </w:rPr>
        <w:t>月</w:t>
      </w:r>
      <w:r>
        <w:rPr>
          <w:color w:val="000000"/>
          <w:sz w:val="24"/>
          <w:szCs w:val="24"/>
        </w:rPr>
        <w:t>21</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E31DCF" w:rsidRDefault="002D6E39">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E31DCF" w:rsidRDefault="002D6E39">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E31DCF" w:rsidRDefault="002D6E39">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2014</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2D6E3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AA6513">
        <w:trPr>
          <w:jc w:val="center"/>
        </w:trPr>
        <w:tc>
          <w:tcPr>
            <w:tcW w:w="2835"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479"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交银稳健配置混合</w:t>
            </w:r>
          </w:p>
        </w:tc>
      </w:tr>
      <w:tr w:rsidR="00D94B8D"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479"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519690</w:t>
            </w:r>
          </w:p>
        </w:tc>
      </w:tr>
      <w:tr w:rsidR="001B2F35"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739"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519690</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740"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519691</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2006</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14</w:t>
            </w:r>
            <w:r w:rsidRPr="00414345">
              <w:rPr>
                <w:color w:val="000000"/>
                <w:kern w:val="0"/>
                <w:sz w:val="24"/>
                <w:szCs w:val="24"/>
              </w:rPr>
              <w:t>日</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2,165,344,150.88</w:t>
            </w:r>
            <w:r w:rsidRPr="00414345">
              <w:rPr>
                <w:color w:val="000000"/>
                <w:kern w:val="0"/>
                <w:sz w:val="24"/>
                <w:szCs w:val="24"/>
              </w:rPr>
              <w:t>份</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将坚持并不断深化价值投资的基本理念，充分发挥专业研究与管理能力，根据宏观经济周期和市场环境的变化，自上而下灵活配置资产，自下而上精选证券，有效分散风险，谋求实现基金财产的长期稳定增长。</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把握宏观经济和投资市场的变化趋势，根据经济周期理论动态调整投资组合比例，自上而下配置资产，自下而上精选证券，有效分散风险。</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65%×MSCI</w:t>
            </w:r>
            <w:r w:rsidRPr="00414345">
              <w:rPr>
                <w:color w:val="000000"/>
                <w:kern w:val="0"/>
                <w:sz w:val="24"/>
                <w:szCs w:val="24"/>
              </w:rPr>
              <w:t>中国</w:t>
            </w:r>
            <w:r w:rsidRPr="00414345">
              <w:rPr>
                <w:color w:val="000000"/>
                <w:kern w:val="0"/>
                <w:sz w:val="24"/>
                <w:szCs w:val="24"/>
              </w:rPr>
              <w:t>A</w:t>
            </w:r>
            <w:r w:rsidRPr="00414345">
              <w:rPr>
                <w:color w:val="000000"/>
                <w:kern w:val="0"/>
                <w:sz w:val="24"/>
                <w:szCs w:val="24"/>
              </w:rPr>
              <w:t>股指数</w:t>
            </w:r>
            <w:r w:rsidRPr="00414345">
              <w:rPr>
                <w:color w:val="000000"/>
                <w:kern w:val="0"/>
                <w:sz w:val="24"/>
                <w:szCs w:val="24"/>
              </w:rPr>
              <w:t>+35%×</w:t>
            </w:r>
            <w:r w:rsidRPr="00414345">
              <w:rPr>
                <w:color w:val="000000"/>
                <w:kern w:val="0"/>
                <w:sz w:val="24"/>
                <w:szCs w:val="24"/>
              </w:rPr>
              <w:t>中信标普全债指数</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本基金是一只混合型基金，属于证券投资基金产品中的中等风险品种，本基金的风险与预期收益处于股票型基金和债券型基金之间。</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2D6E3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2D6E39" w:rsidRPr="00414345" w:rsidTr="002D6E39">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(2014</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-2014</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2D6E39" w:rsidRPr="00414345" w:rsidTr="002D6E3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391,819,414.03</w:t>
            </w:r>
          </w:p>
        </w:tc>
      </w:tr>
      <w:tr w:rsidR="002D6E39" w:rsidRPr="00414345" w:rsidTr="002D6E3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309,062,695.28</w:t>
            </w:r>
          </w:p>
        </w:tc>
      </w:tr>
      <w:tr w:rsidR="002D6E39" w:rsidRPr="00414345" w:rsidTr="002D6E3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0.1307</w:t>
            </w:r>
          </w:p>
        </w:tc>
      </w:tr>
      <w:tr w:rsidR="002D6E39" w:rsidRPr="00414345" w:rsidTr="002D6E3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2,795,823,012.49</w:t>
            </w:r>
          </w:p>
        </w:tc>
      </w:tr>
      <w:tr w:rsidR="002D6E39" w:rsidRPr="00414345" w:rsidTr="002D6E39">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1.2912</w:t>
            </w:r>
          </w:p>
        </w:tc>
      </w:tr>
    </w:tbl>
    <w:p w:rsidR="00E31DCF" w:rsidRDefault="002D6E39">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E31DCF">
        <w:trPr>
          <w:jc w:val="center"/>
        </w:trPr>
        <w:tc>
          <w:tcPr>
            <w:tcW w:w="1701" w:type="dxa"/>
            <w:vAlign w:val="center"/>
          </w:tcPr>
          <w:p w:rsidR="00E31DCF" w:rsidRDefault="002D6E39">
            <w:pPr>
              <w:jc w:val="left"/>
            </w:pPr>
            <w:r>
              <w:rPr>
                <w:color w:val="000000"/>
                <w:sz w:val="24"/>
                <w:szCs w:val="24"/>
              </w:rPr>
              <w:t>过去三个月</w:t>
            </w:r>
          </w:p>
        </w:tc>
        <w:tc>
          <w:tcPr>
            <w:tcW w:w="1045" w:type="dxa"/>
            <w:vAlign w:val="center"/>
          </w:tcPr>
          <w:p w:rsidR="00E31DCF" w:rsidRDefault="002D6E39">
            <w:pPr>
              <w:jc w:val="center"/>
            </w:pPr>
            <w:r>
              <w:rPr>
                <w:color w:val="000000"/>
                <w:sz w:val="24"/>
                <w:szCs w:val="24"/>
              </w:rPr>
              <w:t>10.78%</w:t>
            </w:r>
          </w:p>
        </w:tc>
        <w:tc>
          <w:tcPr>
            <w:tcW w:w="1344" w:type="dxa"/>
            <w:vAlign w:val="center"/>
          </w:tcPr>
          <w:p w:rsidR="00E31DCF" w:rsidRDefault="002D6E39">
            <w:pPr>
              <w:jc w:val="center"/>
            </w:pPr>
            <w:r>
              <w:rPr>
                <w:color w:val="000000"/>
                <w:sz w:val="24"/>
                <w:szCs w:val="24"/>
              </w:rPr>
              <w:t>1.73%</w:t>
            </w:r>
          </w:p>
        </w:tc>
        <w:tc>
          <w:tcPr>
            <w:tcW w:w="1194" w:type="dxa"/>
            <w:vAlign w:val="center"/>
          </w:tcPr>
          <w:p w:rsidR="00E31DCF" w:rsidRDefault="002D6E39">
            <w:pPr>
              <w:jc w:val="center"/>
            </w:pPr>
            <w:r>
              <w:rPr>
                <w:color w:val="000000"/>
                <w:sz w:val="24"/>
                <w:szCs w:val="24"/>
              </w:rPr>
              <w:t>24.22%</w:t>
            </w:r>
          </w:p>
        </w:tc>
        <w:tc>
          <w:tcPr>
            <w:tcW w:w="1492" w:type="dxa"/>
            <w:vAlign w:val="center"/>
          </w:tcPr>
          <w:p w:rsidR="00E31DCF" w:rsidRDefault="002D6E39">
            <w:pPr>
              <w:jc w:val="center"/>
            </w:pPr>
            <w:r>
              <w:rPr>
                <w:color w:val="000000"/>
                <w:sz w:val="24"/>
                <w:szCs w:val="24"/>
              </w:rPr>
              <w:t>1.02%</w:t>
            </w:r>
          </w:p>
        </w:tc>
        <w:tc>
          <w:tcPr>
            <w:tcW w:w="1194" w:type="dxa"/>
            <w:vAlign w:val="center"/>
          </w:tcPr>
          <w:p w:rsidR="00E31DCF" w:rsidRDefault="002D6E39">
            <w:pPr>
              <w:jc w:val="center"/>
            </w:pPr>
            <w:r>
              <w:rPr>
                <w:color w:val="000000"/>
                <w:sz w:val="24"/>
                <w:szCs w:val="24"/>
              </w:rPr>
              <w:t>-13.44%</w:t>
            </w:r>
          </w:p>
        </w:tc>
        <w:tc>
          <w:tcPr>
            <w:tcW w:w="898" w:type="dxa"/>
            <w:vAlign w:val="center"/>
          </w:tcPr>
          <w:p w:rsidR="00E31DCF" w:rsidRDefault="002D6E39">
            <w:pPr>
              <w:jc w:val="center"/>
            </w:pPr>
            <w:r>
              <w:rPr>
                <w:color w:val="000000"/>
                <w:sz w:val="24"/>
                <w:szCs w:val="24"/>
              </w:rPr>
              <w:t>0.71%</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2013</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“65%×MSCI</w:t>
      </w:r>
      <w:r w:rsidRPr="00414345">
        <w:rPr>
          <w:color w:val="000000"/>
          <w:sz w:val="24"/>
          <w:szCs w:val="24"/>
        </w:rPr>
        <w:t>中国</w:t>
      </w:r>
      <w:r w:rsidRPr="00414345">
        <w:rPr>
          <w:color w:val="000000"/>
          <w:sz w:val="24"/>
          <w:szCs w:val="24"/>
        </w:rPr>
        <w:t>A</w:t>
      </w:r>
      <w:r w:rsidRPr="00414345">
        <w:rPr>
          <w:color w:val="000000"/>
          <w:sz w:val="24"/>
          <w:szCs w:val="24"/>
        </w:rPr>
        <w:t>股指数</w:t>
      </w:r>
      <w:r w:rsidRPr="00414345">
        <w:rPr>
          <w:color w:val="000000"/>
          <w:sz w:val="24"/>
          <w:szCs w:val="24"/>
        </w:rPr>
        <w:t>+35%×</w:t>
      </w:r>
      <w:r w:rsidRPr="00414345">
        <w:rPr>
          <w:color w:val="000000"/>
          <w:sz w:val="24"/>
          <w:szCs w:val="24"/>
        </w:rPr>
        <w:t>新华巴克莱资本中国全债指数</w:t>
      </w:r>
      <w:r w:rsidRPr="00414345">
        <w:rPr>
          <w:color w:val="000000"/>
          <w:sz w:val="24"/>
          <w:szCs w:val="24"/>
        </w:rPr>
        <w:t>”</w:t>
      </w:r>
      <w:r w:rsidRPr="00414345">
        <w:rPr>
          <w:color w:val="000000"/>
          <w:sz w:val="24"/>
          <w:szCs w:val="24"/>
        </w:rPr>
        <w:t>变更为</w:t>
      </w:r>
      <w:r w:rsidRPr="00414345">
        <w:rPr>
          <w:color w:val="000000"/>
          <w:sz w:val="24"/>
          <w:szCs w:val="24"/>
        </w:rPr>
        <w:t>“65%×MSCI</w:t>
      </w:r>
      <w:r w:rsidRPr="00414345">
        <w:rPr>
          <w:color w:val="000000"/>
          <w:sz w:val="24"/>
          <w:szCs w:val="24"/>
        </w:rPr>
        <w:t>中国</w:t>
      </w:r>
      <w:r w:rsidRPr="00414345">
        <w:rPr>
          <w:color w:val="000000"/>
          <w:sz w:val="24"/>
          <w:szCs w:val="24"/>
        </w:rPr>
        <w:t>A</w:t>
      </w:r>
      <w:r w:rsidRPr="00414345">
        <w:rPr>
          <w:color w:val="000000"/>
          <w:sz w:val="24"/>
          <w:szCs w:val="24"/>
        </w:rPr>
        <w:t>股指数</w:t>
      </w:r>
      <w:r w:rsidRPr="00414345">
        <w:rPr>
          <w:color w:val="000000"/>
          <w:sz w:val="24"/>
          <w:szCs w:val="24"/>
        </w:rPr>
        <w:t>+35%×</w:t>
      </w:r>
      <w:r w:rsidRPr="00414345">
        <w:rPr>
          <w:color w:val="000000"/>
          <w:sz w:val="24"/>
          <w:szCs w:val="24"/>
        </w:rPr>
        <w:t>中信标普全债指数</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2013</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26</w:t>
      </w:r>
      <w:r w:rsidRPr="00414345">
        <w:rPr>
          <w:color w:val="000000"/>
          <w:sz w:val="24"/>
          <w:szCs w:val="24"/>
        </w:rPr>
        <w:t>日发布的《交银施罗德基金管理有限公司关于变更交银施罗德稳健配置混合型证券投资基金业绩比较基准并修改基金合同相关内容的公告》。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lastRenderedPageBreak/>
        <w:t>交银施罗德稳健配置混合型证券投资基金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2006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14</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2014</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2D6E3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E31DCF">
        <w:trPr>
          <w:jc w:val="center"/>
        </w:trPr>
        <w:tc>
          <w:tcPr>
            <w:tcW w:w="846" w:type="dxa"/>
            <w:vAlign w:val="center"/>
          </w:tcPr>
          <w:p w:rsidR="00E31DCF" w:rsidRDefault="002D6E39">
            <w:pPr>
              <w:jc w:val="center"/>
            </w:pPr>
            <w:r>
              <w:rPr>
                <w:color w:val="000000"/>
                <w:sz w:val="24"/>
                <w:szCs w:val="24"/>
              </w:rPr>
              <w:t>唐倩</w:t>
            </w:r>
          </w:p>
        </w:tc>
        <w:tc>
          <w:tcPr>
            <w:tcW w:w="845" w:type="dxa"/>
            <w:vAlign w:val="center"/>
          </w:tcPr>
          <w:p w:rsidR="00E31DCF" w:rsidRDefault="002D6E39">
            <w:pPr>
              <w:jc w:val="center"/>
            </w:pPr>
            <w:r>
              <w:rPr>
                <w:color w:val="000000"/>
                <w:sz w:val="24"/>
                <w:szCs w:val="24"/>
              </w:rPr>
              <w:t>本基金的基金经理，公司权益部副总经理</w:t>
            </w:r>
          </w:p>
        </w:tc>
        <w:tc>
          <w:tcPr>
            <w:tcW w:w="1549" w:type="dxa"/>
            <w:vAlign w:val="center"/>
          </w:tcPr>
          <w:p w:rsidR="00E31DCF" w:rsidRDefault="002D6E39">
            <w:pPr>
              <w:jc w:val="center"/>
            </w:pPr>
            <w:r>
              <w:rPr>
                <w:color w:val="000000"/>
                <w:sz w:val="24"/>
                <w:szCs w:val="24"/>
              </w:rPr>
              <w:t>2013-12-12</w:t>
            </w:r>
          </w:p>
        </w:tc>
        <w:tc>
          <w:tcPr>
            <w:tcW w:w="1548" w:type="dxa"/>
            <w:vAlign w:val="center"/>
          </w:tcPr>
          <w:p w:rsidR="00E31DCF" w:rsidRDefault="002D6E39">
            <w:pPr>
              <w:jc w:val="center"/>
            </w:pPr>
            <w:r>
              <w:rPr>
                <w:color w:val="000000"/>
                <w:sz w:val="24"/>
                <w:szCs w:val="24"/>
              </w:rPr>
              <w:t>-</w:t>
            </w:r>
          </w:p>
        </w:tc>
        <w:tc>
          <w:tcPr>
            <w:tcW w:w="1407" w:type="dxa"/>
            <w:vAlign w:val="center"/>
          </w:tcPr>
          <w:p w:rsidR="00E31DCF" w:rsidRDefault="002D6E39">
            <w:pPr>
              <w:jc w:val="center"/>
            </w:pPr>
            <w:r>
              <w:rPr>
                <w:color w:val="000000"/>
                <w:sz w:val="24"/>
                <w:szCs w:val="24"/>
              </w:rPr>
              <w:t>14</w:t>
            </w:r>
            <w:r>
              <w:rPr>
                <w:color w:val="000000"/>
                <w:sz w:val="24"/>
                <w:szCs w:val="24"/>
              </w:rPr>
              <w:t>年</w:t>
            </w:r>
          </w:p>
        </w:tc>
        <w:tc>
          <w:tcPr>
            <w:tcW w:w="2673" w:type="dxa"/>
            <w:vAlign w:val="center"/>
          </w:tcPr>
          <w:p w:rsidR="00E31DCF" w:rsidRDefault="002D6E39">
            <w:r>
              <w:rPr>
                <w:color w:val="000000"/>
                <w:sz w:val="24"/>
                <w:szCs w:val="24"/>
              </w:rPr>
              <w:t>唐倩女士，</w:t>
            </w:r>
            <w:r>
              <w:rPr>
                <w:color w:val="000000"/>
                <w:sz w:val="24"/>
                <w:szCs w:val="24"/>
              </w:rPr>
              <w:t>CPA</w:t>
            </w:r>
            <w:r>
              <w:rPr>
                <w:color w:val="000000"/>
                <w:sz w:val="24"/>
                <w:szCs w:val="24"/>
              </w:rPr>
              <w:t>，华东师范大学金融学硕士。历任申银万国证券研究所分析师，中银国际有限公司分析师，香港雷曼兄弟证券公司研究员，上投摩根基金管理有限公司研究部总监、基金经理。其中</w:t>
            </w:r>
            <w:r>
              <w:rPr>
                <w:color w:val="000000"/>
                <w:sz w:val="24"/>
                <w:szCs w:val="24"/>
              </w:rPr>
              <w:t>2011</w:t>
            </w:r>
            <w:r>
              <w:rPr>
                <w:color w:val="000000"/>
                <w:sz w:val="24"/>
                <w:szCs w:val="24"/>
              </w:rPr>
              <w:t>年</w:t>
            </w:r>
            <w:r>
              <w:rPr>
                <w:color w:val="000000"/>
                <w:sz w:val="24"/>
                <w:szCs w:val="24"/>
              </w:rPr>
              <w:t>4</w:t>
            </w:r>
            <w:r>
              <w:rPr>
                <w:color w:val="000000"/>
                <w:sz w:val="24"/>
                <w:szCs w:val="24"/>
              </w:rPr>
              <w:t>月</w:t>
            </w:r>
            <w:r>
              <w:rPr>
                <w:color w:val="000000"/>
                <w:sz w:val="24"/>
                <w:szCs w:val="24"/>
              </w:rPr>
              <w:t>28</w:t>
            </w:r>
            <w:r>
              <w:rPr>
                <w:color w:val="000000"/>
                <w:sz w:val="24"/>
                <w:szCs w:val="24"/>
              </w:rPr>
              <w:t>日至</w:t>
            </w:r>
            <w:r>
              <w:rPr>
                <w:color w:val="000000"/>
                <w:sz w:val="24"/>
                <w:szCs w:val="24"/>
              </w:rPr>
              <w:t>2013</w:t>
            </w:r>
            <w:r>
              <w:rPr>
                <w:color w:val="000000"/>
                <w:sz w:val="24"/>
                <w:szCs w:val="24"/>
              </w:rPr>
              <w:t>年</w:t>
            </w:r>
            <w:r>
              <w:rPr>
                <w:color w:val="000000"/>
                <w:sz w:val="24"/>
                <w:szCs w:val="24"/>
              </w:rPr>
              <w:t>7</w:t>
            </w:r>
            <w:r>
              <w:rPr>
                <w:color w:val="000000"/>
                <w:sz w:val="24"/>
                <w:szCs w:val="24"/>
              </w:rPr>
              <w:t>月</w:t>
            </w:r>
            <w:r>
              <w:rPr>
                <w:color w:val="000000"/>
                <w:sz w:val="24"/>
                <w:szCs w:val="24"/>
              </w:rPr>
              <w:t>8</w:t>
            </w:r>
            <w:r>
              <w:rPr>
                <w:color w:val="000000"/>
                <w:sz w:val="24"/>
                <w:szCs w:val="24"/>
              </w:rPr>
              <w:t>日担任上投摩根成长先锋基金经理。</w:t>
            </w:r>
            <w:r>
              <w:rPr>
                <w:color w:val="000000"/>
                <w:sz w:val="24"/>
                <w:szCs w:val="24"/>
              </w:rPr>
              <w:t>2013</w:t>
            </w:r>
            <w:r>
              <w:rPr>
                <w:color w:val="000000"/>
                <w:sz w:val="24"/>
                <w:szCs w:val="24"/>
              </w:rPr>
              <w:t>年加入交银施罗德基金管理有限公司。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E31DCF" w:rsidRDefault="002D6E39">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E31DCF" w:rsidRDefault="002D6E39">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E31DCF" w:rsidRDefault="002D6E39">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w:t>
      </w:r>
      <w:r w:rsidRPr="00414345">
        <w:rPr>
          <w:color w:val="000000"/>
          <w:sz w:val="24"/>
          <w:szCs w:val="24"/>
        </w:rPr>
        <w:t>,</w:t>
      </w:r>
      <w:r w:rsidRPr="00414345">
        <w:rPr>
          <w:color w:val="000000"/>
          <w:sz w:val="24"/>
          <w:szCs w:val="24"/>
        </w:rPr>
        <w:t>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E31DCF" w:rsidRDefault="002D6E39">
      <w:pPr>
        <w:spacing w:before="29" w:line="288" w:lineRule="auto"/>
        <w:ind w:firstLineChars="200" w:firstLine="480"/>
        <w:rPr>
          <w:color w:val="000000"/>
          <w:sz w:val="24"/>
          <w:szCs w:val="24"/>
        </w:rPr>
      </w:pPr>
      <w:r>
        <w:rPr>
          <w:color w:val="000000"/>
          <w:sz w:val="24"/>
          <w:szCs w:val="24"/>
        </w:rPr>
        <w:t>四季度，本基金涨幅为</w:t>
      </w:r>
      <w:r>
        <w:rPr>
          <w:color w:val="000000"/>
          <w:sz w:val="24"/>
          <w:szCs w:val="24"/>
        </w:rPr>
        <w:t>10.78%</w:t>
      </w:r>
      <w:r>
        <w:rPr>
          <w:color w:val="000000"/>
          <w:sz w:val="24"/>
          <w:szCs w:val="24"/>
        </w:rPr>
        <w:t>，但未能跑赢沪深</w:t>
      </w:r>
      <w:r>
        <w:rPr>
          <w:color w:val="000000"/>
          <w:sz w:val="24"/>
          <w:szCs w:val="24"/>
        </w:rPr>
        <w:t>300</w:t>
      </w:r>
      <w:r>
        <w:rPr>
          <w:color w:val="000000"/>
          <w:sz w:val="24"/>
          <w:szCs w:val="24"/>
        </w:rPr>
        <w:t>指数。主要原因是对于</w:t>
      </w:r>
      <w:r>
        <w:rPr>
          <w:color w:val="000000"/>
          <w:sz w:val="24"/>
          <w:szCs w:val="24"/>
        </w:rPr>
        <w:t>11</w:t>
      </w:r>
      <w:r>
        <w:rPr>
          <w:color w:val="000000"/>
          <w:sz w:val="24"/>
          <w:szCs w:val="24"/>
        </w:rPr>
        <w:t>月底以来由降息所引发的周期股行情始料未及。在降息之前，市场的主线在于以互联网、新经济主导的新兴产业，本基金也配置了较多互联网战略实施较为成功的公司，包括互联网金融、互联网电商，取得了不错收益。但是</w:t>
      </w:r>
      <w:r>
        <w:rPr>
          <w:color w:val="000000"/>
          <w:sz w:val="24"/>
          <w:szCs w:val="24"/>
        </w:rPr>
        <w:t>11</w:t>
      </w:r>
      <w:r>
        <w:rPr>
          <w:color w:val="000000"/>
          <w:sz w:val="24"/>
          <w:szCs w:val="24"/>
        </w:rPr>
        <w:t>月底降息后，市场爆发了一轮迅猛的以低估值周期和蓝筹股为主导的行情。究其原因，可能是由于非标业务发展的受限，社会资金对于大类资产的配置需要有其他蓄水池，加之股市承担了直接融资、改革转型等诸多任务，鼓励资金流入也成顺水推舟之势。</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2015</w:t>
      </w:r>
      <w:r w:rsidRPr="00414345">
        <w:rPr>
          <w:color w:val="000000"/>
          <w:sz w:val="24"/>
          <w:szCs w:val="24"/>
        </w:rPr>
        <w:t>年一季度，可能低价蓝筹的重估仍然会继续，新兴成长股票将处于泡沫挤出的过程。但在大幅下挫的成长股中，不乏质地优良的公司，我们在策略上将以均衡配置为主。就蓝筹股而言，最终需要看实体经济是否有好转迹象，可能这种迹象并不是短期能够看到。因此，在估值修复到一定程度后，蓝筹股和成长股可能机会互现。</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2014</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1.2912</w:t>
      </w:r>
      <w:r w:rsidRPr="00414345">
        <w:rPr>
          <w:color w:val="000000"/>
          <w:sz w:val="24"/>
          <w:szCs w:val="24"/>
        </w:rPr>
        <w:t>元，本报告期份额净值增长率为</w:t>
      </w:r>
      <w:r w:rsidRPr="00414345">
        <w:rPr>
          <w:color w:val="000000"/>
          <w:sz w:val="24"/>
          <w:szCs w:val="24"/>
        </w:rPr>
        <w:t>10.78%</w:t>
      </w:r>
      <w:r w:rsidRPr="00414345">
        <w:rPr>
          <w:color w:val="000000"/>
          <w:sz w:val="24"/>
          <w:szCs w:val="24"/>
        </w:rPr>
        <w:t>，同期业绩比较基准增长率为</w:t>
      </w:r>
      <w:r w:rsidRPr="00414345">
        <w:rPr>
          <w:color w:val="000000"/>
          <w:sz w:val="24"/>
          <w:szCs w:val="24"/>
        </w:rPr>
        <w:t>24.22%</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002D6E39">
        <w:rPr>
          <w:rFonts w:hint="eastAsia"/>
          <w:b/>
          <w:color w:val="000000"/>
          <w:kern w:val="0"/>
          <w:sz w:val="24"/>
        </w:rPr>
        <w:t xml:space="preserve"> </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2D6E3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2,319,281,332.69</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82.14</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2,319,281,332.69</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82.14</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62,153,000.00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2.20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62,153,000.00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2.20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237,872,916.81</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8.42</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178,003,445.66</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6.30</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26,364,557.64</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0.93</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2,823,675,252.80</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27,470,070.77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0.98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49,960.96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531,326,815.74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28,312,484.99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2,514,586.20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95,108,817.61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3.40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412,026,374.92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14.74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422,092,109.35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15.10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657,437,852.67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23.52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859,178.88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4,130,535.75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0.15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137,281,719.44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4.91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167,952.21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502,873.20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2,319,281,332.69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82.96</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E31DCF">
        <w:trPr>
          <w:jc w:val="center"/>
        </w:trPr>
        <w:tc>
          <w:tcPr>
            <w:tcW w:w="855" w:type="dxa"/>
            <w:vAlign w:val="center"/>
          </w:tcPr>
          <w:p w:rsidR="00E31DCF" w:rsidRDefault="002D6E39">
            <w:pPr>
              <w:jc w:val="center"/>
            </w:pPr>
            <w:r>
              <w:rPr>
                <w:color w:val="000000"/>
                <w:sz w:val="24"/>
                <w:szCs w:val="24"/>
              </w:rPr>
              <w:t>1</w:t>
            </w:r>
          </w:p>
        </w:tc>
        <w:tc>
          <w:tcPr>
            <w:tcW w:w="1334" w:type="dxa"/>
            <w:vAlign w:val="center"/>
          </w:tcPr>
          <w:p w:rsidR="00E31DCF" w:rsidRDefault="002D6E39">
            <w:pPr>
              <w:jc w:val="center"/>
            </w:pPr>
            <w:r>
              <w:rPr>
                <w:color w:val="000000"/>
                <w:sz w:val="24"/>
                <w:szCs w:val="24"/>
              </w:rPr>
              <w:t>600016</w:t>
            </w:r>
          </w:p>
        </w:tc>
        <w:tc>
          <w:tcPr>
            <w:tcW w:w="1777" w:type="dxa"/>
            <w:vAlign w:val="center"/>
          </w:tcPr>
          <w:p w:rsidR="00E31DCF" w:rsidRDefault="002D6E39">
            <w:pPr>
              <w:jc w:val="center"/>
            </w:pPr>
            <w:r>
              <w:rPr>
                <w:color w:val="000000"/>
                <w:sz w:val="24"/>
                <w:szCs w:val="24"/>
              </w:rPr>
              <w:t>民生银行</w:t>
            </w:r>
          </w:p>
        </w:tc>
        <w:tc>
          <w:tcPr>
            <w:tcW w:w="1334" w:type="dxa"/>
            <w:vAlign w:val="center"/>
          </w:tcPr>
          <w:p w:rsidR="00E31DCF" w:rsidRDefault="002D6E39">
            <w:pPr>
              <w:jc w:val="right"/>
            </w:pPr>
            <w:r>
              <w:rPr>
                <w:color w:val="000000"/>
                <w:sz w:val="24"/>
                <w:szCs w:val="24"/>
              </w:rPr>
              <w:t>13,137,191</w:t>
            </w:r>
          </w:p>
        </w:tc>
        <w:tc>
          <w:tcPr>
            <w:tcW w:w="1924" w:type="dxa"/>
            <w:vAlign w:val="center"/>
          </w:tcPr>
          <w:p w:rsidR="00E31DCF" w:rsidRDefault="002D6E39">
            <w:pPr>
              <w:jc w:val="right"/>
            </w:pPr>
            <w:r>
              <w:rPr>
                <w:color w:val="000000"/>
                <w:sz w:val="24"/>
                <w:szCs w:val="24"/>
              </w:rPr>
              <w:t>142,932,638.08</w:t>
            </w:r>
          </w:p>
        </w:tc>
        <w:tc>
          <w:tcPr>
            <w:tcW w:w="1644" w:type="dxa"/>
            <w:vAlign w:val="center"/>
          </w:tcPr>
          <w:p w:rsidR="00E31DCF" w:rsidRDefault="002D6E39">
            <w:pPr>
              <w:jc w:val="right"/>
            </w:pPr>
            <w:r>
              <w:rPr>
                <w:color w:val="000000"/>
                <w:sz w:val="24"/>
                <w:szCs w:val="24"/>
              </w:rPr>
              <w:t>5.11</w:t>
            </w:r>
          </w:p>
        </w:tc>
      </w:tr>
      <w:tr w:rsidR="00E31DCF">
        <w:trPr>
          <w:jc w:val="center"/>
        </w:trPr>
        <w:tc>
          <w:tcPr>
            <w:tcW w:w="855" w:type="dxa"/>
            <w:vAlign w:val="center"/>
          </w:tcPr>
          <w:p w:rsidR="00E31DCF" w:rsidRDefault="002D6E39">
            <w:pPr>
              <w:jc w:val="center"/>
            </w:pPr>
            <w:r>
              <w:rPr>
                <w:color w:val="000000"/>
                <w:sz w:val="24"/>
                <w:szCs w:val="24"/>
              </w:rPr>
              <w:t>2</w:t>
            </w:r>
          </w:p>
        </w:tc>
        <w:tc>
          <w:tcPr>
            <w:tcW w:w="1334" w:type="dxa"/>
            <w:vAlign w:val="center"/>
          </w:tcPr>
          <w:p w:rsidR="00E31DCF" w:rsidRDefault="002D6E39">
            <w:pPr>
              <w:jc w:val="center"/>
            </w:pPr>
            <w:r>
              <w:rPr>
                <w:color w:val="000000"/>
                <w:sz w:val="24"/>
                <w:szCs w:val="24"/>
              </w:rPr>
              <w:t>000671</w:t>
            </w:r>
          </w:p>
        </w:tc>
        <w:tc>
          <w:tcPr>
            <w:tcW w:w="1777" w:type="dxa"/>
            <w:vAlign w:val="center"/>
          </w:tcPr>
          <w:p w:rsidR="00E31DCF" w:rsidRDefault="002D6E39">
            <w:pPr>
              <w:jc w:val="center"/>
            </w:pPr>
            <w:r>
              <w:rPr>
                <w:color w:val="000000"/>
                <w:sz w:val="24"/>
                <w:szCs w:val="24"/>
              </w:rPr>
              <w:t>阳</w:t>
            </w:r>
            <w:r>
              <w:rPr>
                <w:color w:val="000000"/>
                <w:sz w:val="24"/>
                <w:szCs w:val="24"/>
              </w:rPr>
              <w:t xml:space="preserve"> </w:t>
            </w:r>
            <w:r>
              <w:rPr>
                <w:color w:val="000000"/>
                <w:sz w:val="24"/>
                <w:szCs w:val="24"/>
              </w:rPr>
              <w:t>光</w:t>
            </w:r>
            <w:r>
              <w:rPr>
                <w:color w:val="000000"/>
                <w:sz w:val="24"/>
                <w:szCs w:val="24"/>
              </w:rPr>
              <w:t xml:space="preserve"> </w:t>
            </w:r>
            <w:r>
              <w:rPr>
                <w:color w:val="000000"/>
                <w:sz w:val="24"/>
                <w:szCs w:val="24"/>
              </w:rPr>
              <w:t>城</w:t>
            </w:r>
          </w:p>
        </w:tc>
        <w:tc>
          <w:tcPr>
            <w:tcW w:w="1334" w:type="dxa"/>
            <w:vAlign w:val="center"/>
          </w:tcPr>
          <w:p w:rsidR="00E31DCF" w:rsidRDefault="002D6E39">
            <w:pPr>
              <w:jc w:val="right"/>
            </w:pPr>
            <w:r>
              <w:rPr>
                <w:color w:val="000000"/>
                <w:sz w:val="24"/>
                <w:szCs w:val="24"/>
              </w:rPr>
              <w:t>10,024,166</w:t>
            </w:r>
          </w:p>
        </w:tc>
        <w:tc>
          <w:tcPr>
            <w:tcW w:w="1924" w:type="dxa"/>
            <w:vAlign w:val="center"/>
          </w:tcPr>
          <w:p w:rsidR="00E31DCF" w:rsidRDefault="002D6E39">
            <w:pPr>
              <w:jc w:val="right"/>
            </w:pPr>
            <w:r>
              <w:rPr>
                <w:color w:val="000000"/>
                <w:sz w:val="24"/>
                <w:szCs w:val="24"/>
              </w:rPr>
              <w:t>139,035,182.42</w:t>
            </w:r>
          </w:p>
        </w:tc>
        <w:tc>
          <w:tcPr>
            <w:tcW w:w="1644" w:type="dxa"/>
            <w:vAlign w:val="center"/>
          </w:tcPr>
          <w:p w:rsidR="00E31DCF" w:rsidRDefault="002D6E39">
            <w:pPr>
              <w:jc w:val="right"/>
            </w:pPr>
            <w:r>
              <w:rPr>
                <w:color w:val="000000"/>
                <w:sz w:val="24"/>
                <w:szCs w:val="24"/>
              </w:rPr>
              <w:t>4.97</w:t>
            </w:r>
          </w:p>
        </w:tc>
      </w:tr>
      <w:tr w:rsidR="00E31DCF">
        <w:trPr>
          <w:jc w:val="center"/>
        </w:trPr>
        <w:tc>
          <w:tcPr>
            <w:tcW w:w="855" w:type="dxa"/>
            <w:vAlign w:val="center"/>
          </w:tcPr>
          <w:p w:rsidR="00E31DCF" w:rsidRDefault="002D6E39">
            <w:pPr>
              <w:jc w:val="center"/>
            </w:pPr>
            <w:r>
              <w:rPr>
                <w:color w:val="000000"/>
                <w:sz w:val="24"/>
                <w:szCs w:val="24"/>
              </w:rPr>
              <w:t>3</w:t>
            </w:r>
          </w:p>
        </w:tc>
        <w:tc>
          <w:tcPr>
            <w:tcW w:w="1334" w:type="dxa"/>
            <w:vAlign w:val="center"/>
          </w:tcPr>
          <w:p w:rsidR="00E31DCF" w:rsidRDefault="002D6E39">
            <w:pPr>
              <w:jc w:val="center"/>
            </w:pPr>
            <w:r>
              <w:rPr>
                <w:color w:val="000000"/>
                <w:sz w:val="24"/>
                <w:szCs w:val="24"/>
              </w:rPr>
              <w:t>600763</w:t>
            </w:r>
          </w:p>
        </w:tc>
        <w:tc>
          <w:tcPr>
            <w:tcW w:w="1777" w:type="dxa"/>
            <w:vAlign w:val="center"/>
          </w:tcPr>
          <w:p w:rsidR="00E31DCF" w:rsidRDefault="002D6E39">
            <w:pPr>
              <w:jc w:val="center"/>
            </w:pPr>
            <w:r>
              <w:rPr>
                <w:color w:val="000000"/>
                <w:sz w:val="24"/>
                <w:szCs w:val="24"/>
              </w:rPr>
              <w:t>通策医疗</w:t>
            </w:r>
          </w:p>
        </w:tc>
        <w:tc>
          <w:tcPr>
            <w:tcW w:w="1334" w:type="dxa"/>
            <w:vAlign w:val="center"/>
          </w:tcPr>
          <w:p w:rsidR="00E31DCF" w:rsidRDefault="002D6E39">
            <w:pPr>
              <w:jc w:val="right"/>
            </w:pPr>
            <w:r>
              <w:rPr>
                <w:color w:val="000000"/>
                <w:sz w:val="24"/>
                <w:szCs w:val="24"/>
              </w:rPr>
              <w:t>2,861,228</w:t>
            </w:r>
          </w:p>
        </w:tc>
        <w:tc>
          <w:tcPr>
            <w:tcW w:w="1924" w:type="dxa"/>
            <w:vAlign w:val="center"/>
          </w:tcPr>
          <w:p w:rsidR="00E31DCF" w:rsidRDefault="002D6E39">
            <w:pPr>
              <w:jc w:val="right"/>
            </w:pPr>
            <w:r>
              <w:rPr>
                <w:color w:val="000000"/>
                <w:sz w:val="24"/>
                <w:szCs w:val="24"/>
              </w:rPr>
              <w:t>137,281,719.44</w:t>
            </w:r>
          </w:p>
        </w:tc>
        <w:tc>
          <w:tcPr>
            <w:tcW w:w="1644" w:type="dxa"/>
            <w:vAlign w:val="center"/>
          </w:tcPr>
          <w:p w:rsidR="00E31DCF" w:rsidRDefault="002D6E39">
            <w:pPr>
              <w:jc w:val="right"/>
            </w:pPr>
            <w:r>
              <w:rPr>
                <w:color w:val="000000"/>
                <w:sz w:val="24"/>
                <w:szCs w:val="24"/>
              </w:rPr>
              <w:t>4.91</w:t>
            </w:r>
          </w:p>
        </w:tc>
      </w:tr>
      <w:tr w:rsidR="00E31DCF">
        <w:trPr>
          <w:jc w:val="center"/>
        </w:trPr>
        <w:tc>
          <w:tcPr>
            <w:tcW w:w="855" w:type="dxa"/>
            <w:vAlign w:val="center"/>
          </w:tcPr>
          <w:p w:rsidR="00E31DCF" w:rsidRDefault="002D6E39">
            <w:pPr>
              <w:jc w:val="center"/>
            </w:pPr>
            <w:r>
              <w:rPr>
                <w:color w:val="000000"/>
                <w:sz w:val="24"/>
                <w:szCs w:val="24"/>
              </w:rPr>
              <w:t>4</w:t>
            </w:r>
          </w:p>
        </w:tc>
        <w:tc>
          <w:tcPr>
            <w:tcW w:w="1334" w:type="dxa"/>
            <w:vAlign w:val="center"/>
          </w:tcPr>
          <w:p w:rsidR="00E31DCF" w:rsidRDefault="002D6E39">
            <w:pPr>
              <w:jc w:val="center"/>
            </w:pPr>
            <w:r>
              <w:rPr>
                <w:color w:val="000000"/>
                <w:sz w:val="24"/>
                <w:szCs w:val="24"/>
              </w:rPr>
              <w:t>002568</w:t>
            </w:r>
          </w:p>
        </w:tc>
        <w:tc>
          <w:tcPr>
            <w:tcW w:w="1777" w:type="dxa"/>
            <w:vAlign w:val="center"/>
          </w:tcPr>
          <w:p w:rsidR="00E31DCF" w:rsidRDefault="002D6E39">
            <w:pPr>
              <w:jc w:val="center"/>
            </w:pPr>
            <w:r>
              <w:rPr>
                <w:color w:val="000000"/>
                <w:sz w:val="24"/>
                <w:szCs w:val="24"/>
              </w:rPr>
              <w:t>百润股份</w:t>
            </w:r>
          </w:p>
        </w:tc>
        <w:tc>
          <w:tcPr>
            <w:tcW w:w="1334" w:type="dxa"/>
            <w:vAlign w:val="center"/>
          </w:tcPr>
          <w:p w:rsidR="00E31DCF" w:rsidRDefault="002D6E39">
            <w:pPr>
              <w:jc w:val="right"/>
            </w:pPr>
            <w:r>
              <w:rPr>
                <w:color w:val="000000"/>
                <w:sz w:val="24"/>
                <w:szCs w:val="24"/>
              </w:rPr>
              <w:t>3,277,821</w:t>
            </w:r>
          </w:p>
        </w:tc>
        <w:tc>
          <w:tcPr>
            <w:tcW w:w="1924" w:type="dxa"/>
            <w:vAlign w:val="center"/>
          </w:tcPr>
          <w:p w:rsidR="00E31DCF" w:rsidRDefault="002D6E39">
            <w:pPr>
              <w:jc w:val="right"/>
            </w:pPr>
            <w:r>
              <w:rPr>
                <w:color w:val="000000"/>
                <w:sz w:val="24"/>
                <w:szCs w:val="24"/>
              </w:rPr>
              <w:t>133,472,871.12</w:t>
            </w:r>
          </w:p>
        </w:tc>
        <w:tc>
          <w:tcPr>
            <w:tcW w:w="1644" w:type="dxa"/>
            <w:vAlign w:val="center"/>
          </w:tcPr>
          <w:p w:rsidR="00E31DCF" w:rsidRDefault="002D6E39">
            <w:pPr>
              <w:jc w:val="right"/>
            </w:pPr>
            <w:r>
              <w:rPr>
                <w:color w:val="000000"/>
                <w:sz w:val="24"/>
                <w:szCs w:val="24"/>
              </w:rPr>
              <w:t>4.77</w:t>
            </w:r>
          </w:p>
        </w:tc>
      </w:tr>
      <w:tr w:rsidR="00E31DCF">
        <w:trPr>
          <w:jc w:val="center"/>
        </w:trPr>
        <w:tc>
          <w:tcPr>
            <w:tcW w:w="855" w:type="dxa"/>
            <w:vAlign w:val="center"/>
          </w:tcPr>
          <w:p w:rsidR="00E31DCF" w:rsidRDefault="002D6E39">
            <w:pPr>
              <w:jc w:val="center"/>
            </w:pPr>
            <w:r>
              <w:rPr>
                <w:color w:val="000000"/>
                <w:sz w:val="24"/>
                <w:szCs w:val="24"/>
              </w:rPr>
              <w:t>5</w:t>
            </w:r>
          </w:p>
        </w:tc>
        <w:tc>
          <w:tcPr>
            <w:tcW w:w="1334" w:type="dxa"/>
            <w:vAlign w:val="center"/>
          </w:tcPr>
          <w:p w:rsidR="00E31DCF" w:rsidRDefault="002D6E39">
            <w:pPr>
              <w:jc w:val="center"/>
            </w:pPr>
            <w:r>
              <w:rPr>
                <w:color w:val="000000"/>
                <w:sz w:val="24"/>
                <w:szCs w:val="24"/>
              </w:rPr>
              <w:t>600376</w:t>
            </w:r>
          </w:p>
        </w:tc>
        <w:tc>
          <w:tcPr>
            <w:tcW w:w="1777" w:type="dxa"/>
            <w:vAlign w:val="center"/>
          </w:tcPr>
          <w:p w:rsidR="00E31DCF" w:rsidRDefault="002D6E39">
            <w:pPr>
              <w:jc w:val="center"/>
            </w:pPr>
            <w:r>
              <w:rPr>
                <w:color w:val="000000"/>
                <w:sz w:val="24"/>
                <w:szCs w:val="24"/>
              </w:rPr>
              <w:t>首开股份</w:t>
            </w:r>
          </w:p>
        </w:tc>
        <w:tc>
          <w:tcPr>
            <w:tcW w:w="1334" w:type="dxa"/>
            <w:vAlign w:val="center"/>
          </w:tcPr>
          <w:p w:rsidR="00E31DCF" w:rsidRDefault="002D6E39">
            <w:pPr>
              <w:jc w:val="right"/>
            </w:pPr>
            <w:r>
              <w:rPr>
                <w:color w:val="000000"/>
                <w:sz w:val="24"/>
                <w:szCs w:val="24"/>
              </w:rPr>
              <w:t>12,119,815</w:t>
            </w:r>
          </w:p>
        </w:tc>
        <w:tc>
          <w:tcPr>
            <w:tcW w:w="1924" w:type="dxa"/>
            <w:vAlign w:val="center"/>
          </w:tcPr>
          <w:p w:rsidR="00E31DCF" w:rsidRDefault="002D6E39">
            <w:pPr>
              <w:jc w:val="right"/>
            </w:pPr>
            <w:r>
              <w:rPr>
                <w:color w:val="000000"/>
                <w:sz w:val="24"/>
                <w:szCs w:val="24"/>
              </w:rPr>
              <w:t>122,167,735.20</w:t>
            </w:r>
          </w:p>
        </w:tc>
        <w:tc>
          <w:tcPr>
            <w:tcW w:w="1644" w:type="dxa"/>
            <w:vAlign w:val="center"/>
          </w:tcPr>
          <w:p w:rsidR="00E31DCF" w:rsidRDefault="002D6E39">
            <w:pPr>
              <w:jc w:val="right"/>
            </w:pPr>
            <w:r>
              <w:rPr>
                <w:color w:val="000000"/>
                <w:sz w:val="24"/>
                <w:szCs w:val="24"/>
              </w:rPr>
              <w:t>4.37</w:t>
            </w:r>
          </w:p>
        </w:tc>
      </w:tr>
      <w:tr w:rsidR="00E31DCF">
        <w:trPr>
          <w:jc w:val="center"/>
        </w:trPr>
        <w:tc>
          <w:tcPr>
            <w:tcW w:w="855" w:type="dxa"/>
            <w:vAlign w:val="center"/>
          </w:tcPr>
          <w:p w:rsidR="00E31DCF" w:rsidRDefault="002D6E39">
            <w:pPr>
              <w:jc w:val="center"/>
            </w:pPr>
            <w:r>
              <w:rPr>
                <w:color w:val="000000"/>
                <w:sz w:val="24"/>
                <w:szCs w:val="24"/>
              </w:rPr>
              <w:t>6</w:t>
            </w:r>
          </w:p>
        </w:tc>
        <w:tc>
          <w:tcPr>
            <w:tcW w:w="1334" w:type="dxa"/>
            <w:vAlign w:val="center"/>
          </w:tcPr>
          <w:p w:rsidR="00E31DCF" w:rsidRDefault="002D6E39">
            <w:pPr>
              <w:jc w:val="center"/>
            </w:pPr>
            <w:r>
              <w:rPr>
                <w:color w:val="000000"/>
                <w:sz w:val="24"/>
                <w:szCs w:val="24"/>
              </w:rPr>
              <w:t>300104</w:t>
            </w:r>
          </w:p>
        </w:tc>
        <w:tc>
          <w:tcPr>
            <w:tcW w:w="1777" w:type="dxa"/>
            <w:vAlign w:val="center"/>
          </w:tcPr>
          <w:p w:rsidR="00E31DCF" w:rsidRDefault="002D6E39">
            <w:pPr>
              <w:jc w:val="center"/>
            </w:pPr>
            <w:r>
              <w:rPr>
                <w:color w:val="000000"/>
                <w:sz w:val="24"/>
                <w:szCs w:val="24"/>
              </w:rPr>
              <w:t>乐视网</w:t>
            </w:r>
          </w:p>
        </w:tc>
        <w:tc>
          <w:tcPr>
            <w:tcW w:w="1334" w:type="dxa"/>
            <w:vAlign w:val="center"/>
          </w:tcPr>
          <w:p w:rsidR="00E31DCF" w:rsidRDefault="002D6E39">
            <w:pPr>
              <w:jc w:val="right"/>
            </w:pPr>
            <w:r>
              <w:rPr>
                <w:color w:val="000000"/>
                <w:sz w:val="24"/>
                <w:szCs w:val="24"/>
              </w:rPr>
              <w:t>3,763,259</w:t>
            </w:r>
          </w:p>
        </w:tc>
        <w:tc>
          <w:tcPr>
            <w:tcW w:w="1924" w:type="dxa"/>
            <w:vAlign w:val="center"/>
          </w:tcPr>
          <w:p w:rsidR="00E31DCF" w:rsidRDefault="002D6E39">
            <w:pPr>
              <w:jc w:val="right"/>
            </w:pPr>
            <w:r>
              <w:rPr>
                <w:color w:val="000000"/>
                <w:sz w:val="24"/>
                <w:szCs w:val="24"/>
              </w:rPr>
              <w:t>122,080,121.96</w:t>
            </w:r>
          </w:p>
        </w:tc>
        <w:tc>
          <w:tcPr>
            <w:tcW w:w="1644" w:type="dxa"/>
            <w:vAlign w:val="center"/>
          </w:tcPr>
          <w:p w:rsidR="00E31DCF" w:rsidRDefault="002D6E39">
            <w:pPr>
              <w:jc w:val="right"/>
            </w:pPr>
            <w:r>
              <w:rPr>
                <w:color w:val="000000"/>
                <w:sz w:val="24"/>
                <w:szCs w:val="24"/>
              </w:rPr>
              <w:t>4.37</w:t>
            </w:r>
          </w:p>
        </w:tc>
      </w:tr>
      <w:tr w:rsidR="00E31DCF">
        <w:trPr>
          <w:jc w:val="center"/>
        </w:trPr>
        <w:tc>
          <w:tcPr>
            <w:tcW w:w="855" w:type="dxa"/>
            <w:vAlign w:val="center"/>
          </w:tcPr>
          <w:p w:rsidR="00E31DCF" w:rsidRDefault="002D6E39">
            <w:pPr>
              <w:jc w:val="center"/>
            </w:pPr>
            <w:r>
              <w:rPr>
                <w:color w:val="000000"/>
                <w:sz w:val="24"/>
                <w:szCs w:val="24"/>
              </w:rPr>
              <w:t>7</w:t>
            </w:r>
          </w:p>
        </w:tc>
        <w:tc>
          <w:tcPr>
            <w:tcW w:w="1334" w:type="dxa"/>
            <w:vAlign w:val="center"/>
          </w:tcPr>
          <w:p w:rsidR="00E31DCF" w:rsidRDefault="002D6E39">
            <w:pPr>
              <w:jc w:val="center"/>
            </w:pPr>
            <w:r>
              <w:rPr>
                <w:color w:val="000000"/>
                <w:sz w:val="24"/>
                <w:szCs w:val="24"/>
              </w:rPr>
              <w:t>000024</w:t>
            </w:r>
          </w:p>
        </w:tc>
        <w:tc>
          <w:tcPr>
            <w:tcW w:w="1777" w:type="dxa"/>
            <w:vAlign w:val="center"/>
          </w:tcPr>
          <w:p w:rsidR="00E31DCF" w:rsidRDefault="002D6E39">
            <w:pPr>
              <w:jc w:val="center"/>
            </w:pPr>
            <w:r>
              <w:rPr>
                <w:color w:val="000000"/>
                <w:sz w:val="24"/>
                <w:szCs w:val="24"/>
              </w:rPr>
              <w:t>招商地产</w:t>
            </w:r>
          </w:p>
        </w:tc>
        <w:tc>
          <w:tcPr>
            <w:tcW w:w="1334" w:type="dxa"/>
            <w:vAlign w:val="center"/>
          </w:tcPr>
          <w:p w:rsidR="00E31DCF" w:rsidRDefault="002D6E39">
            <w:pPr>
              <w:jc w:val="right"/>
            </w:pPr>
            <w:r>
              <w:rPr>
                <w:color w:val="000000"/>
                <w:sz w:val="24"/>
                <w:szCs w:val="24"/>
              </w:rPr>
              <w:t>4,318,278</w:t>
            </w:r>
          </w:p>
        </w:tc>
        <w:tc>
          <w:tcPr>
            <w:tcW w:w="1924" w:type="dxa"/>
            <w:vAlign w:val="center"/>
          </w:tcPr>
          <w:p w:rsidR="00E31DCF" w:rsidRDefault="002D6E39">
            <w:pPr>
              <w:jc w:val="right"/>
            </w:pPr>
            <w:r>
              <w:rPr>
                <w:color w:val="000000"/>
                <w:sz w:val="24"/>
                <w:szCs w:val="24"/>
              </w:rPr>
              <w:t>113,959,356.42</w:t>
            </w:r>
          </w:p>
        </w:tc>
        <w:tc>
          <w:tcPr>
            <w:tcW w:w="1644" w:type="dxa"/>
            <w:vAlign w:val="center"/>
          </w:tcPr>
          <w:p w:rsidR="00E31DCF" w:rsidRDefault="002D6E39">
            <w:pPr>
              <w:jc w:val="right"/>
            </w:pPr>
            <w:r>
              <w:rPr>
                <w:color w:val="000000"/>
                <w:sz w:val="24"/>
                <w:szCs w:val="24"/>
              </w:rPr>
              <w:t>4.08</w:t>
            </w:r>
          </w:p>
        </w:tc>
      </w:tr>
      <w:tr w:rsidR="00E31DCF">
        <w:trPr>
          <w:jc w:val="center"/>
        </w:trPr>
        <w:tc>
          <w:tcPr>
            <w:tcW w:w="855" w:type="dxa"/>
            <w:vAlign w:val="center"/>
          </w:tcPr>
          <w:p w:rsidR="00E31DCF" w:rsidRDefault="002D6E39">
            <w:pPr>
              <w:jc w:val="center"/>
            </w:pPr>
            <w:r>
              <w:rPr>
                <w:color w:val="000000"/>
                <w:sz w:val="24"/>
                <w:szCs w:val="24"/>
              </w:rPr>
              <w:t>8</w:t>
            </w:r>
          </w:p>
        </w:tc>
        <w:tc>
          <w:tcPr>
            <w:tcW w:w="1334" w:type="dxa"/>
            <w:vAlign w:val="center"/>
          </w:tcPr>
          <w:p w:rsidR="00E31DCF" w:rsidRDefault="002D6E39">
            <w:pPr>
              <w:jc w:val="center"/>
            </w:pPr>
            <w:r>
              <w:rPr>
                <w:color w:val="000000"/>
                <w:sz w:val="24"/>
                <w:szCs w:val="24"/>
              </w:rPr>
              <w:t>300226</w:t>
            </w:r>
          </w:p>
        </w:tc>
        <w:tc>
          <w:tcPr>
            <w:tcW w:w="1777" w:type="dxa"/>
            <w:vAlign w:val="center"/>
          </w:tcPr>
          <w:p w:rsidR="00E31DCF" w:rsidRDefault="002D6E39">
            <w:pPr>
              <w:jc w:val="center"/>
            </w:pPr>
            <w:r>
              <w:rPr>
                <w:color w:val="000000"/>
                <w:sz w:val="24"/>
                <w:szCs w:val="24"/>
              </w:rPr>
              <w:t>上海钢联</w:t>
            </w:r>
          </w:p>
        </w:tc>
        <w:tc>
          <w:tcPr>
            <w:tcW w:w="1334" w:type="dxa"/>
            <w:vAlign w:val="center"/>
          </w:tcPr>
          <w:p w:rsidR="00E31DCF" w:rsidRDefault="002D6E39">
            <w:pPr>
              <w:jc w:val="right"/>
            </w:pPr>
            <w:r>
              <w:rPr>
                <w:color w:val="000000"/>
                <w:sz w:val="24"/>
                <w:szCs w:val="24"/>
              </w:rPr>
              <w:t>1,813,768</w:t>
            </w:r>
          </w:p>
        </w:tc>
        <w:tc>
          <w:tcPr>
            <w:tcW w:w="1924" w:type="dxa"/>
            <w:vAlign w:val="center"/>
          </w:tcPr>
          <w:p w:rsidR="00E31DCF" w:rsidRDefault="002D6E39">
            <w:pPr>
              <w:jc w:val="right"/>
            </w:pPr>
            <w:r>
              <w:rPr>
                <w:color w:val="000000"/>
                <w:sz w:val="24"/>
                <w:szCs w:val="24"/>
              </w:rPr>
              <w:t>109,497,174.16</w:t>
            </w:r>
          </w:p>
        </w:tc>
        <w:tc>
          <w:tcPr>
            <w:tcW w:w="1644" w:type="dxa"/>
            <w:vAlign w:val="center"/>
          </w:tcPr>
          <w:p w:rsidR="00E31DCF" w:rsidRDefault="002D6E39">
            <w:pPr>
              <w:jc w:val="right"/>
            </w:pPr>
            <w:r>
              <w:rPr>
                <w:color w:val="000000"/>
                <w:sz w:val="24"/>
                <w:szCs w:val="24"/>
              </w:rPr>
              <w:t>3.92</w:t>
            </w:r>
          </w:p>
        </w:tc>
      </w:tr>
      <w:tr w:rsidR="00E31DCF">
        <w:trPr>
          <w:jc w:val="center"/>
        </w:trPr>
        <w:tc>
          <w:tcPr>
            <w:tcW w:w="855" w:type="dxa"/>
            <w:vAlign w:val="center"/>
          </w:tcPr>
          <w:p w:rsidR="00E31DCF" w:rsidRDefault="002D6E39">
            <w:pPr>
              <w:jc w:val="center"/>
            </w:pPr>
            <w:r>
              <w:rPr>
                <w:color w:val="000000"/>
                <w:sz w:val="24"/>
                <w:szCs w:val="24"/>
              </w:rPr>
              <w:t>9</w:t>
            </w:r>
          </w:p>
        </w:tc>
        <w:tc>
          <w:tcPr>
            <w:tcW w:w="1334" w:type="dxa"/>
            <w:vAlign w:val="center"/>
          </w:tcPr>
          <w:p w:rsidR="00E31DCF" w:rsidRDefault="002D6E39">
            <w:pPr>
              <w:jc w:val="center"/>
            </w:pPr>
            <w:r>
              <w:rPr>
                <w:color w:val="000000"/>
                <w:sz w:val="24"/>
                <w:szCs w:val="24"/>
              </w:rPr>
              <w:t>000046</w:t>
            </w:r>
          </w:p>
        </w:tc>
        <w:tc>
          <w:tcPr>
            <w:tcW w:w="1777" w:type="dxa"/>
            <w:vAlign w:val="center"/>
          </w:tcPr>
          <w:p w:rsidR="00E31DCF" w:rsidRDefault="002D6E39">
            <w:pPr>
              <w:jc w:val="center"/>
            </w:pPr>
            <w:r>
              <w:rPr>
                <w:color w:val="000000"/>
                <w:sz w:val="24"/>
                <w:szCs w:val="24"/>
              </w:rPr>
              <w:t>泛海控股</w:t>
            </w:r>
          </w:p>
        </w:tc>
        <w:tc>
          <w:tcPr>
            <w:tcW w:w="1334" w:type="dxa"/>
            <w:vAlign w:val="center"/>
          </w:tcPr>
          <w:p w:rsidR="00E31DCF" w:rsidRDefault="002D6E39">
            <w:pPr>
              <w:jc w:val="right"/>
            </w:pPr>
            <w:r>
              <w:rPr>
                <w:color w:val="000000"/>
                <w:sz w:val="24"/>
                <w:szCs w:val="24"/>
              </w:rPr>
              <w:t>9,889,200</w:t>
            </w:r>
          </w:p>
        </w:tc>
        <w:tc>
          <w:tcPr>
            <w:tcW w:w="1924" w:type="dxa"/>
            <w:vAlign w:val="center"/>
          </w:tcPr>
          <w:p w:rsidR="00E31DCF" w:rsidRDefault="002D6E39">
            <w:pPr>
              <w:jc w:val="right"/>
            </w:pPr>
            <w:r>
              <w:rPr>
                <w:color w:val="000000"/>
                <w:sz w:val="24"/>
                <w:szCs w:val="24"/>
              </w:rPr>
              <w:t>97,804,188.00</w:t>
            </w:r>
          </w:p>
        </w:tc>
        <w:tc>
          <w:tcPr>
            <w:tcW w:w="1644" w:type="dxa"/>
            <w:vAlign w:val="center"/>
          </w:tcPr>
          <w:p w:rsidR="00E31DCF" w:rsidRDefault="002D6E39">
            <w:pPr>
              <w:jc w:val="right"/>
            </w:pPr>
            <w:r>
              <w:rPr>
                <w:color w:val="000000"/>
                <w:sz w:val="24"/>
                <w:szCs w:val="24"/>
              </w:rPr>
              <w:t>3.50</w:t>
            </w:r>
          </w:p>
        </w:tc>
      </w:tr>
      <w:tr w:rsidR="00E31DCF">
        <w:trPr>
          <w:jc w:val="center"/>
        </w:trPr>
        <w:tc>
          <w:tcPr>
            <w:tcW w:w="855" w:type="dxa"/>
            <w:vAlign w:val="center"/>
          </w:tcPr>
          <w:p w:rsidR="00E31DCF" w:rsidRDefault="002D6E39">
            <w:pPr>
              <w:jc w:val="center"/>
            </w:pPr>
            <w:r>
              <w:rPr>
                <w:color w:val="000000"/>
                <w:sz w:val="24"/>
                <w:szCs w:val="24"/>
              </w:rPr>
              <w:t>10</w:t>
            </w:r>
          </w:p>
        </w:tc>
        <w:tc>
          <w:tcPr>
            <w:tcW w:w="1334" w:type="dxa"/>
            <w:vAlign w:val="center"/>
          </w:tcPr>
          <w:p w:rsidR="00E31DCF" w:rsidRDefault="002D6E39">
            <w:pPr>
              <w:jc w:val="center"/>
            </w:pPr>
            <w:r>
              <w:rPr>
                <w:color w:val="000000"/>
                <w:sz w:val="24"/>
                <w:szCs w:val="24"/>
              </w:rPr>
              <w:t>002285</w:t>
            </w:r>
          </w:p>
        </w:tc>
        <w:tc>
          <w:tcPr>
            <w:tcW w:w="1777" w:type="dxa"/>
            <w:vAlign w:val="center"/>
          </w:tcPr>
          <w:p w:rsidR="00E31DCF" w:rsidRDefault="002D6E39">
            <w:pPr>
              <w:jc w:val="center"/>
            </w:pPr>
            <w:r>
              <w:rPr>
                <w:color w:val="000000"/>
                <w:sz w:val="24"/>
                <w:szCs w:val="24"/>
              </w:rPr>
              <w:t>世联行</w:t>
            </w:r>
          </w:p>
        </w:tc>
        <w:tc>
          <w:tcPr>
            <w:tcW w:w="1334" w:type="dxa"/>
            <w:vAlign w:val="center"/>
          </w:tcPr>
          <w:p w:rsidR="00E31DCF" w:rsidRDefault="002D6E39">
            <w:pPr>
              <w:jc w:val="right"/>
            </w:pPr>
            <w:r>
              <w:rPr>
                <w:color w:val="000000"/>
                <w:sz w:val="24"/>
                <w:szCs w:val="24"/>
              </w:rPr>
              <w:t>6,350,421</w:t>
            </w:r>
          </w:p>
        </w:tc>
        <w:tc>
          <w:tcPr>
            <w:tcW w:w="1924" w:type="dxa"/>
            <w:vAlign w:val="center"/>
          </w:tcPr>
          <w:p w:rsidR="00E31DCF" w:rsidRDefault="002D6E39">
            <w:pPr>
              <w:jc w:val="right"/>
            </w:pPr>
            <w:r>
              <w:rPr>
                <w:color w:val="000000"/>
                <w:sz w:val="24"/>
                <w:szCs w:val="24"/>
              </w:rPr>
              <w:t>95,510,331.84</w:t>
            </w:r>
          </w:p>
        </w:tc>
        <w:tc>
          <w:tcPr>
            <w:tcW w:w="1644" w:type="dxa"/>
            <w:vAlign w:val="center"/>
          </w:tcPr>
          <w:p w:rsidR="00E31DCF" w:rsidRDefault="002D6E39">
            <w:pPr>
              <w:jc w:val="right"/>
            </w:pPr>
            <w:r>
              <w:rPr>
                <w:color w:val="000000"/>
                <w:sz w:val="24"/>
                <w:szCs w:val="24"/>
              </w:rPr>
              <w:t>3.42</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260"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4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2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60,018,000.00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2.15</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60,018,000.00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2.15</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A8721A">
        <w:trPr>
          <w:jc w:val="center"/>
        </w:trPr>
        <w:tc>
          <w:tcPr>
            <w:tcW w:w="817"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260"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4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2,135,000.00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0.08</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8</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9</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62,153,000.00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2.22</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E31DCF">
        <w:trPr>
          <w:jc w:val="center"/>
        </w:trPr>
        <w:tc>
          <w:tcPr>
            <w:tcW w:w="850" w:type="dxa"/>
            <w:vAlign w:val="center"/>
          </w:tcPr>
          <w:p w:rsidR="00E31DCF" w:rsidRDefault="002D6E39">
            <w:pPr>
              <w:jc w:val="center"/>
            </w:pPr>
            <w:r>
              <w:rPr>
                <w:color w:val="000000"/>
                <w:sz w:val="24"/>
                <w:szCs w:val="24"/>
              </w:rPr>
              <w:t>1</w:t>
            </w:r>
          </w:p>
        </w:tc>
        <w:tc>
          <w:tcPr>
            <w:tcW w:w="1475" w:type="dxa"/>
            <w:vAlign w:val="center"/>
          </w:tcPr>
          <w:p w:rsidR="00E31DCF" w:rsidRDefault="002D6E39">
            <w:pPr>
              <w:jc w:val="center"/>
            </w:pPr>
            <w:r>
              <w:rPr>
                <w:color w:val="000000"/>
                <w:sz w:val="24"/>
                <w:szCs w:val="24"/>
              </w:rPr>
              <w:t>140207</w:t>
            </w:r>
          </w:p>
        </w:tc>
        <w:tc>
          <w:tcPr>
            <w:tcW w:w="1769" w:type="dxa"/>
            <w:vAlign w:val="center"/>
          </w:tcPr>
          <w:p w:rsidR="00E31DCF" w:rsidRDefault="002D6E39">
            <w:pPr>
              <w:jc w:val="center"/>
            </w:pPr>
            <w:r>
              <w:rPr>
                <w:color w:val="000000"/>
                <w:sz w:val="24"/>
                <w:szCs w:val="24"/>
              </w:rPr>
              <w:t>14</w:t>
            </w:r>
            <w:r>
              <w:rPr>
                <w:color w:val="000000"/>
                <w:sz w:val="24"/>
                <w:szCs w:val="24"/>
              </w:rPr>
              <w:t>国开</w:t>
            </w:r>
            <w:r>
              <w:rPr>
                <w:color w:val="000000"/>
                <w:sz w:val="24"/>
                <w:szCs w:val="24"/>
              </w:rPr>
              <w:t>07</w:t>
            </w:r>
          </w:p>
        </w:tc>
        <w:tc>
          <w:tcPr>
            <w:tcW w:w="1387" w:type="dxa"/>
            <w:vAlign w:val="center"/>
          </w:tcPr>
          <w:p w:rsidR="00E31DCF" w:rsidRDefault="002D6E39">
            <w:pPr>
              <w:jc w:val="right"/>
            </w:pPr>
            <w:r>
              <w:rPr>
                <w:color w:val="000000"/>
                <w:sz w:val="24"/>
                <w:szCs w:val="24"/>
              </w:rPr>
              <w:t>300,000</w:t>
            </w:r>
          </w:p>
        </w:tc>
        <w:tc>
          <w:tcPr>
            <w:tcW w:w="2150" w:type="dxa"/>
            <w:vAlign w:val="center"/>
          </w:tcPr>
          <w:p w:rsidR="00E31DCF" w:rsidRDefault="002D6E39">
            <w:pPr>
              <w:jc w:val="right"/>
            </w:pPr>
            <w:r>
              <w:rPr>
                <w:color w:val="000000"/>
                <w:sz w:val="24"/>
                <w:szCs w:val="24"/>
              </w:rPr>
              <w:t>30,045,000.00</w:t>
            </w:r>
          </w:p>
        </w:tc>
        <w:tc>
          <w:tcPr>
            <w:tcW w:w="1237" w:type="dxa"/>
            <w:vAlign w:val="center"/>
          </w:tcPr>
          <w:p w:rsidR="00E31DCF" w:rsidRDefault="002D6E39">
            <w:pPr>
              <w:jc w:val="right"/>
            </w:pPr>
            <w:r>
              <w:rPr>
                <w:color w:val="000000"/>
                <w:sz w:val="24"/>
                <w:szCs w:val="24"/>
              </w:rPr>
              <w:t>1.07</w:t>
            </w:r>
          </w:p>
        </w:tc>
      </w:tr>
      <w:tr w:rsidR="00E31DCF">
        <w:trPr>
          <w:jc w:val="center"/>
        </w:trPr>
        <w:tc>
          <w:tcPr>
            <w:tcW w:w="850" w:type="dxa"/>
            <w:vAlign w:val="center"/>
          </w:tcPr>
          <w:p w:rsidR="00E31DCF" w:rsidRDefault="002D6E39">
            <w:pPr>
              <w:jc w:val="center"/>
            </w:pPr>
            <w:r>
              <w:rPr>
                <w:color w:val="000000"/>
                <w:sz w:val="24"/>
                <w:szCs w:val="24"/>
              </w:rPr>
              <w:t>2</w:t>
            </w:r>
          </w:p>
        </w:tc>
        <w:tc>
          <w:tcPr>
            <w:tcW w:w="1475" w:type="dxa"/>
            <w:vAlign w:val="center"/>
          </w:tcPr>
          <w:p w:rsidR="00E31DCF" w:rsidRDefault="002D6E39">
            <w:pPr>
              <w:jc w:val="center"/>
            </w:pPr>
            <w:r>
              <w:rPr>
                <w:color w:val="000000"/>
                <w:sz w:val="24"/>
                <w:szCs w:val="24"/>
              </w:rPr>
              <w:t>120204</w:t>
            </w:r>
          </w:p>
        </w:tc>
        <w:tc>
          <w:tcPr>
            <w:tcW w:w="1769" w:type="dxa"/>
            <w:vAlign w:val="center"/>
          </w:tcPr>
          <w:p w:rsidR="00E31DCF" w:rsidRDefault="002D6E39">
            <w:pPr>
              <w:jc w:val="center"/>
            </w:pPr>
            <w:r>
              <w:rPr>
                <w:color w:val="000000"/>
                <w:sz w:val="24"/>
                <w:szCs w:val="24"/>
              </w:rPr>
              <w:t>12</w:t>
            </w:r>
            <w:r>
              <w:rPr>
                <w:color w:val="000000"/>
                <w:sz w:val="24"/>
                <w:szCs w:val="24"/>
              </w:rPr>
              <w:t>国开</w:t>
            </w:r>
            <w:r>
              <w:rPr>
                <w:color w:val="000000"/>
                <w:sz w:val="24"/>
                <w:szCs w:val="24"/>
              </w:rPr>
              <w:t>04</w:t>
            </w:r>
          </w:p>
        </w:tc>
        <w:tc>
          <w:tcPr>
            <w:tcW w:w="1387" w:type="dxa"/>
            <w:vAlign w:val="center"/>
          </w:tcPr>
          <w:p w:rsidR="00E31DCF" w:rsidRDefault="002D6E39">
            <w:pPr>
              <w:jc w:val="right"/>
            </w:pPr>
            <w:r>
              <w:rPr>
                <w:color w:val="000000"/>
                <w:sz w:val="24"/>
                <w:szCs w:val="24"/>
              </w:rPr>
              <w:t>300,000</w:t>
            </w:r>
          </w:p>
        </w:tc>
        <w:tc>
          <w:tcPr>
            <w:tcW w:w="2150" w:type="dxa"/>
            <w:vAlign w:val="center"/>
          </w:tcPr>
          <w:p w:rsidR="00E31DCF" w:rsidRDefault="002D6E39">
            <w:pPr>
              <w:jc w:val="right"/>
            </w:pPr>
            <w:r>
              <w:rPr>
                <w:color w:val="000000"/>
                <w:sz w:val="24"/>
                <w:szCs w:val="24"/>
              </w:rPr>
              <w:t>29,973,000.00</w:t>
            </w:r>
          </w:p>
        </w:tc>
        <w:tc>
          <w:tcPr>
            <w:tcW w:w="1237" w:type="dxa"/>
            <w:vAlign w:val="center"/>
          </w:tcPr>
          <w:p w:rsidR="00E31DCF" w:rsidRDefault="002D6E39">
            <w:pPr>
              <w:jc w:val="right"/>
            </w:pPr>
            <w:r>
              <w:rPr>
                <w:color w:val="000000"/>
                <w:sz w:val="24"/>
                <w:szCs w:val="24"/>
              </w:rPr>
              <w:t>1.07</w:t>
            </w:r>
          </w:p>
        </w:tc>
      </w:tr>
      <w:tr w:rsidR="00E31DCF">
        <w:trPr>
          <w:jc w:val="center"/>
        </w:trPr>
        <w:tc>
          <w:tcPr>
            <w:tcW w:w="850" w:type="dxa"/>
            <w:vAlign w:val="center"/>
          </w:tcPr>
          <w:p w:rsidR="00E31DCF" w:rsidRDefault="002D6E39">
            <w:pPr>
              <w:jc w:val="center"/>
            </w:pPr>
            <w:r>
              <w:rPr>
                <w:color w:val="000000"/>
                <w:sz w:val="24"/>
                <w:szCs w:val="24"/>
              </w:rPr>
              <w:t>3</w:t>
            </w:r>
          </w:p>
        </w:tc>
        <w:tc>
          <w:tcPr>
            <w:tcW w:w="1475" w:type="dxa"/>
            <w:vAlign w:val="center"/>
          </w:tcPr>
          <w:p w:rsidR="00E31DCF" w:rsidRDefault="002D6E39">
            <w:pPr>
              <w:jc w:val="center"/>
            </w:pPr>
            <w:r>
              <w:rPr>
                <w:color w:val="000000"/>
                <w:sz w:val="24"/>
                <w:szCs w:val="24"/>
              </w:rPr>
              <w:t>110030</w:t>
            </w:r>
          </w:p>
        </w:tc>
        <w:tc>
          <w:tcPr>
            <w:tcW w:w="1769" w:type="dxa"/>
            <w:vAlign w:val="center"/>
          </w:tcPr>
          <w:p w:rsidR="00E31DCF" w:rsidRDefault="002D6E39">
            <w:pPr>
              <w:jc w:val="center"/>
            </w:pPr>
            <w:r>
              <w:rPr>
                <w:color w:val="000000"/>
                <w:sz w:val="24"/>
                <w:szCs w:val="24"/>
              </w:rPr>
              <w:t>格力转债</w:t>
            </w:r>
          </w:p>
        </w:tc>
        <w:tc>
          <w:tcPr>
            <w:tcW w:w="1387" w:type="dxa"/>
            <w:vAlign w:val="center"/>
          </w:tcPr>
          <w:p w:rsidR="00E31DCF" w:rsidRDefault="002D6E39">
            <w:pPr>
              <w:jc w:val="right"/>
            </w:pPr>
            <w:r>
              <w:rPr>
                <w:color w:val="000000"/>
                <w:sz w:val="24"/>
                <w:szCs w:val="24"/>
              </w:rPr>
              <w:t>21,350</w:t>
            </w:r>
          </w:p>
        </w:tc>
        <w:tc>
          <w:tcPr>
            <w:tcW w:w="2150" w:type="dxa"/>
            <w:vAlign w:val="center"/>
          </w:tcPr>
          <w:p w:rsidR="00E31DCF" w:rsidRDefault="002D6E39">
            <w:pPr>
              <w:jc w:val="right"/>
            </w:pPr>
            <w:r>
              <w:rPr>
                <w:color w:val="000000"/>
                <w:sz w:val="24"/>
                <w:szCs w:val="24"/>
              </w:rPr>
              <w:t>2,135,000.00</w:t>
            </w:r>
          </w:p>
        </w:tc>
        <w:tc>
          <w:tcPr>
            <w:tcW w:w="1237" w:type="dxa"/>
            <w:vAlign w:val="center"/>
          </w:tcPr>
          <w:p w:rsidR="00E31DCF" w:rsidRDefault="002D6E39">
            <w:pPr>
              <w:jc w:val="right"/>
            </w:pPr>
            <w:r>
              <w:rPr>
                <w:color w:val="000000"/>
                <w:sz w:val="24"/>
                <w:szCs w:val="24"/>
              </w:rPr>
              <w:t>0.08</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921,686.99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22,892,057.55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2,102,500.85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448,312.25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26,364,557.64</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2,549,765,883.50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45,774,464.88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430,196,197.50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2,165,344,150.88</w:t>
            </w:r>
          </w:p>
        </w:tc>
      </w:tr>
    </w:tbl>
    <w:p w:rsidR="00E31DCF" w:rsidRDefault="002D6E39">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2D6E39">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d"/>
              <w:adjustRightInd w:val="0"/>
              <w:snapToGrid w:val="0"/>
              <w:spacing w:line="288" w:lineRule="auto"/>
              <w:rPr>
                <w:rFonts w:eastAsia="方正仿宋简体"/>
                <w:color w:val="000000"/>
              </w:rPr>
            </w:pPr>
            <w:r w:rsidRPr="00ED2620">
              <w:rPr>
                <w:color w:val="000000"/>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86,161,914.71</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86,161,914.71</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3.98</w:t>
            </w:r>
          </w:p>
        </w:tc>
      </w:tr>
    </w:tbl>
    <w:p w:rsidR="00E31DCF" w:rsidRDefault="002D6E39">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xml:space="preserve">    2</w:t>
      </w:r>
      <w:r w:rsidRPr="00ED2620">
        <w:rPr>
          <w:rFonts w:eastAsiaTheme="minorEastAsia"/>
          <w:color w:val="000000"/>
          <w:sz w:val="24"/>
        </w:rPr>
        <w:t>、如果本报告期间发生转换出业务，则总赎回份额中包含该业务。</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4061AC" w:rsidRPr="00414345" w:rsidRDefault="004061AC" w:rsidP="002D6E3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676095"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影响投资者决策的其他重要信息</w:t>
      </w:r>
    </w:p>
    <w:p w:rsidR="004061AC" w:rsidRPr="00414345" w:rsidRDefault="003C1BDC" w:rsidP="00DC7F70">
      <w:pPr>
        <w:spacing w:before="29" w:line="288" w:lineRule="auto"/>
        <w:rPr>
          <w:color w:val="000000"/>
          <w:sz w:val="24"/>
          <w:szCs w:val="24"/>
        </w:rPr>
      </w:pPr>
      <w:r>
        <w:rPr>
          <w:rFonts w:hint="eastAsia"/>
          <w:color w:val="000000"/>
          <w:sz w:val="24"/>
          <w:szCs w:val="24"/>
        </w:rPr>
        <w:t>1</w:t>
      </w:r>
      <w:r>
        <w:rPr>
          <w:rFonts w:hint="eastAsia"/>
          <w:color w:val="000000"/>
          <w:sz w:val="24"/>
          <w:szCs w:val="24"/>
        </w:rPr>
        <w:t>、</w:t>
      </w:r>
      <w:r w:rsidR="004061AC" w:rsidRPr="00414345">
        <w:rPr>
          <w:color w:val="000000"/>
          <w:sz w:val="24"/>
          <w:szCs w:val="24"/>
        </w:rPr>
        <w:t>依据中国证监会《关于进一步规范证券投资基金估值业务的指导意见》（证监会公告</w:t>
      </w:r>
      <w:r w:rsidR="004061AC" w:rsidRPr="00414345">
        <w:rPr>
          <w:color w:val="000000"/>
          <w:sz w:val="24"/>
          <w:szCs w:val="24"/>
        </w:rPr>
        <w:t>[2008]38</w:t>
      </w:r>
      <w:r w:rsidR="004061AC" w:rsidRPr="00414345">
        <w:rPr>
          <w:color w:val="000000"/>
          <w:sz w:val="24"/>
          <w:szCs w:val="24"/>
        </w:rPr>
        <w:t>号）的有关规定和《关于发布中基协（</w:t>
      </w:r>
      <w:r w:rsidR="004061AC" w:rsidRPr="00414345">
        <w:rPr>
          <w:color w:val="000000"/>
          <w:sz w:val="24"/>
          <w:szCs w:val="24"/>
        </w:rPr>
        <w:t>AMAC</w:t>
      </w:r>
      <w:r w:rsidR="004061AC" w:rsidRPr="00414345">
        <w:rPr>
          <w:color w:val="000000"/>
          <w:sz w:val="24"/>
          <w:szCs w:val="24"/>
        </w:rPr>
        <w:t>）基金行业股票估值指数的通知》的指导意见，经与基金托管人协商一致，本基金对其所持有的中航飞机（证券代码：</w:t>
      </w:r>
      <w:r w:rsidR="004061AC" w:rsidRPr="00414345">
        <w:rPr>
          <w:color w:val="000000"/>
          <w:sz w:val="24"/>
          <w:szCs w:val="24"/>
        </w:rPr>
        <w:t>000768</w:t>
      </w:r>
      <w:r w:rsidR="004061AC" w:rsidRPr="00414345">
        <w:rPr>
          <w:color w:val="000000"/>
          <w:sz w:val="24"/>
          <w:szCs w:val="24"/>
        </w:rPr>
        <w:t>）股票自</w:t>
      </w:r>
      <w:r w:rsidR="004061AC" w:rsidRPr="00414345">
        <w:rPr>
          <w:color w:val="000000"/>
          <w:sz w:val="24"/>
          <w:szCs w:val="24"/>
        </w:rPr>
        <w:t>2014</w:t>
      </w:r>
      <w:r w:rsidR="004061AC" w:rsidRPr="00414345">
        <w:rPr>
          <w:color w:val="000000"/>
          <w:sz w:val="24"/>
          <w:szCs w:val="24"/>
        </w:rPr>
        <w:t>年</w:t>
      </w:r>
      <w:r w:rsidR="004061AC" w:rsidRPr="00414345">
        <w:rPr>
          <w:color w:val="000000"/>
          <w:sz w:val="24"/>
          <w:szCs w:val="24"/>
        </w:rPr>
        <w:t>10</w:t>
      </w:r>
      <w:r w:rsidR="004061AC" w:rsidRPr="00414345">
        <w:rPr>
          <w:color w:val="000000"/>
          <w:sz w:val="24"/>
          <w:szCs w:val="24"/>
        </w:rPr>
        <w:t>月</w:t>
      </w:r>
      <w:r w:rsidR="004061AC" w:rsidRPr="00414345">
        <w:rPr>
          <w:color w:val="000000"/>
          <w:sz w:val="24"/>
          <w:szCs w:val="24"/>
        </w:rPr>
        <w:t>8</w:t>
      </w:r>
      <w:r w:rsidR="004061AC" w:rsidRPr="00414345">
        <w:rPr>
          <w:color w:val="000000"/>
          <w:sz w:val="24"/>
          <w:szCs w:val="24"/>
        </w:rPr>
        <w:t>日起按照指数收益法进行估值，并已于</w:t>
      </w:r>
      <w:r w:rsidR="004061AC" w:rsidRPr="00414345">
        <w:rPr>
          <w:color w:val="000000"/>
          <w:sz w:val="24"/>
          <w:szCs w:val="24"/>
        </w:rPr>
        <w:t>2014</w:t>
      </w:r>
      <w:r w:rsidR="004061AC" w:rsidRPr="00414345">
        <w:rPr>
          <w:color w:val="000000"/>
          <w:sz w:val="24"/>
          <w:szCs w:val="24"/>
        </w:rPr>
        <w:t>年</w:t>
      </w:r>
      <w:r w:rsidR="004061AC" w:rsidRPr="00414345">
        <w:rPr>
          <w:color w:val="000000"/>
          <w:sz w:val="24"/>
          <w:szCs w:val="24"/>
        </w:rPr>
        <w:t>10</w:t>
      </w:r>
      <w:r w:rsidR="004061AC" w:rsidRPr="00414345">
        <w:rPr>
          <w:color w:val="000000"/>
          <w:sz w:val="24"/>
          <w:szCs w:val="24"/>
        </w:rPr>
        <w:t>月</w:t>
      </w:r>
      <w:r w:rsidR="004061AC" w:rsidRPr="00414345">
        <w:rPr>
          <w:color w:val="000000"/>
          <w:sz w:val="24"/>
          <w:szCs w:val="24"/>
        </w:rPr>
        <w:t>17</w:t>
      </w:r>
      <w:r w:rsidR="004061AC" w:rsidRPr="00414345">
        <w:rPr>
          <w:color w:val="000000"/>
          <w:sz w:val="24"/>
          <w:szCs w:val="24"/>
        </w:rPr>
        <w:t>日起恢复按市场价格进行估值；本基金对其所持有的乐视网（证券代码：</w:t>
      </w:r>
      <w:r w:rsidR="004061AC" w:rsidRPr="00414345">
        <w:rPr>
          <w:color w:val="000000"/>
          <w:sz w:val="24"/>
          <w:szCs w:val="24"/>
        </w:rPr>
        <w:t>300104</w:t>
      </w:r>
      <w:r w:rsidR="004061AC" w:rsidRPr="00414345">
        <w:rPr>
          <w:color w:val="000000"/>
          <w:sz w:val="24"/>
          <w:szCs w:val="24"/>
        </w:rPr>
        <w:t>）股票自</w:t>
      </w:r>
      <w:r w:rsidR="004061AC" w:rsidRPr="00414345">
        <w:rPr>
          <w:color w:val="000000"/>
          <w:sz w:val="24"/>
          <w:szCs w:val="24"/>
        </w:rPr>
        <w:t>2014</w:t>
      </w:r>
      <w:r w:rsidR="004061AC" w:rsidRPr="00414345">
        <w:rPr>
          <w:color w:val="000000"/>
          <w:sz w:val="24"/>
          <w:szCs w:val="24"/>
        </w:rPr>
        <w:t>年</w:t>
      </w:r>
      <w:r w:rsidR="004061AC" w:rsidRPr="00414345">
        <w:rPr>
          <w:color w:val="000000"/>
          <w:sz w:val="24"/>
          <w:szCs w:val="24"/>
        </w:rPr>
        <w:t>11</w:t>
      </w:r>
      <w:r w:rsidR="004061AC" w:rsidRPr="00414345">
        <w:rPr>
          <w:color w:val="000000"/>
          <w:sz w:val="24"/>
          <w:szCs w:val="24"/>
        </w:rPr>
        <w:t>月</w:t>
      </w:r>
      <w:r w:rsidR="004061AC" w:rsidRPr="00414345">
        <w:rPr>
          <w:color w:val="000000"/>
          <w:sz w:val="24"/>
          <w:szCs w:val="24"/>
        </w:rPr>
        <w:t>28</w:t>
      </w:r>
      <w:r w:rsidR="004061AC" w:rsidRPr="00414345">
        <w:rPr>
          <w:color w:val="000000"/>
          <w:sz w:val="24"/>
          <w:szCs w:val="24"/>
        </w:rPr>
        <w:t>日起按照指数收益法进行估值，并已于</w:t>
      </w:r>
      <w:r w:rsidR="004061AC" w:rsidRPr="00414345">
        <w:rPr>
          <w:color w:val="000000"/>
          <w:sz w:val="24"/>
          <w:szCs w:val="24"/>
        </w:rPr>
        <w:t>2014</w:t>
      </w:r>
      <w:r w:rsidR="004061AC" w:rsidRPr="00414345">
        <w:rPr>
          <w:color w:val="000000"/>
          <w:sz w:val="24"/>
          <w:szCs w:val="24"/>
        </w:rPr>
        <w:t>年</w:t>
      </w:r>
      <w:r w:rsidR="004061AC" w:rsidRPr="00414345">
        <w:rPr>
          <w:color w:val="000000"/>
          <w:sz w:val="24"/>
          <w:szCs w:val="24"/>
        </w:rPr>
        <w:t>12</w:t>
      </w:r>
      <w:r w:rsidR="004061AC" w:rsidRPr="00414345">
        <w:rPr>
          <w:color w:val="000000"/>
          <w:sz w:val="24"/>
          <w:szCs w:val="24"/>
        </w:rPr>
        <w:t>月</w:t>
      </w:r>
      <w:r w:rsidR="004061AC" w:rsidRPr="00414345">
        <w:rPr>
          <w:color w:val="000000"/>
          <w:sz w:val="24"/>
          <w:szCs w:val="24"/>
        </w:rPr>
        <w:t>8</w:t>
      </w:r>
      <w:r w:rsidR="004061AC" w:rsidRPr="00414345">
        <w:rPr>
          <w:color w:val="000000"/>
          <w:sz w:val="24"/>
          <w:szCs w:val="24"/>
        </w:rPr>
        <w:t>日起恢复恢复按市场价格估值。</w:t>
      </w:r>
    </w:p>
    <w:p w:rsidR="00ED6E80" w:rsidRPr="00414345" w:rsidRDefault="003C1BDC" w:rsidP="00DC7F70">
      <w:pPr>
        <w:spacing w:before="29" w:line="288" w:lineRule="auto"/>
        <w:rPr>
          <w:color w:val="000000"/>
          <w:sz w:val="24"/>
          <w:szCs w:val="24"/>
        </w:rPr>
      </w:pPr>
      <w:r>
        <w:rPr>
          <w:color w:val="000000"/>
          <w:sz w:val="24"/>
          <w:szCs w:val="24"/>
        </w:rPr>
        <w:t>2</w:t>
      </w:r>
      <w:r>
        <w:rPr>
          <w:rFonts w:hint="eastAsia"/>
          <w:color w:val="000000"/>
          <w:sz w:val="24"/>
          <w:szCs w:val="24"/>
        </w:rPr>
        <w:t>、</w:t>
      </w:r>
      <w:r w:rsidR="009C1834" w:rsidRPr="00DC7F70">
        <w:rPr>
          <w:rFonts w:hint="eastAsia"/>
          <w:color w:val="000000"/>
          <w:sz w:val="24"/>
          <w:szCs w:val="24"/>
        </w:rPr>
        <w:t>本基金托管人</w:t>
      </w:r>
      <w:r w:rsidR="009C1834" w:rsidRPr="00DC7F70">
        <w:rPr>
          <w:color w:val="000000"/>
          <w:sz w:val="24"/>
          <w:szCs w:val="24"/>
        </w:rPr>
        <w:t>2014</w:t>
      </w:r>
      <w:r w:rsidR="009C1834" w:rsidRPr="00DC7F70">
        <w:rPr>
          <w:rFonts w:hint="eastAsia"/>
          <w:color w:val="000000"/>
          <w:sz w:val="24"/>
          <w:szCs w:val="24"/>
        </w:rPr>
        <w:t>年</w:t>
      </w:r>
      <w:r w:rsidR="006D4E11">
        <w:rPr>
          <w:color w:val="000000"/>
          <w:sz w:val="24"/>
          <w:szCs w:val="24"/>
        </w:rPr>
        <w:t>11</w:t>
      </w:r>
      <w:r w:rsidR="009C1834" w:rsidRPr="00DC7F70">
        <w:rPr>
          <w:rFonts w:hint="eastAsia"/>
          <w:color w:val="000000"/>
          <w:sz w:val="24"/>
          <w:szCs w:val="24"/>
        </w:rPr>
        <w:t>月</w:t>
      </w:r>
      <w:r w:rsidR="006D4E11">
        <w:rPr>
          <w:color w:val="000000"/>
          <w:sz w:val="24"/>
          <w:szCs w:val="24"/>
        </w:rPr>
        <w:t>3</w:t>
      </w:r>
      <w:bookmarkStart w:id="0" w:name="_GoBack"/>
      <w:bookmarkEnd w:id="0"/>
      <w:r w:rsidR="009C1834" w:rsidRPr="00DC7F70">
        <w:rPr>
          <w:rFonts w:hint="eastAsia"/>
          <w:color w:val="000000"/>
          <w:sz w:val="24"/>
          <w:szCs w:val="24"/>
        </w:rPr>
        <w:t>日发布公告，聘任赵观甫为中国建设银行投资托管业务部总经理</w:t>
      </w:r>
      <w:r w:rsidR="009C1834">
        <w:rPr>
          <w:rFonts w:hint="eastAsia"/>
          <w:color w:val="000000"/>
          <w:sz w:val="24"/>
          <w:szCs w:val="24"/>
        </w:rPr>
        <w:t>。</w:t>
      </w:r>
    </w:p>
    <w:p w:rsidR="00B22DEE" w:rsidRPr="00E02660" w:rsidRDefault="004061AC" w:rsidP="002D6E3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E31DCF" w:rsidRDefault="002D6E39">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、中国证监会批准交银施罗德稳健配置混合型证券投资基金募集的文件；</w:t>
      </w:r>
      <w:r>
        <w:rPr>
          <w:color w:val="000000"/>
          <w:sz w:val="24"/>
          <w:szCs w:val="24"/>
        </w:rPr>
        <w:t xml:space="preserve"> </w:t>
      </w:r>
    </w:p>
    <w:p w:rsidR="00E31DCF" w:rsidRDefault="002D6E39">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、《交银施罗德稳健配置混合型证券投资基金基金合同》；</w:t>
      </w:r>
      <w:r>
        <w:rPr>
          <w:color w:val="000000"/>
          <w:sz w:val="24"/>
          <w:szCs w:val="24"/>
        </w:rPr>
        <w:t xml:space="preserve"> </w:t>
      </w:r>
    </w:p>
    <w:p w:rsidR="00E31DCF" w:rsidRDefault="002D6E39">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、《交银施罗德稳健配置混合型证券投资基金招募说明书》；</w:t>
      </w:r>
    </w:p>
    <w:p w:rsidR="00E31DCF" w:rsidRDefault="002D6E39">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、《交银施罗德稳健配置混合型证券投资基金托管协议》；</w:t>
      </w:r>
      <w:r>
        <w:rPr>
          <w:color w:val="000000"/>
          <w:sz w:val="24"/>
          <w:szCs w:val="24"/>
        </w:rPr>
        <w:t xml:space="preserve"> </w:t>
      </w:r>
    </w:p>
    <w:p w:rsidR="00E31DCF" w:rsidRDefault="002D6E39">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、关于募集交银施罗德稳健配置混合型证券投资基金之法律意见书；</w:t>
      </w:r>
      <w:r>
        <w:rPr>
          <w:color w:val="000000"/>
          <w:sz w:val="24"/>
          <w:szCs w:val="24"/>
        </w:rPr>
        <w:t xml:space="preserve"> </w:t>
      </w:r>
    </w:p>
    <w:p w:rsidR="00E31DCF" w:rsidRDefault="002D6E39">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E31DCF" w:rsidRDefault="002D6E39">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、报告期内交银施罗德稳健配置混合型证券投资基金在指定报刊上各项公告的原稿。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E31DCF" w:rsidRDefault="002D6E39">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D0A" w:rsidRDefault="00872D0A" w:rsidP="00876D65">
      <w:r>
        <w:separator/>
      </w:r>
    </w:p>
  </w:endnote>
  <w:endnote w:type="continuationSeparator" w:id="0">
    <w:p w:rsidR="00872D0A" w:rsidRDefault="00872D0A"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Arial Unicode MS"/>
    <w:charset w:val="86"/>
    <w:family w:val="auto"/>
    <w:pitch w:val="variable"/>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E31DCF">
      <w:rPr>
        <w:kern w:val="0"/>
        <w:szCs w:val="21"/>
      </w:rPr>
      <w:fldChar w:fldCharType="begin"/>
    </w:r>
    <w:r>
      <w:rPr>
        <w:kern w:val="0"/>
        <w:szCs w:val="21"/>
      </w:rPr>
      <w:instrText xml:space="preserve"> PAGE </w:instrText>
    </w:r>
    <w:r w:rsidR="00E31DCF">
      <w:rPr>
        <w:kern w:val="0"/>
        <w:szCs w:val="21"/>
      </w:rPr>
      <w:fldChar w:fldCharType="separate"/>
    </w:r>
    <w:r w:rsidR="006D4E11">
      <w:rPr>
        <w:noProof/>
        <w:kern w:val="0"/>
        <w:szCs w:val="21"/>
      </w:rPr>
      <w:t>10</w:t>
    </w:r>
    <w:r w:rsidR="00E31DCF">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E31DCF">
      <w:rPr>
        <w:kern w:val="0"/>
        <w:szCs w:val="21"/>
      </w:rPr>
      <w:fldChar w:fldCharType="begin"/>
    </w:r>
    <w:r>
      <w:rPr>
        <w:kern w:val="0"/>
        <w:szCs w:val="21"/>
      </w:rPr>
      <w:instrText xml:space="preserve"> NUMPAGES </w:instrText>
    </w:r>
    <w:r w:rsidR="00E31DCF">
      <w:rPr>
        <w:kern w:val="0"/>
        <w:szCs w:val="21"/>
      </w:rPr>
      <w:fldChar w:fldCharType="separate"/>
    </w:r>
    <w:r w:rsidR="006D4E11">
      <w:rPr>
        <w:noProof/>
        <w:kern w:val="0"/>
        <w:szCs w:val="21"/>
      </w:rPr>
      <w:t>11</w:t>
    </w:r>
    <w:r w:rsidR="00E31DCF">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D0A" w:rsidRDefault="00872D0A" w:rsidP="00876D65">
      <w:r>
        <w:separator/>
      </w:r>
    </w:p>
  </w:footnote>
  <w:footnote w:type="continuationSeparator" w:id="0">
    <w:p w:rsidR="00872D0A" w:rsidRDefault="00872D0A"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E39"/>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6FBC"/>
    <w:rsid w:val="003C1BD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4E11"/>
    <w:rsid w:val="006D7004"/>
    <w:rsid w:val="006D789D"/>
    <w:rsid w:val="006D7FF8"/>
    <w:rsid w:val="006E042A"/>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2D0A"/>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424F"/>
    <w:rsid w:val="0098122D"/>
    <w:rsid w:val="00986596"/>
    <w:rsid w:val="00990685"/>
    <w:rsid w:val="009A0ABE"/>
    <w:rsid w:val="009A4E5D"/>
    <w:rsid w:val="009B2D4B"/>
    <w:rsid w:val="009C1834"/>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C7F70"/>
    <w:rsid w:val="00DE27F7"/>
    <w:rsid w:val="00DE4B43"/>
    <w:rsid w:val="00E02660"/>
    <w:rsid w:val="00E215BA"/>
    <w:rsid w:val="00E31DCF"/>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389C"/>
    <w:rsid w:val="00F375F2"/>
    <w:rsid w:val="00F45C47"/>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68257BEF-84DF-494F-BF78-DC2BAC6EE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EE685-09AE-4537-AD72-69C5A39B5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1788</TotalTime>
  <Pages>11</Pages>
  <Words>1104</Words>
  <Characters>6295</Characters>
  <Application>Microsoft Office Word</Application>
  <DocSecurity>0</DocSecurity>
  <Lines>52</Lines>
  <Paragraphs>14</Paragraphs>
  <ScaleCrop>false</ScaleCrop>
  <Company/>
  <LinksUpToDate>false</LinksUpToDate>
  <CharactersWithSpaces>7385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563</cp:revision>
  <dcterms:created xsi:type="dcterms:W3CDTF">2012-10-16T06:07:00Z</dcterms:created>
  <dcterms:modified xsi:type="dcterms:W3CDTF">2015-01-20T06:46:00Z</dcterms:modified>
</cp:coreProperties>
</file>