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bookmarkStart w:id="0" w:name="_GoBack"/>
      <w:bookmarkEnd w:id="0"/>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2014</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2014</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二〇一五年一月二十二日</w:t>
      </w:r>
    </w:p>
    <w:p w:rsidR="00902E3F" w:rsidRPr="000E4C40" w:rsidRDefault="00902E3F" w:rsidP="00273A5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E360B" w:rsidRDefault="00273A54">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E360B" w:rsidRDefault="00273A54">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2015</w:t>
      </w:r>
      <w:r>
        <w:rPr>
          <w:color w:val="000000"/>
          <w:sz w:val="24"/>
        </w:rPr>
        <w:t>年</w:t>
      </w:r>
      <w:r>
        <w:rPr>
          <w:color w:val="000000"/>
          <w:sz w:val="24"/>
        </w:rPr>
        <w:t>1</w:t>
      </w:r>
      <w:r>
        <w:rPr>
          <w:color w:val="000000"/>
          <w:sz w:val="24"/>
        </w:rPr>
        <w:t>月</w:t>
      </w:r>
      <w:r>
        <w:rPr>
          <w:color w:val="000000"/>
          <w:sz w:val="24"/>
        </w:rPr>
        <w:t>21</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E360B" w:rsidRDefault="00273A54">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E360B" w:rsidRDefault="00273A54">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E360B" w:rsidRDefault="00273A54">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479"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1E15D0">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479"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4,732,647,281.74</w:t>
            </w:r>
            <w:r w:rsidR="00C2005E" w:rsidRPr="000E4C40">
              <w:rPr>
                <w:rFonts w:hAnsi="宋体"/>
                <w:color w:val="000000"/>
                <w:kern w:val="0"/>
                <w:sz w:val="24"/>
              </w:rPr>
              <w:t>份</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1E15D0">
        <w:trPr>
          <w:jc w:val="center"/>
        </w:trPr>
        <w:tc>
          <w:tcPr>
            <w:tcW w:w="2835"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479"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479"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739"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740"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739" w:type="dxa"/>
            <w:vAlign w:val="center"/>
          </w:tcPr>
          <w:p w:rsidR="00A805BC" w:rsidRPr="000E4C40" w:rsidRDefault="00A805BC" w:rsidP="00281564">
            <w:pPr>
              <w:spacing w:before="29" w:line="288" w:lineRule="auto"/>
              <w:jc w:val="left"/>
              <w:rPr>
                <w:sz w:val="24"/>
              </w:rPr>
            </w:pPr>
            <w:r w:rsidRPr="000E4C40">
              <w:rPr>
                <w:sz w:val="24"/>
              </w:rPr>
              <w:t>519588</w:t>
            </w:r>
          </w:p>
        </w:tc>
        <w:tc>
          <w:tcPr>
            <w:tcW w:w="2740"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1E15D0">
        <w:trPr>
          <w:jc w:val="center"/>
        </w:trPr>
        <w:tc>
          <w:tcPr>
            <w:tcW w:w="2835"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739" w:type="dxa"/>
            <w:vAlign w:val="center"/>
          </w:tcPr>
          <w:p w:rsidR="00A805BC" w:rsidRPr="000E4C40" w:rsidRDefault="00A805BC" w:rsidP="00281564">
            <w:pPr>
              <w:spacing w:before="29" w:line="288" w:lineRule="auto"/>
              <w:jc w:val="left"/>
              <w:rPr>
                <w:sz w:val="24"/>
              </w:rPr>
            </w:pPr>
            <w:r w:rsidRPr="000E4C40">
              <w:rPr>
                <w:sz w:val="24"/>
              </w:rPr>
              <w:t>1,276,839,438.40</w:t>
            </w:r>
            <w:r w:rsidR="00764CF7" w:rsidRPr="000E4C40">
              <w:rPr>
                <w:rFonts w:hAnsi="宋体"/>
                <w:sz w:val="24"/>
              </w:rPr>
              <w:t>份</w:t>
            </w:r>
          </w:p>
        </w:tc>
        <w:tc>
          <w:tcPr>
            <w:tcW w:w="2740" w:type="dxa"/>
            <w:vAlign w:val="center"/>
          </w:tcPr>
          <w:p w:rsidR="00A805BC" w:rsidRPr="000E4C40" w:rsidRDefault="00A805BC" w:rsidP="00281564">
            <w:pPr>
              <w:spacing w:before="29" w:line="288" w:lineRule="auto"/>
              <w:jc w:val="left"/>
              <w:rPr>
                <w:sz w:val="24"/>
              </w:rPr>
            </w:pPr>
            <w:r w:rsidRPr="000E4C40">
              <w:rPr>
                <w:sz w:val="24"/>
              </w:rPr>
              <w:t>3,455,807,843.34</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(2014</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14,244,562.04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85,507,986.18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14,244,562.04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85,507,986.18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1,276,839,438.40</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3,455,807,843.34</w:t>
            </w:r>
          </w:p>
        </w:tc>
      </w:tr>
    </w:tbl>
    <w:p w:rsidR="007E360B" w:rsidRDefault="00273A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lastRenderedPageBreak/>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业绩比较基准收益</w:t>
            </w:r>
            <w:r w:rsidRPr="000E4C40">
              <w:rPr>
                <w:rFonts w:ascii="Times New Roman"/>
                <w:color w:val="000000"/>
                <w:szCs w:val="24"/>
              </w:rPr>
              <w:lastRenderedPageBreak/>
              <w:t>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lastRenderedPageBreak/>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E360B">
        <w:trPr>
          <w:jc w:val="center"/>
        </w:trPr>
        <w:tc>
          <w:tcPr>
            <w:tcW w:w="1266" w:type="dxa"/>
            <w:vAlign w:val="center"/>
          </w:tcPr>
          <w:p w:rsidR="007E360B" w:rsidRDefault="00273A54">
            <w:pPr>
              <w:jc w:val="left"/>
            </w:pPr>
            <w:r>
              <w:rPr>
                <w:color w:val="000000"/>
              </w:rPr>
              <w:lastRenderedPageBreak/>
              <w:t>过去三个月</w:t>
            </w:r>
          </w:p>
        </w:tc>
        <w:tc>
          <w:tcPr>
            <w:tcW w:w="1267" w:type="dxa"/>
            <w:vAlign w:val="center"/>
          </w:tcPr>
          <w:p w:rsidR="007E360B" w:rsidRDefault="00273A54">
            <w:pPr>
              <w:jc w:val="center"/>
            </w:pPr>
            <w:r>
              <w:rPr>
                <w:color w:val="000000"/>
              </w:rPr>
              <w:t>0.9740%</w:t>
            </w:r>
          </w:p>
        </w:tc>
        <w:tc>
          <w:tcPr>
            <w:tcW w:w="1267" w:type="dxa"/>
            <w:vAlign w:val="center"/>
          </w:tcPr>
          <w:p w:rsidR="007E360B" w:rsidRDefault="00273A54">
            <w:pPr>
              <w:jc w:val="center"/>
            </w:pPr>
            <w:r>
              <w:rPr>
                <w:color w:val="000000"/>
              </w:rPr>
              <w:t>0.0099%</w:t>
            </w:r>
          </w:p>
        </w:tc>
        <w:tc>
          <w:tcPr>
            <w:tcW w:w="1267" w:type="dxa"/>
            <w:vAlign w:val="center"/>
          </w:tcPr>
          <w:p w:rsidR="007E360B" w:rsidRDefault="00273A54">
            <w:pPr>
              <w:jc w:val="center"/>
            </w:pPr>
            <w:r>
              <w:rPr>
                <w:color w:val="000000"/>
              </w:rPr>
              <w:t>0.6784%</w:t>
            </w:r>
          </w:p>
        </w:tc>
        <w:tc>
          <w:tcPr>
            <w:tcW w:w="1267" w:type="dxa"/>
            <w:vAlign w:val="center"/>
          </w:tcPr>
          <w:p w:rsidR="007E360B" w:rsidRDefault="00273A54">
            <w:pPr>
              <w:jc w:val="center"/>
            </w:pPr>
            <w:r>
              <w:rPr>
                <w:color w:val="000000"/>
              </w:rPr>
              <w:t>0.0003%</w:t>
            </w:r>
          </w:p>
        </w:tc>
        <w:tc>
          <w:tcPr>
            <w:tcW w:w="1267" w:type="dxa"/>
            <w:vAlign w:val="center"/>
          </w:tcPr>
          <w:p w:rsidR="007E360B" w:rsidRDefault="00273A54">
            <w:pPr>
              <w:jc w:val="center"/>
            </w:pPr>
            <w:r>
              <w:rPr>
                <w:color w:val="000000"/>
              </w:rPr>
              <w:t>0.2956%</w:t>
            </w:r>
          </w:p>
        </w:tc>
        <w:tc>
          <w:tcPr>
            <w:tcW w:w="1267" w:type="dxa"/>
            <w:vAlign w:val="center"/>
          </w:tcPr>
          <w:p w:rsidR="007E360B" w:rsidRDefault="00273A54">
            <w:pPr>
              <w:jc w:val="center"/>
            </w:pPr>
            <w:r>
              <w:rPr>
                <w:color w:val="000000"/>
              </w:rPr>
              <w:t>0.0096%</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E360B">
        <w:trPr>
          <w:jc w:val="center"/>
        </w:trPr>
        <w:tc>
          <w:tcPr>
            <w:tcW w:w="1266" w:type="dxa"/>
            <w:vAlign w:val="center"/>
          </w:tcPr>
          <w:p w:rsidR="007E360B" w:rsidRDefault="00273A54">
            <w:pPr>
              <w:jc w:val="left"/>
            </w:pPr>
            <w:r>
              <w:rPr>
                <w:color w:val="000000"/>
              </w:rPr>
              <w:t>过去三个月</w:t>
            </w:r>
          </w:p>
        </w:tc>
        <w:tc>
          <w:tcPr>
            <w:tcW w:w="1267" w:type="dxa"/>
            <w:vAlign w:val="center"/>
          </w:tcPr>
          <w:p w:rsidR="007E360B" w:rsidRDefault="00273A54">
            <w:pPr>
              <w:jc w:val="center"/>
            </w:pPr>
            <w:r>
              <w:rPr>
                <w:color w:val="000000"/>
              </w:rPr>
              <w:t>1.0349%</w:t>
            </w:r>
          </w:p>
        </w:tc>
        <w:tc>
          <w:tcPr>
            <w:tcW w:w="1267" w:type="dxa"/>
            <w:vAlign w:val="center"/>
          </w:tcPr>
          <w:p w:rsidR="007E360B" w:rsidRDefault="00273A54">
            <w:pPr>
              <w:jc w:val="center"/>
            </w:pPr>
            <w:r>
              <w:rPr>
                <w:color w:val="000000"/>
              </w:rPr>
              <w:t>0.0099%</w:t>
            </w:r>
          </w:p>
        </w:tc>
        <w:tc>
          <w:tcPr>
            <w:tcW w:w="1267" w:type="dxa"/>
            <w:vAlign w:val="center"/>
          </w:tcPr>
          <w:p w:rsidR="007E360B" w:rsidRDefault="00273A54">
            <w:pPr>
              <w:jc w:val="center"/>
            </w:pPr>
            <w:r>
              <w:rPr>
                <w:color w:val="000000"/>
              </w:rPr>
              <w:t>0.6784%</w:t>
            </w:r>
          </w:p>
        </w:tc>
        <w:tc>
          <w:tcPr>
            <w:tcW w:w="1267" w:type="dxa"/>
            <w:vAlign w:val="center"/>
          </w:tcPr>
          <w:p w:rsidR="007E360B" w:rsidRDefault="00273A54">
            <w:pPr>
              <w:jc w:val="center"/>
            </w:pPr>
            <w:r>
              <w:rPr>
                <w:color w:val="000000"/>
              </w:rPr>
              <w:t>0.0003%</w:t>
            </w:r>
          </w:p>
        </w:tc>
        <w:tc>
          <w:tcPr>
            <w:tcW w:w="1267" w:type="dxa"/>
            <w:vAlign w:val="center"/>
          </w:tcPr>
          <w:p w:rsidR="007E360B" w:rsidRDefault="00273A54">
            <w:pPr>
              <w:jc w:val="center"/>
            </w:pPr>
            <w:r>
              <w:rPr>
                <w:color w:val="000000"/>
              </w:rPr>
              <w:t>0.3565%</w:t>
            </w:r>
          </w:p>
        </w:tc>
        <w:tc>
          <w:tcPr>
            <w:tcW w:w="1267" w:type="dxa"/>
            <w:vAlign w:val="center"/>
          </w:tcPr>
          <w:p w:rsidR="007E360B" w:rsidRDefault="00273A54">
            <w:pPr>
              <w:jc w:val="center"/>
            </w:pPr>
            <w:r>
              <w:rPr>
                <w:color w:val="000000"/>
              </w:rPr>
              <w:t>0.0096%</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2014</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2014</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E360B">
        <w:trPr>
          <w:jc w:val="center"/>
        </w:trPr>
        <w:tc>
          <w:tcPr>
            <w:tcW w:w="945" w:type="dxa"/>
            <w:vAlign w:val="center"/>
          </w:tcPr>
          <w:p w:rsidR="007E360B" w:rsidRDefault="00273A54">
            <w:pPr>
              <w:jc w:val="center"/>
            </w:pPr>
            <w:r>
              <w:rPr>
                <w:color w:val="000000"/>
                <w:sz w:val="24"/>
              </w:rPr>
              <w:t>林洪钧</w:t>
            </w:r>
          </w:p>
        </w:tc>
        <w:tc>
          <w:tcPr>
            <w:tcW w:w="1589" w:type="dxa"/>
            <w:vAlign w:val="center"/>
          </w:tcPr>
          <w:p w:rsidR="007E360B" w:rsidRDefault="00273A54">
            <w:pPr>
              <w:jc w:val="center"/>
            </w:pPr>
            <w:r>
              <w:rPr>
                <w:color w:val="000000"/>
                <w:sz w:val="24"/>
              </w:rPr>
              <w:t>本基金、交银增利债券、交银信用添利债券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478" w:type="dxa"/>
            <w:vAlign w:val="center"/>
          </w:tcPr>
          <w:p w:rsidR="007E360B" w:rsidRDefault="00273A54">
            <w:pPr>
              <w:jc w:val="center"/>
            </w:pPr>
            <w:r>
              <w:rPr>
                <w:color w:val="000000"/>
                <w:sz w:val="24"/>
              </w:rPr>
              <w:t>2011-06-09</w:t>
            </w:r>
          </w:p>
        </w:tc>
        <w:tc>
          <w:tcPr>
            <w:tcW w:w="1478" w:type="dxa"/>
            <w:vAlign w:val="center"/>
          </w:tcPr>
          <w:p w:rsidR="007E360B" w:rsidRDefault="00273A54">
            <w:pPr>
              <w:jc w:val="center"/>
            </w:pPr>
            <w:r>
              <w:rPr>
                <w:color w:val="000000"/>
                <w:sz w:val="24"/>
              </w:rPr>
              <w:t>-</w:t>
            </w:r>
          </w:p>
        </w:tc>
        <w:tc>
          <w:tcPr>
            <w:tcW w:w="986" w:type="dxa"/>
            <w:vAlign w:val="center"/>
          </w:tcPr>
          <w:p w:rsidR="007E360B" w:rsidRDefault="00273A54">
            <w:pPr>
              <w:jc w:val="center"/>
            </w:pPr>
            <w:r>
              <w:rPr>
                <w:color w:val="000000"/>
                <w:sz w:val="24"/>
              </w:rPr>
              <w:t>10</w:t>
            </w:r>
            <w:r>
              <w:rPr>
                <w:color w:val="000000"/>
                <w:sz w:val="24"/>
              </w:rPr>
              <w:t>年</w:t>
            </w:r>
          </w:p>
        </w:tc>
        <w:tc>
          <w:tcPr>
            <w:tcW w:w="2392" w:type="dxa"/>
            <w:vAlign w:val="center"/>
          </w:tcPr>
          <w:p w:rsidR="007E360B" w:rsidRDefault="00273A54">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E360B" w:rsidRDefault="00273A5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E360B" w:rsidRDefault="00273A5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E360B" w:rsidRDefault="00273A5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w:t>
      </w:r>
      <w:r w:rsidRPr="000E4C40">
        <w:rPr>
          <w:color w:val="000000"/>
          <w:sz w:val="24"/>
        </w:rPr>
        <w:t>,</w:t>
      </w:r>
      <w:r w:rsidRPr="000E4C40">
        <w:rPr>
          <w:color w:val="000000"/>
          <w:sz w:val="24"/>
        </w:rPr>
        <w:t>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E360B" w:rsidRDefault="00273A54">
      <w:pPr>
        <w:spacing w:before="29" w:line="288" w:lineRule="auto"/>
        <w:ind w:firstLineChars="200" w:firstLine="480"/>
        <w:rPr>
          <w:color w:val="000000"/>
          <w:sz w:val="24"/>
        </w:rPr>
      </w:pPr>
      <w:r>
        <w:rPr>
          <w:color w:val="000000"/>
          <w:sz w:val="24"/>
        </w:rPr>
        <w:t>本报告期内，经济增长动能仍较为疲弱，但在年底，信贷似乎出现了一丝宽松的迹象。</w:t>
      </w:r>
      <w:r>
        <w:rPr>
          <w:color w:val="000000"/>
          <w:sz w:val="24"/>
        </w:rPr>
        <w:t>10</w:t>
      </w:r>
      <w:r>
        <w:rPr>
          <w:color w:val="000000"/>
          <w:sz w:val="24"/>
        </w:rPr>
        <w:t>月新增信贷</w:t>
      </w:r>
      <w:r>
        <w:rPr>
          <w:color w:val="000000"/>
          <w:sz w:val="24"/>
        </w:rPr>
        <w:t>5483</w:t>
      </w:r>
      <w:r>
        <w:rPr>
          <w:color w:val="000000"/>
          <w:sz w:val="24"/>
        </w:rPr>
        <w:t>亿，社会融资规模</w:t>
      </w:r>
      <w:r>
        <w:rPr>
          <w:color w:val="000000"/>
          <w:sz w:val="24"/>
        </w:rPr>
        <w:t>6807</w:t>
      </w:r>
      <w:r>
        <w:rPr>
          <w:color w:val="000000"/>
          <w:sz w:val="24"/>
        </w:rPr>
        <w:t>亿；</w:t>
      </w:r>
      <w:r>
        <w:rPr>
          <w:color w:val="000000"/>
          <w:sz w:val="24"/>
        </w:rPr>
        <w:t>11</w:t>
      </w:r>
      <w:r>
        <w:rPr>
          <w:color w:val="000000"/>
          <w:sz w:val="24"/>
        </w:rPr>
        <w:t>月新增信贷</w:t>
      </w:r>
      <w:r>
        <w:rPr>
          <w:color w:val="000000"/>
          <w:sz w:val="24"/>
        </w:rPr>
        <w:t>8527</w:t>
      </w:r>
      <w:r>
        <w:rPr>
          <w:color w:val="000000"/>
          <w:sz w:val="24"/>
        </w:rPr>
        <w:t>亿，社会融资规模</w:t>
      </w:r>
      <w:r>
        <w:rPr>
          <w:color w:val="000000"/>
          <w:sz w:val="24"/>
        </w:rPr>
        <w:t>11463</w:t>
      </w:r>
      <w:r>
        <w:rPr>
          <w:color w:val="000000"/>
          <w:sz w:val="24"/>
        </w:rPr>
        <w:t>亿；工业增长依旧疲弱，</w:t>
      </w:r>
      <w:r>
        <w:rPr>
          <w:color w:val="000000"/>
          <w:sz w:val="24"/>
        </w:rPr>
        <w:t>10</w:t>
      </w:r>
      <w:r>
        <w:rPr>
          <w:color w:val="000000"/>
          <w:sz w:val="24"/>
        </w:rPr>
        <w:t>月工业增加值下滑至</w:t>
      </w:r>
      <w:r>
        <w:rPr>
          <w:color w:val="000000"/>
          <w:sz w:val="24"/>
        </w:rPr>
        <w:t>7.7%</w:t>
      </w:r>
      <w:r>
        <w:rPr>
          <w:color w:val="000000"/>
          <w:sz w:val="24"/>
        </w:rPr>
        <w:t>，</w:t>
      </w:r>
      <w:r>
        <w:rPr>
          <w:color w:val="000000"/>
          <w:sz w:val="24"/>
        </w:rPr>
        <w:t>11</w:t>
      </w:r>
      <w:r>
        <w:rPr>
          <w:color w:val="000000"/>
          <w:sz w:val="24"/>
        </w:rPr>
        <w:t>月继续下降至</w:t>
      </w:r>
      <w:r>
        <w:rPr>
          <w:color w:val="000000"/>
          <w:sz w:val="24"/>
        </w:rPr>
        <w:t>7.2%</w:t>
      </w:r>
      <w:r>
        <w:rPr>
          <w:color w:val="000000"/>
          <w:sz w:val="24"/>
        </w:rPr>
        <w:t>；同时</w:t>
      </w:r>
      <w:r>
        <w:rPr>
          <w:color w:val="000000"/>
          <w:sz w:val="24"/>
        </w:rPr>
        <w:t>PMI</w:t>
      </w:r>
      <w:r>
        <w:rPr>
          <w:color w:val="000000"/>
          <w:sz w:val="24"/>
        </w:rPr>
        <w:t>在四季度内连续三个月下滑，</w:t>
      </w:r>
      <w:r>
        <w:rPr>
          <w:color w:val="000000"/>
          <w:sz w:val="24"/>
        </w:rPr>
        <w:t>12</w:t>
      </w:r>
      <w:r>
        <w:rPr>
          <w:color w:val="000000"/>
          <w:sz w:val="24"/>
        </w:rPr>
        <w:t>月</w:t>
      </w:r>
      <w:r>
        <w:rPr>
          <w:color w:val="000000"/>
          <w:sz w:val="24"/>
        </w:rPr>
        <w:t>PMI50.1</w:t>
      </w:r>
      <w:r>
        <w:rPr>
          <w:color w:val="000000"/>
          <w:sz w:val="24"/>
        </w:rPr>
        <w:t>。货币政策层面，本报告期内受通缩压力影响，</w:t>
      </w:r>
      <w:r>
        <w:rPr>
          <w:color w:val="000000"/>
          <w:sz w:val="24"/>
        </w:rPr>
        <w:t>11</w:t>
      </w:r>
      <w:r>
        <w:rPr>
          <w:color w:val="000000"/>
          <w:sz w:val="24"/>
        </w:rPr>
        <w:t>月</w:t>
      </w:r>
      <w:r>
        <w:rPr>
          <w:color w:val="000000"/>
          <w:sz w:val="24"/>
        </w:rPr>
        <w:t>22</w:t>
      </w:r>
      <w:r>
        <w:rPr>
          <w:color w:val="000000"/>
          <w:sz w:val="24"/>
        </w:rPr>
        <w:t>日央行不对称降息；然而，在</w:t>
      </w:r>
      <w:r>
        <w:rPr>
          <w:color w:val="000000"/>
          <w:sz w:val="24"/>
        </w:rPr>
        <w:t>12</w:t>
      </w:r>
      <w:r>
        <w:rPr>
          <w:color w:val="000000"/>
          <w:sz w:val="24"/>
        </w:rPr>
        <w:t>月市场资金面较为紧张情况下，市场期待已久的降准并未出现，由此可见，央行仍维持较为稳健的货币政策。</w:t>
      </w:r>
    </w:p>
    <w:p w:rsidR="007E360B" w:rsidRDefault="00273A54">
      <w:pPr>
        <w:spacing w:before="29" w:line="288" w:lineRule="auto"/>
        <w:ind w:firstLineChars="200" w:firstLine="480"/>
        <w:rPr>
          <w:color w:val="000000"/>
          <w:sz w:val="24"/>
        </w:rPr>
      </w:pPr>
      <w:r>
        <w:rPr>
          <w:color w:val="000000"/>
          <w:sz w:val="24"/>
        </w:rPr>
        <w:t>本报告期内，债券市场受资金面的扰动较为明显。在上半季度，债券市场收益率一路下行，</w:t>
      </w:r>
      <w:r>
        <w:rPr>
          <w:color w:val="000000"/>
          <w:sz w:val="24"/>
        </w:rPr>
        <w:t>11</w:t>
      </w:r>
      <w:r>
        <w:rPr>
          <w:color w:val="000000"/>
          <w:sz w:val="24"/>
        </w:rPr>
        <w:t>月</w:t>
      </w:r>
      <w:r>
        <w:rPr>
          <w:color w:val="000000"/>
          <w:sz w:val="24"/>
        </w:rPr>
        <w:t>22</w:t>
      </w:r>
      <w:r>
        <w:rPr>
          <w:color w:val="000000"/>
          <w:sz w:val="24"/>
        </w:rPr>
        <w:t>日降息使得</w:t>
      </w:r>
      <w:r>
        <w:rPr>
          <w:color w:val="000000"/>
          <w:sz w:val="24"/>
        </w:rPr>
        <w:t>10</w:t>
      </w:r>
      <w:r>
        <w:rPr>
          <w:color w:val="000000"/>
          <w:sz w:val="24"/>
        </w:rPr>
        <w:t>年国开债重回此前低点</w:t>
      </w:r>
      <w:r>
        <w:rPr>
          <w:color w:val="000000"/>
          <w:sz w:val="24"/>
        </w:rPr>
        <w:t>3.87%</w:t>
      </w:r>
      <w:r>
        <w:rPr>
          <w:color w:val="000000"/>
          <w:sz w:val="24"/>
        </w:rPr>
        <w:t>水平；然而此后，</w:t>
      </w:r>
      <w:r>
        <w:rPr>
          <w:color w:val="000000"/>
          <w:sz w:val="24"/>
        </w:rPr>
        <w:t>12</w:t>
      </w:r>
      <w:r>
        <w:rPr>
          <w:color w:val="000000"/>
          <w:sz w:val="24"/>
        </w:rPr>
        <w:t>月</w:t>
      </w:r>
      <w:r>
        <w:rPr>
          <w:color w:val="000000"/>
          <w:sz w:val="24"/>
        </w:rPr>
        <w:t>9</w:t>
      </w:r>
      <w:r>
        <w:rPr>
          <w:color w:val="000000"/>
          <w:sz w:val="24"/>
        </w:rPr>
        <w:t>日中证登对质押券调整的公告使得债券市场受到重挫，此后</w:t>
      </w:r>
      <w:r>
        <w:rPr>
          <w:color w:val="000000"/>
          <w:sz w:val="24"/>
        </w:rPr>
        <w:t>12</w:t>
      </w:r>
      <w:r>
        <w:rPr>
          <w:color w:val="000000"/>
          <w:sz w:val="24"/>
        </w:rPr>
        <w:t>月受</w:t>
      </w:r>
      <w:r>
        <w:rPr>
          <w:color w:val="000000"/>
          <w:sz w:val="24"/>
        </w:rPr>
        <w:t>IPO</w:t>
      </w:r>
      <w:r>
        <w:rPr>
          <w:color w:val="000000"/>
          <w:sz w:val="24"/>
        </w:rPr>
        <w:t>及年底因素影响，市场流动性一度极为紧张，债券收益率一路上行；另一方面，受权益市场的火爆也对债券收益率产生了一定的推升，同时延续三季度末市场对未来可能出现的宽信用的担忧，债券收益率的上行也反映了机构投资者对此的担忧。收益率曲线呈现极度平坦化的走势，甚至在年底出现了倒挂。本报告期内，中债总财富指数上涨</w:t>
      </w:r>
      <w:r>
        <w:rPr>
          <w:color w:val="000000"/>
          <w:sz w:val="24"/>
        </w:rPr>
        <w:t>3.22%</w:t>
      </w:r>
      <w:r>
        <w:rPr>
          <w:color w:val="000000"/>
          <w:sz w:val="24"/>
        </w:rPr>
        <w:t>，绝大部分收益发生在</w:t>
      </w:r>
      <w:r>
        <w:rPr>
          <w:color w:val="000000"/>
          <w:sz w:val="24"/>
        </w:rPr>
        <w:t>10</w:t>
      </w:r>
      <w:r>
        <w:rPr>
          <w:color w:val="000000"/>
          <w:sz w:val="24"/>
        </w:rPr>
        <w:t>月份及</w:t>
      </w:r>
      <w:r>
        <w:rPr>
          <w:color w:val="000000"/>
          <w:sz w:val="24"/>
        </w:rPr>
        <w:t>11</w:t>
      </w:r>
      <w:r>
        <w:rPr>
          <w:color w:val="000000"/>
          <w:sz w:val="24"/>
        </w:rPr>
        <w:t>月上半月。</w:t>
      </w:r>
    </w:p>
    <w:p w:rsidR="007E360B" w:rsidRDefault="00273A54">
      <w:pPr>
        <w:spacing w:before="29" w:line="288" w:lineRule="auto"/>
        <w:ind w:firstLineChars="200" w:firstLine="480"/>
        <w:rPr>
          <w:color w:val="000000"/>
          <w:sz w:val="24"/>
        </w:rPr>
      </w:pPr>
      <w:r>
        <w:rPr>
          <w:color w:val="000000"/>
          <w:sz w:val="24"/>
        </w:rPr>
        <w:t>本基金在本报告期内连续降低债券持仓。本报告期内，货币市场流动性产生了剧烈的波动，同时，受流动性紧张影响，短端收益率也出现大幅上行。由于受到市场及赎回因素影响，本基金在四季度的收益率产生了一定的波动，但由于反应及时，组合仍保持较好的流动性。</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2015</w:t>
      </w:r>
      <w:r w:rsidRPr="000E4C40">
        <w:rPr>
          <w:color w:val="000000"/>
          <w:sz w:val="24"/>
        </w:rPr>
        <w:t>年一季度，央行大概率仍将保持稳健货币政策，货币市场资金面情况应比</w:t>
      </w:r>
      <w:r w:rsidRPr="000E4C40">
        <w:rPr>
          <w:color w:val="000000"/>
          <w:sz w:val="24"/>
        </w:rPr>
        <w:t>12</w:t>
      </w:r>
      <w:r w:rsidRPr="000E4C40">
        <w:rPr>
          <w:color w:val="000000"/>
          <w:sz w:val="24"/>
        </w:rPr>
        <w:t>月宽松，然而受连续</w:t>
      </w:r>
      <w:r w:rsidRPr="000E4C40">
        <w:rPr>
          <w:color w:val="000000"/>
          <w:sz w:val="24"/>
        </w:rPr>
        <w:t>IPO</w:t>
      </w:r>
      <w:r w:rsidRPr="000E4C40">
        <w:rPr>
          <w:color w:val="000000"/>
          <w:sz w:val="24"/>
        </w:rPr>
        <w:t>影响，流动性情况可能仍无法非常乐观；同时，央行货币政策的态度仍较为稳健，仅仅期待降准等货币政策对货币市场的刺激可能未必现实，债券收益率大幅下行的可能性也较小。因此，组合在</w:t>
      </w:r>
      <w:r w:rsidRPr="000E4C40">
        <w:rPr>
          <w:color w:val="000000"/>
          <w:sz w:val="24"/>
        </w:rPr>
        <w:t>2015</w:t>
      </w:r>
      <w:r w:rsidRPr="000E4C40">
        <w:rPr>
          <w:color w:val="000000"/>
          <w:sz w:val="24"/>
        </w:rPr>
        <w:t>年一季度将保持中性债券仓位，同时由于</w:t>
      </w:r>
      <w:r w:rsidRPr="000E4C40">
        <w:rPr>
          <w:color w:val="000000"/>
          <w:sz w:val="24"/>
        </w:rPr>
        <w:t>IPO</w:t>
      </w:r>
      <w:r w:rsidRPr="000E4C40">
        <w:rPr>
          <w:color w:val="000000"/>
          <w:sz w:val="24"/>
        </w:rPr>
        <w:t>间歇性冲击，增加逆回购资产的持仓，在保持流动性平稳的同时，努力增加基金收益性。</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0.9740%</w:t>
      </w:r>
      <w:r w:rsidRPr="000E4C40">
        <w:rPr>
          <w:color w:val="000000"/>
          <w:sz w:val="24"/>
        </w:rPr>
        <w:t>，同期业绩比较基准增长率为</w:t>
      </w:r>
      <w:r w:rsidRPr="000E4C40">
        <w:rPr>
          <w:color w:val="000000"/>
          <w:sz w:val="24"/>
        </w:rPr>
        <w:t>0.6784%</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1.0349%</w:t>
      </w:r>
      <w:r w:rsidRPr="000E4C40">
        <w:rPr>
          <w:color w:val="000000"/>
          <w:sz w:val="24"/>
        </w:rPr>
        <w:t>，同期业绩比较基准增长率为</w:t>
      </w:r>
      <w:r w:rsidRPr="000E4C40">
        <w:rPr>
          <w:color w:val="000000"/>
          <w:sz w:val="24"/>
        </w:rPr>
        <w:t>0.6784%</w:t>
      </w:r>
      <w:r w:rsidRPr="000E4C40">
        <w:rPr>
          <w:color w:val="000000"/>
          <w:sz w:val="24"/>
        </w:rPr>
        <w:t>。</w:t>
      </w:r>
    </w:p>
    <w:p w:rsidR="00BE5584" w:rsidRDefault="00BE5584" w:rsidP="00281564">
      <w:pPr>
        <w:autoSpaceDE w:val="0"/>
        <w:autoSpaceDN w:val="0"/>
        <w:adjustRightInd w:val="0"/>
        <w:spacing w:before="29" w:line="288" w:lineRule="auto"/>
        <w:jc w:val="left"/>
        <w:rPr>
          <w:kern w:val="0"/>
          <w:sz w:val="24"/>
        </w:rPr>
      </w:pPr>
    </w:p>
    <w:p w:rsidR="00273A54" w:rsidRPr="002070B4" w:rsidRDefault="00273A54" w:rsidP="00273A5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3A54" w:rsidRDefault="00273A54" w:rsidP="00273A54">
      <w:pPr>
        <w:spacing w:before="29" w:line="288" w:lineRule="auto"/>
        <w:ind w:firstLineChars="200" w:firstLine="480"/>
        <w:rPr>
          <w:color w:val="000000"/>
          <w:sz w:val="24"/>
        </w:rPr>
      </w:pPr>
      <w:r w:rsidRPr="002070B4">
        <w:rPr>
          <w:color w:val="000000"/>
          <w:sz w:val="24"/>
        </w:rPr>
        <w:t>本基金本报告期内无需预警说明。</w:t>
      </w:r>
    </w:p>
    <w:p w:rsidR="00273A54" w:rsidRPr="00273A54" w:rsidRDefault="00273A54" w:rsidP="00281564">
      <w:pPr>
        <w:autoSpaceDE w:val="0"/>
        <w:autoSpaceDN w:val="0"/>
        <w:adjustRightInd w:val="0"/>
        <w:spacing w:before="29" w:line="288" w:lineRule="auto"/>
        <w:jc w:val="left"/>
        <w:rPr>
          <w:kern w:val="0"/>
          <w:sz w:val="24"/>
        </w:rPr>
      </w:pPr>
    </w:p>
    <w:bookmarkEnd w:id="1"/>
    <w:bookmarkEnd w:id="2"/>
    <w:p w:rsidR="00902E3F" w:rsidRPr="000E4C40" w:rsidRDefault="00902E3F"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1,928,900,411.96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38.57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1,928,900,411.96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38.57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795,819,637.61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15.91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50,344,039.39</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1.01</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2,187,269,621.24</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43.74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88,668,703.58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1.77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5,000,658,374.39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3.83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246,249,510.62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5.20</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120</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152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95</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180</w:t>
      </w:r>
      <w:r w:rsidRPr="000E4C40">
        <w:rPr>
          <w:rFonts w:hAnsi="宋体"/>
          <w:b/>
          <w:color w:val="000000"/>
          <w:kern w:val="0"/>
          <w:sz w:val="24"/>
        </w:rPr>
        <w:t>天情况说明</w:t>
      </w:r>
    </w:p>
    <w:p w:rsidR="00193BCF"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本基金本报告期内投资组合平均剩余期限未超过</w:t>
      </w:r>
      <w:r w:rsidRPr="000E4C40">
        <w:rPr>
          <w:color w:val="000000"/>
          <w:sz w:val="24"/>
        </w:rPr>
        <w:t>180</w:t>
      </w:r>
      <w:r w:rsidRPr="000E4C40">
        <w:rPr>
          <w:color w:val="000000"/>
          <w:sz w:val="24"/>
        </w:rPr>
        <w:t>天。</w:t>
      </w:r>
    </w:p>
    <w:p w:rsidR="007521F9" w:rsidRPr="000E4C40"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27.96</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5.20</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10.90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4.78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42.94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0.84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17.21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103.79</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5.20</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260"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261"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984"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300,064,284.92</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6.34</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300,064,284.92</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6.34</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39,812,172.25</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0.84</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1,589,023,954.79</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33.58</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7</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2C1941">
        <w:trPr>
          <w:jc w:val="center"/>
        </w:trPr>
        <w:tc>
          <w:tcPr>
            <w:tcW w:w="817"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8</w:t>
            </w:r>
          </w:p>
        </w:tc>
        <w:tc>
          <w:tcPr>
            <w:tcW w:w="3260"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261"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1,928,900,411.96</w:t>
            </w:r>
          </w:p>
        </w:tc>
        <w:tc>
          <w:tcPr>
            <w:tcW w:w="1984"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40.76</w:t>
            </w:r>
          </w:p>
        </w:tc>
      </w:tr>
      <w:tr w:rsidR="00813897" w:rsidRPr="000E4C40" w:rsidTr="002C1941">
        <w:trPr>
          <w:jc w:val="center"/>
        </w:trPr>
        <w:tc>
          <w:tcPr>
            <w:tcW w:w="817" w:type="dxa"/>
            <w:vAlign w:val="center"/>
          </w:tcPr>
          <w:p w:rsidR="00813897" w:rsidRPr="000E4C40" w:rsidRDefault="00813897" w:rsidP="00281564">
            <w:pPr>
              <w:spacing w:before="29" w:line="288" w:lineRule="auto"/>
              <w:ind w:left="17"/>
              <w:jc w:val="center"/>
              <w:rPr>
                <w:color w:val="000000"/>
                <w:sz w:val="24"/>
              </w:rPr>
            </w:pPr>
            <w:r w:rsidRPr="000E4C40">
              <w:rPr>
                <w:color w:val="000000"/>
                <w:sz w:val="24"/>
              </w:rPr>
              <w:t>9</w:t>
            </w:r>
          </w:p>
        </w:tc>
        <w:tc>
          <w:tcPr>
            <w:tcW w:w="3260"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261"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39,812,172.25</w:t>
            </w:r>
          </w:p>
        </w:tc>
        <w:tc>
          <w:tcPr>
            <w:tcW w:w="1984"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0.84</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65"/>
        <w:gridCol w:w="1296"/>
        <w:gridCol w:w="1781"/>
        <w:gridCol w:w="1217"/>
        <w:gridCol w:w="2160"/>
        <w:gridCol w:w="1449"/>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E360B">
        <w:trPr>
          <w:jc w:val="center"/>
        </w:trPr>
        <w:tc>
          <w:tcPr>
            <w:tcW w:w="0" w:type="auto"/>
            <w:vAlign w:val="center"/>
          </w:tcPr>
          <w:p w:rsidR="007E360B" w:rsidRDefault="00273A54">
            <w:pPr>
              <w:jc w:val="center"/>
            </w:pPr>
            <w:r>
              <w:rPr>
                <w:color w:val="000000"/>
                <w:sz w:val="24"/>
              </w:rPr>
              <w:t>1</w:t>
            </w:r>
          </w:p>
        </w:tc>
        <w:tc>
          <w:tcPr>
            <w:tcW w:w="0" w:type="auto"/>
            <w:vAlign w:val="center"/>
          </w:tcPr>
          <w:p w:rsidR="007E360B" w:rsidRDefault="00273A54">
            <w:pPr>
              <w:jc w:val="center"/>
            </w:pPr>
            <w:r>
              <w:rPr>
                <w:color w:val="000000"/>
                <w:sz w:val="24"/>
              </w:rPr>
              <w:t>140213</w:t>
            </w:r>
          </w:p>
        </w:tc>
        <w:tc>
          <w:tcPr>
            <w:tcW w:w="0" w:type="auto"/>
            <w:vAlign w:val="center"/>
          </w:tcPr>
          <w:p w:rsidR="007E360B" w:rsidRDefault="00273A54">
            <w:pPr>
              <w:jc w:val="center"/>
            </w:pPr>
            <w:r>
              <w:rPr>
                <w:color w:val="000000"/>
                <w:sz w:val="24"/>
              </w:rPr>
              <w:t>14</w:t>
            </w:r>
            <w:r>
              <w:rPr>
                <w:color w:val="000000"/>
                <w:sz w:val="24"/>
              </w:rPr>
              <w:t>国开</w:t>
            </w:r>
            <w:r>
              <w:rPr>
                <w:color w:val="000000"/>
                <w:sz w:val="24"/>
              </w:rPr>
              <w:t>13</w:t>
            </w:r>
          </w:p>
        </w:tc>
        <w:tc>
          <w:tcPr>
            <w:tcW w:w="0" w:type="auto"/>
            <w:vAlign w:val="center"/>
          </w:tcPr>
          <w:p w:rsidR="007E360B" w:rsidRDefault="00273A54">
            <w:pPr>
              <w:jc w:val="right"/>
            </w:pPr>
            <w:r>
              <w:rPr>
                <w:color w:val="000000"/>
                <w:sz w:val="24"/>
              </w:rPr>
              <w:t>3,000,000</w:t>
            </w:r>
          </w:p>
        </w:tc>
        <w:tc>
          <w:tcPr>
            <w:tcW w:w="0" w:type="auto"/>
            <w:vAlign w:val="center"/>
          </w:tcPr>
          <w:p w:rsidR="007E360B" w:rsidRDefault="00273A54">
            <w:pPr>
              <w:jc w:val="right"/>
            </w:pPr>
            <w:r>
              <w:rPr>
                <w:color w:val="000000"/>
                <w:sz w:val="24"/>
              </w:rPr>
              <w:t>300,064,284.92</w:t>
            </w:r>
          </w:p>
        </w:tc>
        <w:tc>
          <w:tcPr>
            <w:tcW w:w="0" w:type="auto"/>
            <w:vAlign w:val="center"/>
          </w:tcPr>
          <w:p w:rsidR="007E360B" w:rsidRDefault="00273A54">
            <w:pPr>
              <w:jc w:val="right"/>
            </w:pPr>
            <w:r>
              <w:rPr>
                <w:color w:val="000000"/>
                <w:sz w:val="24"/>
              </w:rPr>
              <w:t>6.34</w:t>
            </w:r>
          </w:p>
        </w:tc>
      </w:tr>
      <w:tr w:rsidR="007E360B">
        <w:trPr>
          <w:jc w:val="center"/>
        </w:trPr>
        <w:tc>
          <w:tcPr>
            <w:tcW w:w="0" w:type="auto"/>
            <w:vAlign w:val="center"/>
          </w:tcPr>
          <w:p w:rsidR="007E360B" w:rsidRDefault="00273A54">
            <w:pPr>
              <w:jc w:val="center"/>
            </w:pPr>
            <w:r>
              <w:rPr>
                <w:color w:val="000000"/>
                <w:sz w:val="24"/>
              </w:rPr>
              <w:t>2</w:t>
            </w:r>
          </w:p>
        </w:tc>
        <w:tc>
          <w:tcPr>
            <w:tcW w:w="0" w:type="auto"/>
            <w:vAlign w:val="center"/>
          </w:tcPr>
          <w:p w:rsidR="007E360B" w:rsidRDefault="00273A54">
            <w:pPr>
              <w:jc w:val="center"/>
            </w:pPr>
            <w:r>
              <w:rPr>
                <w:color w:val="000000"/>
                <w:sz w:val="24"/>
              </w:rPr>
              <w:t>041461012</w:t>
            </w:r>
          </w:p>
        </w:tc>
        <w:tc>
          <w:tcPr>
            <w:tcW w:w="0" w:type="auto"/>
            <w:vAlign w:val="center"/>
          </w:tcPr>
          <w:p w:rsidR="007E360B" w:rsidRDefault="00273A54">
            <w:pPr>
              <w:jc w:val="center"/>
            </w:pPr>
            <w:r>
              <w:rPr>
                <w:color w:val="000000"/>
                <w:sz w:val="24"/>
              </w:rPr>
              <w:t>14</w:t>
            </w:r>
            <w:r>
              <w:rPr>
                <w:color w:val="000000"/>
                <w:sz w:val="24"/>
              </w:rPr>
              <w:t>津城建</w:t>
            </w:r>
            <w:r>
              <w:rPr>
                <w:color w:val="000000"/>
                <w:sz w:val="24"/>
              </w:rPr>
              <w:t>CP001</w:t>
            </w:r>
          </w:p>
        </w:tc>
        <w:tc>
          <w:tcPr>
            <w:tcW w:w="0" w:type="auto"/>
            <w:vAlign w:val="center"/>
          </w:tcPr>
          <w:p w:rsidR="007E360B" w:rsidRDefault="00273A54">
            <w:pPr>
              <w:jc w:val="right"/>
            </w:pPr>
            <w:r>
              <w:rPr>
                <w:color w:val="000000"/>
                <w:sz w:val="24"/>
              </w:rPr>
              <w:t>1,000,000</w:t>
            </w:r>
          </w:p>
        </w:tc>
        <w:tc>
          <w:tcPr>
            <w:tcW w:w="0" w:type="auto"/>
            <w:vAlign w:val="center"/>
          </w:tcPr>
          <w:p w:rsidR="007E360B" w:rsidRDefault="00273A54">
            <w:pPr>
              <w:jc w:val="right"/>
            </w:pPr>
            <w:r>
              <w:rPr>
                <w:color w:val="000000"/>
                <w:sz w:val="24"/>
              </w:rPr>
              <w:t>100,976,193.66</w:t>
            </w:r>
          </w:p>
        </w:tc>
        <w:tc>
          <w:tcPr>
            <w:tcW w:w="0" w:type="auto"/>
            <w:vAlign w:val="center"/>
          </w:tcPr>
          <w:p w:rsidR="007E360B" w:rsidRDefault="00273A54">
            <w:pPr>
              <w:jc w:val="right"/>
            </w:pPr>
            <w:r>
              <w:rPr>
                <w:color w:val="000000"/>
                <w:sz w:val="24"/>
              </w:rPr>
              <w:t>2.13</w:t>
            </w:r>
          </w:p>
        </w:tc>
      </w:tr>
      <w:tr w:rsidR="007E360B">
        <w:trPr>
          <w:jc w:val="center"/>
        </w:trPr>
        <w:tc>
          <w:tcPr>
            <w:tcW w:w="0" w:type="auto"/>
            <w:vAlign w:val="center"/>
          </w:tcPr>
          <w:p w:rsidR="007E360B" w:rsidRDefault="00273A54">
            <w:pPr>
              <w:jc w:val="center"/>
            </w:pPr>
            <w:r>
              <w:rPr>
                <w:color w:val="000000"/>
                <w:sz w:val="24"/>
              </w:rPr>
              <w:t>3</w:t>
            </w:r>
          </w:p>
        </w:tc>
        <w:tc>
          <w:tcPr>
            <w:tcW w:w="0" w:type="auto"/>
            <w:vAlign w:val="center"/>
          </w:tcPr>
          <w:p w:rsidR="007E360B" w:rsidRDefault="00273A54">
            <w:pPr>
              <w:jc w:val="center"/>
            </w:pPr>
            <w:r>
              <w:rPr>
                <w:color w:val="000000"/>
                <w:sz w:val="24"/>
              </w:rPr>
              <w:t>041453050</w:t>
            </w:r>
          </w:p>
        </w:tc>
        <w:tc>
          <w:tcPr>
            <w:tcW w:w="0" w:type="auto"/>
            <w:vAlign w:val="center"/>
          </w:tcPr>
          <w:p w:rsidR="007E360B" w:rsidRDefault="00273A54">
            <w:pPr>
              <w:jc w:val="center"/>
            </w:pPr>
            <w:r>
              <w:rPr>
                <w:color w:val="000000"/>
                <w:sz w:val="24"/>
              </w:rPr>
              <w:t>14</w:t>
            </w:r>
            <w:r>
              <w:rPr>
                <w:color w:val="000000"/>
                <w:sz w:val="24"/>
              </w:rPr>
              <w:t>云天化</w:t>
            </w:r>
            <w:r>
              <w:rPr>
                <w:color w:val="000000"/>
                <w:sz w:val="24"/>
              </w:rPr>
              <w:t>CP002</w:t>
            </w:r>
          </w:p>
        </w:tc>
        <w:tc>
          <w:tcPr>
            <w:tcW w:w="0" w:type="auto"/>
            <w:vAlign w:val="center"/>
          </w:tcPr>
          <w:p w:rsidR="007E360B" w:rsidRDefault="00273A54">
            <w:pPr>
              <w:jc w:val="right"/>
            </w:pPr>
            <w:r>
              <w:rPr>
                <w:color w:val="000000"/>
                <w:sz w:val="24"/>
              </w:rPr>
              <w:t>1,000,000</w:t>
            </w:r>
          </w:p>
        </w:tc>
        <w:tc>
          <w:tcPr>
            <w:tcW w:w="0" w:type="auto"/>
            <w:vAlign w:val="center"/>
          </w:tcPr>
          <w:p w:rsidR="007E360B" w:rsidRDefault="00273A54">
            <w:pPr>
              <w:jc w:val="right"/>
            </w:pPr>
            <w:r>
              <w:rPr>
                <w:color w:val="000000"/>
                <w:sz w:val="24"/>
              </w:rPr>
              <w:t>100,795,676.25</w:t>
            </w:r>
          </w:p>
        </w:tc>
        <w:tc>
          <w:tcPr>
            <w:tcW w:w="0" w:type="auto"/>
            <w:vAlign w:val="center"/>
          </w:tcPr>
          <w:p w:rsidR="007E360B" w:rsidRDefault="00273A54">
            <w:pPr>
              <w:jc w:val="right"/>
            </w:pPr>
            <w:r>
              <w:rPr>
                <w:color w:val="000000"/>
                <w:sz w:val="24"/>
              </w:rPr>
              <w:t>2.13</w:t>
            </w:r>
          </w:p>
        </w:tc>
      </w:tr>
      <w:tr w:rsidR="007E360B">
        <w:trPr>
          <w:jc w:val="center"/>
        </w:trPr>
        <w:tc>
          <w:tcPr>
            <w:tcW w:w="0" w:type="auto"/>
            <w:vAlign w:val="center"/>
          </w:tcPr>
          <w:p w:rsidR="007E360B" w:rsidRDefault="00273A54">
            <w:pPr>
              <w:jc w:val="center"/>
            </w:pPr>
            <w:r>
              <w:rPr>
                <w:color w:val="000000"/>
                <w:sz w:val="24"/>
              </w:rPr>
              <w:t>4</w:t>
            </w:r>
          </w:p>
        </w:tc>
        <w:tc>
          <w:tcPr>
            <w:tcW w:w="0" w:type="auto"/>
            <w:vAlign w:val="center"/>
          </w:tcPr>
          <w:p w:rsidR="007E360B" w:rsidRDefault="00273A54">
            <w:pPr>
              <w:jc w:val="center"/>
            </w:pPr>
            <w:r>
              <w:rPr>
                <w:color w:val="000000"/>
                <w:sz w:val="24"/>
              </w:rPr>
              <w:t>071422010</w:t>
            </w:r>
          </w:p>
        </w:tc>
        <w:tc>
          <w:tcPr>
            <w:tcW w:w="0" w:type="auto"/>
            <w:vAlign w:val="center"/>
          </w:tcPr>
          <w:p w:rsidR="007E360B" w:rsidRDefault="00273A54">
            <w:pPr>
              <w:jc w:val="center"/>
            </w:pPr>
            <w:r>
              <w:rPr>
                <w:color w:val="000000"/>
                <w:sz w:val="24"/>
              </w:rPr>
              <w:t>14</w:t>
            </w:r>
            <w:r>
              <w:rPr>
                <w:color w:val="000000"/>
                <w:sz w:val="24"/>
              </w:rPr>
              <w:t>齐鲁证券</w:t>
            </w:r>
            <w:r>
              <w:rPr>
                <w:color w:val="000000"/>
                <w:sz w:val="24"/>
              </w:rPr>
              <w:t>CP010</w:t>
            </w:r>
          </w:p>
        </w:tc>
        <w:tc>
          <w:tcPr>
            <w:tcW w:w="0" w:type="auto"/>
            <w:vAlign w:val="center"/>
          </w:tcPr>
          <w:p w:rsidR="007E360B" w:rsidRDefault="00273A54">
            <w:pPr>
              <w:jc w:val="right"/>
            </w:pPr>
            <w:r>
              <w:rPr>
                <w:color w:val="000000"/>
                <w:sz w:val="24"/>
              </w:rPr>
              <w:t>1,000,000</w:t>
            </w:r>
          </w:p>
        </w:tc>
        <w:tc>
          <w:tcPr>
            <w:tcW w:w="0" w:type="auto"/>
            <w:vAlign w:val="center"/>
          </w:tcPr>
          <w:p w:rsidR="007E360B" w:rsidRDefault="00273A54">
            <w:pPr>
              <w:jc w:val="right"/>
            </w:pPr>
            <w:r>
              <w:rPr>
                <w:color w:val="000000"/>
                <w:sz w:val="24"/>
              </w:rPr>
              <w:t>100,002,558.67</w:t>
            </w:r>
          </w:p>
        </w:tc>
        <w:tc>
          <w:tcPr>
            <w:tcW w:w="0" w:type="auto"/>
            <w:vAlign w:val="center"/>
          </w:tcPr>
          <w:p w:rsidR="007E360B" w:rsidRDefault="00273A54">
            <w:pPr>
              <w:jc w:val="right"/>
            </w:pPr>
            <w:r>
              <w:rPr>
                <w:color w:val="000000"/>
                <w:sz w:val="24"/>
              </w:rPr>
              <w:t>2.11</w:t>
            </w:r>
          </w:p>
        </w:tc>
      </w:tr>
      <w:tr w:rsidR="007E360B">
        <w:trPr>
          <w:jc w:val="center"/>
        </w:trPr>
        <w:tc>
          <w:tcPr>
            <w:tcW w:w="0" w:type="auto"/>
            <w:vAlign w:val="center"/>
          </w:tcPr>
          <w:p w:rsidR="007E360B" w:rsidRDefault="00273A54">
            <w:pPr>
              <w:jc w:val="center"/>
            </w:pPr>
            <w:r>
              <w:rPr>
                <w:color w:val="000000"/>
                <w:sz w:val="24"/>
              </w:rPr>
              <w:t>5</w:t>
            </w:r>
          </w:p>
        </w:tc>
        <w:tc>
          <w:tcPr>
            <w:tcW w:w="0" w:type="auto"/>
            <w:vAlign w:val="center"/>
          </w:tcPr>
          <w:p w:rsidR="007E360B" w:rsidRDefault="00273A54">
            <w:pPr>
              <w:jc w:val="center"/>
            </w:pPr>
            <w:r>
              <w:rPr>
                <w:color w:val="000000"/>
                <w:sz w:val="24"/>
              </w:rPr>
              <w:t>041451034</w:t>
            </w:r>
          </w:p>
        </w:tc>
        <w:tc>
          <w:tcPr>
            <w:tcW w:w="0" w:type="auto"/>
            <w:vAlign w:val="center"/>
          </w:tcPr>
          <w:p w:rsidR="007E360B" w:rsidRDefault="00273A54">
            <w:pPr>
              <w:jc w:val="center"/>
            </w:pPr>
            <w:r>
              <w:rPr>
                <w:color w:val="000000"/>
                <w:sz w:val="24"/>
              </w:rPr>
              <w:t>14</w:t>
            </w:r>
            <w:r>
              <w:rPr>
                <w:color w:val="000000"/>
                <w:sz w:val="24"/>
              </w:rPr>
              <w:t>大国资</w:t>
            </w:r>
            <w:r>
              <w:rPr>
                <w:color w:val="000000"/>
                <w:sz w:val="24"/>
              </w:rPr>
              <w:t>CP001</w:t>
            </w:r>
          </w:p>
        </w:tc>
        <w:tc>
          <w:tcPr>
            <w:tcW w:w="0" w:type="auto"/>
            <w:vAlign w:val="center"/>
          </w:tcPr>
          <w:p w:rsidR="007E360B" w:rsidRDefault="00273A54">
            <w:pPr>
              <w:jc w:val="right"/>
            </w:pPr>
            <w:r>
              <w:rPr>
                <w:color w:val="000000"/>
                <w:sz w:val="24"/>
              </w:rPr>
              <w:t>800,000</w:t>
            </w:r>
          </w:p>
        </w:tc>
        <w:tc>
          <w:tcPr>
            <w:tcW w:w="0" w:type="auto"/>
            <w:vAlign w:val="center"/>
          </w:tcPr>
          <w:p w:rsidR="007E360B" w:rsidRDefault="00273A54">
            <w:pPr>
              <w:jc w:val="right"/>
            </w:pPr>
            <w:r>
              <w:rPr>
                <w:color w:val="000000"/>
                <w:sz w:val="24"/>
              </w:rPr>
              <w:t>80,567,887.39</w:t>
            </w:r>
          </w:p>
        </w:tc>
        <w:tc>
          <w:tcPr>
            <w:tcW w:w="0" w:type="auto"/>
            <w:vAlign w:val="center"/>
          </w:tcPr>
          <w:p w:rsidR="007E360B" w:rsidRDefault="00273A54">
            <w:pPr>
              <w:jc w:val="right"/>
            </w:pPr>
            <w:r>
              <w:rPr>
                <w:color w:val="000000"/>
                <w:sz w:val="24"/>
              </w:rPr>
              <w:t>1.70</w:t>
            </w:r>
          </w:p>
        </w:tc>
      </w:tr>
      <w:tr w:rsidR="007E360B">
        <w:trPr>
          <w:jc w:val="center"/>
        </w:trPr>
        <w:tc>
          <w:tcPr>
            <w:tcW w:w="0" w:type="auto"/>
            <w:vAlign w:val="center"/>
          </w:tcPr>
          <w:p w:rsidR="007E360B" w:rsidRDefault="00273A54">
            <w:pPr>
              <w:jc w:val="center"/>
            </w:pPr>
            <w:r>
              <w:rPr>
                <w:color w:val="000000"/>
                <w:sz w:val="24"/>
              </w:rPr>
              <w:t>6</w:t>
            </w:r>
          </w:p>
        </w:tc>
        <w:tc>
          <w:tcPr>
            <w:tcW w:w="0" w:type="auto"/>
            <w:vAlign w:val="center"/>
          </w:tcPr>
          <w:p w:rsidR="007E360B" w:rsidRDefault="00273A54">
            <w:pPr>
              <w:jc w:val="center"/>
            </w:pPr>
            <w:r>
              <w:rPr>
                <w:color w:val="000000"/>
                <w:sz w:val="24"/>
              </w:rPr>
              <w:t>041465009</w:t>
            </w:r>
          </w:p>
        </w:tc>
        <w:tc>
          <w:tcPr>
            <w:tcW w:w="0" w:type="auto"/>
            <w:vAlign w:val="center"/>
          </w:tcPr>
          <w:p w:rsidR="007E360B" w:rsidRDefault="00273A54">
            <w:pPr>
              <w:jc w:val="center"/>
            </w:pPr>
            <w:r>
              <w:rPr>
                <w:color w:val="000000"/>
                <w:sz w:val="24"/>
              </w:rPr>
              <w:t>14</w:t>
            </w:r>
            <w:r>
              <w:rPr>
                <w:color w:val="000000"/>
                <w:sz w:val="24"/>
              </w:rPr>
              <w:t>株高科</w:t>
            </w:r>
            <w:r>
              <w:rPr>
                <w:color w:val="000000"/>
                <w:sz w:val="24"/>
              </w:rPr>
              <w:t>CP002</w:t>
            </w:r>
          </w:p>
        </w:tc>
        <w:tc>
          <w:tcPr>
            <w:tcW w:w="0" w:type="auto"/>
            <w:vAlign w:val="center"/>
          </w:tcPr>
          <w:p w:rsidR="007E360B" w:rsidRDefault="00273A54">
            <w:pPr>
              <w:jc w:val="right"/>
            </w:pPr>
            <w:r>
              <w:rPr>
                <w:color w:val="000000"/>
                <w:sz w:val="24"/>
              </w:rPr>
              <w:t>800,000</w:t>
            </w:r>
          </w:p>
        </w:tc>
        <w:tc>
          <w:tcPr>
            <w:tcW w:w="0" w:type="auto"/>
            <w:vAlign w:val="center"/>
          </w:tcPr>
          <w:p w:rsidR="007E360B" w:rsidRDefault="00273A54">
            <w:pPr>
              <w:jc w:val="right"/>
            </w:pPr>
            <w:r>
              <w:rPr>
                <w:color w:val="000000"/>
                <w:sz w:val="24"/>
              </w:rPr>
              <w:t>80,015,688.98</w:t>
            </w:r>
          </w:p>
        </w:tc>
        <w:tc>
          <w:tcPr>
            <w:tcW w:w="0" w:type="auto"/>
            <w:vAlign w:val="center"/>
          </w:tcPr>
          <w:p w:rsidR="007E360B" w:rsidRDefault="00273A54">
            <w:pPr>
              <w:jc w:val="right"/>
            </w:pPr>
            <w:r>
              <w:rPr>
                <w:color w:val="000000"/>
                <w:sz w:val="24"/>
              </w:rPr>
              <w:t>1.69</w:t>
            </w:r>
          </w:p>
        </w:tc>
      </w:tr>
      <w:tr w:rsidR="007E360B">
        <w:trPr>
          <w:jc w:val="center"/>
        </w:trPr>
        <w:tc>
          <w:tcPr>
            <w:tcW w:w="0" w:type="auto"/>
            <w:vAlign w:val="center"/>
          </w:tcPr>
          <w:p w:rsidR="007E360B" w:rsidRDefault="00273A54">
            <w:pPr>
              <w:jc w:val="center"/>
            </w:pPr>
            <w:r>
              <w:rPr>
                <w:color w:val="000000"/>
                <w:sz w:val="24"/>
              </w:rPr>
              <w:t>7</w:t>
            </w:r>
          </w:p>
        </w:tc>
        <w:tc>
          <w:tcPr>
            <w:tcW w:w="0" w:type="auto"/>
            <w:vAlign w:val="center"/>
          </w:tcPr>
          <w:p w:rsidR="007E360B" w:rsidRDefault="00273A54">
            <w:pPr>
              <w:jc w:val="center"/>
            </w:pPr>
            <w:r>
              <w:rPr>
                <w:color w:val="000000"/>
                <w:sz w:val="24"/>
              </w:rPr>
              <w:t>041454070</w:t>
            </w:r>
          </w:p>
        </w:tc>
        <w:tc>
          <w:tcPr>
            <w:tcW w:w="0" w:type="auto"/>
            <w:vAlign w:val="center"/>
          </w:tcPr>
          <w:p w:rsidR="007E360B" w:rsidRDefault="00273A54">
            <w:pPr>
              <w:jc w:val="center"/>
            </w:pPr>
            <w:r>
              <w:rPr>
                <w:color w:val="000000"/>
                <w:sz w:val="24"/>
              </w:rPr>
              <w:t>14</w:t>
            </w:r>
            <w:r>
              <w:rPr>
                <w:color w:val="000000"/>
                <w:sz w:val="24"/>
              </w:rPr>
              <w:t>株洲高科</w:t>
            </w:r>
            <w:r>
              <w:rPr>
                <w:color w:val="000000"/>
                <w:sz w:val="24"/>
              </w:rPr>
              <w:t>CP001</w:t>
            </w:r>
          </w:p>
        </w:tc>
        <w:tc>
          <w:tcPr>
            <w:tcW w:w="0" w:type="auto"/>
            <w:vAlign w:val="center"/>
          </w:tcPr>
          <w:p w:rsidR="007E360B" w:rsidRDefault="00273A54">
            <w:pPr>
              <w:jc w:val="right"/>
            </w:pPr>
            <w:r>
              <w:rPr>
                <w:color w:val="000000"/>
                <w:sz w:val="24"/>
              </w:rPr>
              <w:t>800,000</w:t>
            </w:r>
          </w:p>
        </w:tc>
        <w:tc>
          <w:tcPr>
            <w:tcW w:w="0" w:type="auto"/>
            <w:vAlign w:val="center"/>
          </w:tcPr>
          <w:p w:rsidR="007E360B" w:rsidRDefault="00273A54">
            <w:pPr>
              <w:jc w:val="right"/>
            </w:pPr>
            <w:r>
              <w:rPr>
                <w:color w:val="000000"/>
                <w:sz w:val="24"/>
              </w:rPr>
              <w:t>79,959,635.98</w:t>
            </w:r>
          </w:p>
        </w:tc>
        <w:tc>
          <w:tcPr>
            <w:tcW w:w="0" w:type="auto"/>
            <w:vAlign w:val="center"/>
          </w:tcPr>
          <w:p w:rsidR="007E360B" w:rsidRDefault="00273A54">
            <w:pPr>
              <w:jc w:val="right"/>
            </w:pPr>
            <w:r>
              <w:rPr>
                <w:color w:val="000000"/>
                <w:sz w:val="24"/>
              </w:rPr>
              <w:t>1.69</w:t>
            </w:r>
          </w:p>
        </w:tc>
      </w:tr>
      <w:tr w:rsidR="007E360B">
        <w:trPr>
          <w:jc w:val="center"/>
        </w:trPr>
        <w:tc>
          <w:tcPr>
            <w:tcW w:w="0" w:type="auto"/>
            <w:vAlign w:val="center"/>
          </w:tcPr>
          <w:p w:rsidR="007E360B" w:rsidRDefault="00273A54">
            <w:pPr>
              <w:jc w:val="center"/>
            </w:pPr>
            <w:r>
              <w:rPr>
                <w:color w:val="000000"/>
                <w:sz w:val="24"/>
              </w:rPr>
              <w:t>8</w:t>
            </w:r>
          </w:p>
        </w:tc>
        <w:tc>
          <w:tcPr>
            <w:tcW w:w="0" w:type="auto"/>
            <w:vAlign w:val="center"/>
          </w:tcPr>
          <w:p w:rsidR="007E360B" w:rsidRDefault="00273A54">
            <w:pPr>
              <w:jc w:val="center"/>
            </w:pPr>
            <w:r>
              <w:rPr>
                <w:color w:val="000000"/>
                <w:sz w:val="24"/>
              </w:rPr>
              <w:t>041461059</w:t>
            </w:r>
          </w:p>
        </w:tc>
        <w:tc>
          <w:tcPr>
            <w:tcW w:w="0" w:type="auto"/>
            <w:vAlign w:val="center"/>
          </w:tcPr>
          <w:p w:rsidR="007E360B" w:rsidRDefault="00273A54">
            <w:pPr>
              <w:jc w:val="center"/>
            </w:pPr>
            <w:r>
              <w:rPr>
                <w:color w:val="000000"/>
                <w:sz w:val="24"/>
              </w:rPr>
              <w:t>14</w:t>
            </w:r>
            <w:r>
              <w:rPr>
                <w:color w:val="000000"/>
                <w:sz w:val="24"/>
              </w:rPr>
              <w:t>首发</w:t>
            </w:r>
            <w:r>
              <w:rPr>
                <w:color w:val="000000"/>
                <w:sz w:val="24"/>
              </w:rPr>
              <w:t>CP001</w:t>
            </w:r>
          </w:p>
        </w:tc>
        <w:tc>
          <w:tcPr>
            <w:tcW w:w="0" w:type="auto"/>
            <w:vAlign w:val="center"/>
          </w:tcPr>
          <w:p w:rsidR="007E360B" w:rsidRDefault="00273A54">
            <w:pPr>
              <w:jc w:val="right"/>
            </w:pPr>
            <w:r>
              <w:rPr>
                <w:color w:val="000000"/>
                <w:sz w:val="24"/>
              </w:rPr>
              <w:t>800,000</w:t>
            </w:r>
          </w:p>
        </w:tc>
        <w:tc>
          <w:tcPr>
            <w:tcW w:w="0" w:type="auto"/>
            <w:vAlign w:val="center"/>
          </w:tcPr>
          <w:p w:rsidR="007E360B" w:rsidRDefault="00273A54">
            <w:pPr>
              <w:jc w:val="right"/>
            </w:pPr>
            <w:r>
              <w:rPr>
                <w:color w:val="000000"/>
                <w:sz w:val="24"/>
              </w:rPr>
              <w:t>79,826,902.32</w:t>
            </w:r>
          </w:p>
        </w:tc>
        <w:tc>
          <w:tcPr>
            <w:tcW w:w="0" w:type="auto"/>
            <w:vAlign w:val="center"/>
          </w:tcPr>
          <w:p w:rsidR="007E360B" w:rsidRDefault="00273A54">
            <w:pPr>
              <w:jc w:val="right"/>
            </w:pPr>
            <w:r>
              <w:rPr>
                <w:color w:val="000000"/>
                <w:sz w:val="24"/>
              </w:rPr>
              <w:t>1.69</w:t>
            </w:r>
          </w:p>
        </w:tc>
      </w:tr>
      <w:tr w:rsidR="007E360B">
        <w:trPr>
          <w:jc w:val="center"/>
        </w:trPr>
        <w:tc>
          <w:tcPr>
            <w:tcW w:w="0" w:type="auto"/>
            <w:vAlign w:val="center"/>
          </w:tcPr>
          <w:p w:rsidR="007E360B" w:rsidRDefault="00273A54">
            <w:pPr>
              <w:jc w:val="center"/>
            </w:pPr>
            <w:r>
              <w:rPr>
                <w:color w:val="000000"/>
                <w:sz w:val="24"/>
              </w:rPr>
              <w:t>9</w:t>
            </w:r>
          </w:p>
        </w:tc>
        <w:tc>
          <w:tcPr>
            <w:tcW w:w="0" w:type="auto"/>
            <w:vAlign w:val="center"/>
          </w:tcPr>
          <w:p w:rsidR="007E360B" w:rsidRDefault="00273A54">
            <w:pPr>
              <w:jc w:val="center"/>
            </w:pPr>
            <w:r>
              <w:rPr>
                <w:color w:val="000000"/>
                <w:sz w:val="24"/>
              </w:rPr>
              <w:t>041459027</w:t>
            </w:r>
          </w:p>
        </w:tc>
        <w:tc>
          <w:tcPr>
            <w:tcW w:w="0" w:type="auto"/>
            <w:vAlign w:val="center"/>
          </w:tcPr>
          <w:p w:rsidR="007E360B" w:rsidRDefault="00273A54">
            <w:pPr>
              <w:jc w:val="center"/>
            </w:pPr>
            <w:r>
              <w:rPr>
                <w:color w:val="000000"/>
                <w:sz w:val="24"/>
              </w:rPr>
              <w:t>14</w:t>
            </w:r>
            <w:r>
              <w:rPr>
                <w:color w:val="000000"/>
                <w:sz w:val="24"/>
              </w:rPr>
              <w:t>中航机电</w:t>
            </w:r>
            <w:r>
              <w:rPr>
                <w:color w:val="000000"/>
                <w:sz w:val="24"/>
              </w:rPr>
              <w:t>CP001</w:t>
            </w:r>
          </w:p>
        </w:tc>
        <w:tc>
          <w:tcPr>
            <w:tcW w:w="0" w:type="auto"/>
            <w:vAlign w:val="center"/>
          </w:tcPr>
          <w:p w:rsidR="007E360B" w:rsidRDefault="00273A54">
            <w:pPr>
              <w:jc w:val="right"/>
            </w:pPr>
            <w:r>
              <w:rPr>
                <w:color w:val="000000"/>
                <w:sz w:val="24"/>
              </w:rPr>
              <w:t>700,000</w:t>
            </w:r>
          </w:p>
        </w:tc>
        <w:tc>
          <w:tcPr>
            <w:tcW w:w="0" w:type="auto"/>
            <w:vAlign w:val="center"/>
          </w:tcPr>
          <w:p w:rsidR="007E360B" w:rsidRDefault="00273A54">
            <w:pPr>
              <w:jc w:val="right"/>
            </w:pPr>
            <w:r>
              <w:rPr>
                <w:color w:val="000000"/>
                <w:sz w:val="24"/>
              </w:rPr>
              <w:t>70,437,583.78</w:t>
            </w:r>
          </w:p>
        </w:tc>
        <w:tc>
          <w:tcPr>
            <w:tcW w:w="0" w:type="auto"/>
            <w:vAlign w:val="center"/>
          </w:tcPr>
          <w:p w:rsidR="007E360B" w:rsidRDefault="00273A54">
            <w:pPr>
              <w:jc w:val="right"/>
            </w:pPr>
            <w:r>
              <w:rPr>
                <w:color w:val="000000"/>
                <w:sz w:val="24"/>
              </w:rPr>
              <w:t>1.49</w:t>
            </w:r>
          </w:p>
        </w:tc>
      </w:tr>
      <w:tr w:rsidR="007E360B">
        <w:trPr>
          <w:jc w:val="center"/>
        </w:trPr>
        <w:tc>
          <w:tcPr>
            <w:tcW w:w="0" w:type="auto"/>
            <w:vAlign w:val="center"/>
          </w:tcPr>
          <w:p w:rsidR="007E360B" w:rsidRDefault="00273A54">
            <w:pPr>
              <w:jc w:val="center"/>
            </w:pPr>
            <w:r>
              <w:rPr>
                <w:color w:val="000000"/>
                <w:sz w:val="24"/>
              </w:rPr>
              <w:t>10</w:t>
            </w:r>
          </w:p>
        </w:tc>
        <w:tc>
          <w:tcPr>
            <w:tcW w:w="0" w:type="auto"/>
            <w:vAlign w:val="center"/>
          </w:tcPr>
          <w:p w:rsidR="007E360B" w:rsidRDefault="00273A54">
            <w:pPr>
              <w:jc w:val="center"/>
            </w:pPr>
            <w:r>
              <w:rPr>
                <w:color w:val="000000"/>
                <w:sz w:val="24"/>
              </w:rPr>
              <w:t>041469040</w:t>
            </w:r>
          </w:p>
        </w:tc>
        <w:tc>
          <w:tcPr>
            <w:tcW w:w="0" w:type="auto"/>
            <w:vAlign w:val="center"/>
          </w:tcPr>
          <w:p w:rsidR="007E360B" w:rsidRDefault="00273A54">
            <w:pPr>
              <w:jc w:val="center"/>
            </w:pPr>
            <w:r>
              <w:rPr>
                <w:color w:val="000000"/>
                <w:sz w:val="24"/>
              </w:rPr>
              <w:t>14</w:t>
            </w:r>
            <w:r>
              <w:rPr>
                <w:color w:val="000000"/>
                <w:sz w:val="24"/>
              </w:rPr>
              <w:t>北排水</w:t>
            </w:r>
            <w:r>
              <w:rPr>
                <w:color w:val="000000"/>
                <w:sz w:val="24"/>
              </w:rPr>
              <w:t>CP002</w:t>
            </w:r>
          </w:p>
        </w:tc>
        <w:tc>
          <w:tcPr>
            <w:tcW w:w="0" w:type="auto"/>
            <w:vAlign w:val="center"/>
          </w:tcPr>
          <w:p w:rsidR="007E360B" w:rsidRDefault="00273A54">
            <w:pPr>
              <w:jc w:val="right"/>
            </w:pPr>
            <w:r>
              <w:rPr>
                <w:color w:val="000000"/>
                <w:sz w:val="24"/>
              </w:rPr>
              <w:t>600,000</w:t>
            </w:r>
          </w:p>
        </w:tc>
        <w:tc>
          <w:tcPr>
            <w:tcW w:w="0" w:type="auto"/>
            <w:vAlign w:val="center"/>
          </w:tcPr>
          <w:p w:rsidR="007E360B" w:rsidRDefault="00273A54">
            <w:pPr>
              <w:jc w:val="right"/>
            </w:pPr>
            <w:r>
              <w:rPr>
                <w:color w:val="000000"/>
                <w:sz w:val="24"/>
              </w:rPr>
              <w:t>60,220,078.69</w:t>
            </w:r>
          </w:p>
        </w:tc>
        <w:tc>
          <w:tcPr>
            <w:tcW w:w="0" w:type="auto"/>
            <w:vAlign w:val="center"/>
          </w:tcPr>
          <w:p w:rsidR="007E360B" w:rsidRDefault="00273A54">
            <w:pPr>
              <w:jc w:val="right"/>
            </w:pPr>
            <w:r>
              <w:rPr>
                <w:color w:val="000000"/>
                <w:sz w:val="24"/>
              </w:rPr>
              <w:t>1.27</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16</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0.3451%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-0.1818%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0.1820%</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51,738,524.17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36,930,179.41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88,668,703.58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1,315,386,853.94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6,629,974,530.76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3,119,739,576.53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15,411,556,602.71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3,158,286,992.07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18,585,723,290.13</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1,276,839,438.40</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3,455,807,843.34</w:t>
            </w:r>
          </w:p>
        </w:tc>
      </w:tr>
    </w:tbl>
    <w:p w:rsidR="007E360B" w:rsidRDefault="00273A5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273A5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7E360B" w:rsidRDefault="00273A54">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7E360B" w:rsidRDefault="00273A54">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7E360B" w:rsidRDefault="00273A54">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7E360B" w:rsidRDefault="00273A54">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7E360B" w:rsidRDefault="00273A54">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7E360B" w:rsidRDefault="00273A54">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E360B" w:rsidRDefault="00273A54">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7E360B" w:rsidRDefault="00273A5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985" w:rsidRDefault="00542985">
      <w:r>
        <w:separator/>
      </w:r>
    </w:p>
  </w:endnote>
  <w:endnote w:type="continuationSeparator" w:id="0">
    <w:p w:rsidR="00542985" w:rsidRDefault="00542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7E360B">
      <w:rPr>
        <w:kern w:val="0"/>
        <w:szCs w:val="21"/>
      </w:rPr>
      <w:fldChar w:fldCharType="begin"/>
    </w:r>
    <w:r>
      <w:rPr>
        <w:kern w:val="0"/>
        <w:szCs w:val="21"/>
      </w:rPr>
      <w:instrText xml:space="preserve"> PAGE </w:instrText>
    </w:r>
    <w:r w:rsidR="007E360B">
      <w:rPr>
        <w:kern w:val="0"/>
        <w:szCs w:val="21"/>
      </w:rPr>
      <w:fldChar w:fldCharType="separate"/>
    </w:r>
    <w:r w:rsidR="00373168">
      <w:rPr>
        <w:noProof/>
        <w:kern w:val="0"/>
        <w:szCs w:val="21"/>
      </w:rPr>
      <w:t>1</w:t>
    </w:r>
    <w:r w:rsidR="007E360B">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7E360B">
      <w:rPr>
        <w:rFonts w:hint="eastAsia"/>
        <w:kern w:val="0"/>
        <w:szCs w:val="21"/>
      </w:rPr>
      <w:fldChar w:fldCharType="begin"/>
    </w:r>
    <w:r>
      <w:rPr>
        <w:kern w:val="0"/>
        <w:szCs w:val="21"/>
      </w:rPr>
      <w:instrText xml:space="preserve"> NUMPAGES </w:instrText>
    </w:r>
    <w:r w:rsidR="007E360B">
      <w:rPr>
        <w:rFonts w:hint="eastAsia"/>
        <w:kern w:val="0"/>
        <w:szCs w:val="21"/>
      </w:rPr>
      <w:fldChar w:fldCharType="separate"/>
    </w:r>
    <w:r w:rsidR="00373168">
      <w:rPr>
        <w:noProof/>
        <w:kern w:val="0"/>
        <w:szCs w:val="21"/>
      </w:rPr>
      <w:t>13</w:t>
    </w:r>
    <w:r w:rsidR="007E360B">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985" w:rsidRDefault="00542985">
      <w:r>
        <w:separator/>
      </w:r>
    </w:p>
  </w:footnote>
  <w:footnote w:type="continuationSeparator" w:id="0">
    <w:p w:rsidR="00542985" w:rsidRDefault="00542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4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3A54"/>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71E26"/>
    <w:rsid w:val="00373168"/>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E360B"/>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5114E"/>
    <w:rsid w:val="00F53B1A"/>
    <w:rsid w:val="00F54568"/>
    <w:rsid w:val="00F57249"/>
    <w:rsid w:val="00F60094"/>
    <w:rsid w:val="00F62DE3"/>
    <w:rsid w:val="00F77131"/>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5"/>
    <o:shapelayout v:ext="edit">
      <o:idmap v:ext="edit" data="1"/>
    </o:shapelayout>
  </w:shapeDefaults>
  <w:doNotEmbedSmartTags/>
  <w:decimalSymbol w:val="."/>
  <w:listSeparator w:val=","/>
  <w15:docId w15:val="{35A79526-BB4D-407C-8900-FF0C8E10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6CAC512-8859-4646-AFA4-F67B8FBE3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514</TotalTime>
  <Pages>13</Pages>
  <Words>1160</Words>
  <Characters>6613</Characters>
  <Application>Microsoft Office Word</Application>
  <DocSecurity>0</DocSecurity>
  <Lines>55</Lines>
  <Paragraphs>15</Paragraphs>
  <ScaleCrop>false</ScaleCrop>
  <Company>jysld</Company>
  <LinksUpToDate>false</LinksUpToDate>
  <CharactersWithSpaces>7758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304</cp:revision>
  <cp:lastPrinted>2009-01-22T10:11:00Z</cp:lastPrinted>
  <dcterms:created xsi:type="dcterms:W3CDTF">2012-11-21T05:49:00Z</dcterms:created>
  <dcterms:modified xsi:type="dcterms:W3CDTF">2015-01-20T03:42:00Z</dcterms:modified>
</cp:coreProperties>
</file>