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2014</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2014</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二〇一五年一月二十二日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0125F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6D2710" w:rsidRDefault="00B65B6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D2710" w:rsidRDefault="00B65B6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D2710" w:rsidRDefault="00B65B6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D2710" w:rsidRDefault="00B65B6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D2710" w:rsidRDefault="00B65B62">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2014</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0125F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D6766B">
        <w:trPr>
          <w:jc w:val="center"/>
        </w:trPr>
        <w:tc>
          <w:tcPr>
            <w:tcW w:w="2977"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44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交银环球精选股票</w:t>
            </w:r>
            <w:r w:rsidRPr="008640AE">
              <w:rPr>
                <w:color w:val="000000"/>
                <w:kern w:val="0"/>
                <w:sz w:val="24"/>
              </w:rPr>
              <w:t>(QDII)</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D6766B">
        <w:trPr>
          <w:jc w:val="center"/>
        </w:trPr>
        <w:tc>
          <w:tcPr>
            <w:tcW w:w="2977"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44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77,178,116.21</w:t>
            </w:r>
            <w:r w:rsidRPr="008640AE">
              <w:rPr>
                <w:color w:val="000000"/>
                <w:kern w:val="0"/>
                <w:sz w:val="24"/>
              </w:rPr>
              <w:t>份</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w:t>
            </w:r>
            <w:r w:rsidRPr="008640AE">
              <w:rPr>
                <w:color w:val="000000"/>
                <w:kern w:val="0"/>
                <w:sz w:val="24"/>
              </w:rPr>
              <w:lastRenderedPageBreak/>
              <w:t>场的市场波动风险之外，还面临汇率风险、国别风险、新兴市场风险等海外市场投资所面临的特别投资风险。</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0125F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65B62" w:rsidRPr="008640AE" w:rsidTr="00B65B62">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(2014</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-2014</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B65B62" w:rsidRPr="008640AE" w:rsidTr="00B65B6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9,810,546.98</w:t>
            </w:r>
          </w:p>
        </w:tc>
      </w:tr>
      <w:tr w:rsidR="00B65B62" w:rsidRPr="008640AE" w:rsidTr="00B65B6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3,380,594.61</w:t>
            </w:r>
          </w:p>
        </w:tc>
      </w:tr>
      <w:tr w:rsidR="00B65B62" w:rsidRPr="008640AE" w:rsidTr="00B65B6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0.0403</w:t>
            </w:r>
          </w:p>
        </w:tc>
      </w:tr>
      <w:tr w:rsidR="00B65B62" w:rsidRPr="008640AE" w:rsidTr="00B65B6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128,269,800.31</w:t>
            </w:r>
          </w:p>
        </w:tc>
      </w:tr>
      <w:tr w:rsidR="00B65B62" w:rsidRPr="008640AE" w:rsidTr="00B65B62">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1.662</w:t>
            </w:r>
          </w:p>
        </w:tc>
      </w:tr>
    </w:tbl>
    <w:p w:rsidR="006D2710" w:rsidRDefault="00B65B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6D2710">
        <w:trPr>
          <w:jc w:val="center"/>
        </w:trPr>
        <w:tc>
          <w:tcPr>
            <w:tcW w:w="1701" w:type="dxa"/>
            <w:vAlign w:val="center"/>
          </w:tcPr>
          <w:p w:rsidR="006D2710" w:rsidRDefault="00B65B62">
            <w:pPr>
              <w:jc w:val="left"/>
            </w:pPr>
            <w:r>
              <w:rPr>
                <w:color w:val="000000"/>
                <w:sz w:val="24"/>
              </w:rPr>
              <w:t>过去三个月</w:t>
            </w:r>
          </w:p>
        </w:tc>
        <w:tc>
          <w:tcPr>
            <w:tcW w:w="1194" w:type="dxa"/>
            <w:vAlign w:val="center"/>
          </w:tcPr>
          <w:p w:rsidR="006D2710" w:rsidRDefault="00B65B62">
            <w:pPr>
              <w:jc w:val="right"/>
            </w:pPr>
            <w:r>
              <w:rPr>
                <w:color w:val="000000"/>
                <w:sz w:val="24"/>
              </w:rPr>
              <w:t>2.47%</w:t>
            </w:r>
          </w:p>
        </w:tc>
        <w:tc>
          <w:tcPr>
            <w:tcW w:w="1194" w:type="dxa"/>
            <w:vAlign w:val="center"/>
          </w:tcPr>
          <w:p w:rsidR="006D2710" w:rsidRDefault="00B65B62">
            <w:pPr>
              <w:jc w:val="right"/>
            </w:pPr>
            <w:r>
              <w:rPr>
                <w:color w:val="000000"/>
                <w:sz w:val="24"/>
              </w:rPr>
              <w:t>0.72%</w:t>
            </w:r>
          </w:p>
        </w:tc>
        <w:tc>
          <w:tcPr>
            <w:tcW w:w="1194" w:type="dxa"/>
            <w:vAlign w:val="center"/>
          </w:tcPr>
          <w:p w:rsidR="006D2710" w:rsidRDefault="00B65B62">
            <w:pPr>
              <w:jc w:val="right"/>
            </w:pPr>
            <w:r>
              <w:rPr>
                <w:color w:val="000000"/>
                <w:sz w:val="24"/>
              </w:rPr>
              <w:t>0.98%</w:t>
            </w:r>
          </w:p>
        </w:tc>
        <w:tc>
          <w:tcPr>
            <w:tcW w:w="1343" w:type="dxa"/>
            <w:vAlign w:val="center"/>
          </w:tcPr>
          <w:p w:rsidR="006D2710" w:rsidRDefault="00B65B62">
            <w:pPr>
              <w:jc w:val="right"/>
            </w:pPr>
            <w:r>
              <w:rPr>
                <w:color w:val="000000"/>
                <w:sz w:val="24"/>
              </w:rPr>
              <w:t>0.64%</w:t>
            </w:r>
          </w:p>
        </w:tc>
        <w:tc>
          <w:tcPr>
            <w:tcW w:w="1194" w:type="dxa"/>
            <w:vAlign w:val="center"/>
          </w:tcPr>
          <w:p w:rsidR="006D2710" w:rsidRDefault="00B65B62">
            <w:pPr>
              <w:jc w:val="right"/>
            </w:pPr>
            <w:r>
              <w:rPr>
                <w:color w:val="000000"/>
                <w:sz w:val="24"/>
              </w:rPr>
              <w:t>1.49%</w:t>
            </w:r>
          </w:p>
        </w:tc>
        <w:tc>
          <w:tcPr>
            <w:tcW w:w="1048" w:type="dxa"/>
            <w:vAlign w:val="center"/>
          </w:tcPr>
          <w:p w:rsidR="006D2710" w:rsidRDefault="00B65B62">
            <w:pPr>
              <w:jc w:val="right"/>
            </w:pPr>
            <w:r>
              <w:rPr>
                <w:color w:val="000000"/>
                <w:sz w:val="24"/>
              </w:rPr>
              <w:t>0.08%</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2014</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0125F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6D2710">
        <w:trPr>
          <w:jc w:val="center"/>
        </w:trPr>
        <w:tc>
          <w:tcPr>
            <w:tcW w:w="846" w:type="dxa"/>
            <w:vAlign w:val="center"/>
          </w:tcPr>
          <w:p w:rsidR="006D2710" w:rsidRDefault="00B65B62">
            <w:pPr>
              <w:jc w:val="center"/>
            </w:pPr>
            <w:r>
              <w:rPr>
                <w:color w:val="000000"/>
                <w:sz w:val="24"/>
              </w:rPr>
              <w:t>晏青</w:t>
            </w:r>
          </w:p>
        </w:tc>
        <w:tc>
          <w:tcPr>
            <w:tcW w:w="845" w:type="dxa"/>
            <w:vAlign w:val="center"/>
          </w:tcPr>
          <w:p w:rsidR="006D2710" w:rsidRDefault="00B65B62">
            <w:pPr>
              <w:jc w:val="center"/>
            </w:pPr>
            <w:r>
              <w:rPr>
                <w:color w:val="000000"/>
                <w:sz w:val="24"/>
              </w:rPr>
              <w:t>本基金、交银施罗德全球自然资源证券投资基金的基金经理</w:t>
            </w:r>
          </w:p>
        </w:tc>
        <w:tc>
          <w:tcPr>
            <w:tcW w:w="1549" w:type="dxa"/>
            <w:vAlign w:val="center"/>
          </w:tcPr>
          <w:p w:rsidR="006D2710" w:rsidRDefault="00B65B62">
            <w:pPr>
              <w:jc w:val="center"/>
            </w:pPr>
            <w:r>
              <w:rPr>
                <w:color w:val="000000"/>
                <w:sz w:val="24"/>
              </w:rPr>
              <w:t>2012-04-09</w:t>
            </w:r>
          </w:p>
        </w:tc>
        <w:tc>
          <w:tcPr>
            <w:tcW w:w="1548" w:type="dxa"/>
            <w:vAlign w:val="center"/>
          </w:tcPr>
          <w:p w:rsidR="006D2710" w:rsidRDefault="00B65B62">
            <w:pPr>
              <w:jc w:val="center"/>
            </w:pPr>
            <w:r>
              <w:rPr>
                <w:color w:val="000000"/>
                <w:sz w:val="24"/>
              </w:rPr>
              <w:t>-</w:t>
            </w:r>
          </w:p>
        </w:tc>
        <w:tc>
          <w:tcPr>
            <w:tcW w:w="1407" w:type="dxa"/>
            <w:vAlign w:val="center"/>
          </w:tcPr>
          <w:p w:rsidR="006D2710" w:rsidRDefault="00B65B62">
            <w:pPr>
              <w:jc w:val="center"/>
            </w:pPr>
            <w:r>
              <w:rPr>
                <w:color w:val="000000"/>
                <w:sz w:val="24"/>
              </w:rPr>
              <w:t>8</w:t>
            </w:r>
            <w:r>
              <w:rPr>
                <w:color w:val="000000"/>
                <w:sz w:val="24"/>
              </w:rPr>
              <w:t>年</w:t>
            </w:r>
          </w:p>
        </w:tc>
        <w:tc>
          <w:tcPr>
            <w:tcW w:w="2673" w:type="dxa"/>
            <w:vAlign w:val="center"/>
          </w:tcPr>
          <w:p w:rsidR="006D2710" w:rsidRDefault="00B65B62">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6D2710">
        <w:trPr>
          <w:jc w:val="center"/>
        </w:trPr>
        <w:tc>
          <w:tcPr>
            <w:tcW w:w="2070" w:type="dxa"/>
            <w:vAlign w:val="center"/>
          </w:tcPr>
          <w:p w:rsidR="006D2710" w:rsidRDefault="00B65B62">
            <w:pPr>
              <w:jc w:val="center"/>
            </w:pPr>
            <w:r>
              <w:rPr>
                <w:color w:val="000000"/>
                <w:sz w:val="24"/>
              </w:rPr>
              <w:t>Simon Webber</w:t>
            </w:r>
          </w:p>
        </w:tc>
        <w:tc>
          <w:tcPr>
            <w:tcW w:w="2465" w:type="dxa"/>
            <w:vAlign w:val="center"/>
          </w:tcPr>
          <w:p w:rsidR="006D2710" w:rsidRDefault="00B65B62">
            <w:pPr>
              <w:jc w:val="center"/>
            </w:pPr>
            <w:r>
              <w:rPr>
                <w:color w:val="000000"/>
                <w:sz w:val="24"/>
              </w:rPr>
              <w:t>施罗德集团多区域（全球及国际）股票投资主管、全球和国际股票基金经理、全球气候变化股票基金经理</w:t>
            </w:r>
          </w:p>
        </w:tc>
        <w:tc>
          <w:tcPr>
            <w:tcW w:w="2116" w:type="dxa"/>
            <w:vAlign w:val="center"/>
          </w:tcPr>
          <w:p w:rsidR="006D2710" w:rsidRDefault="00B65B62">
            <w:pPr>
              <w:jc w:val="center"/>
            </w:pPr>
            <w:r>
              <w:rPr>
                <w:color w:val="000000"/>
                <w:sz w:val="24"/>
              </w:rPr>
              <w:t>15</w:t>
            </w:r>
            <w:r>
              <w:rPr>
                <w:color w:val="000000"/>
                <w:sz w:val="24"/>
              </w:rPr>
              <w:t>年</w:t>
            </w:r>
          </w:p>
        </w:tc>
        <w:tc>
          <w:tcPr>
            <w:tcW w:w="2217" w:type="dxa"/>
            <w:vAlign w:val="center"/>
          </w:tcPr>
          <w:p w:rsidR="006D2710" w:rsidRDefault="00B65B62">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6D2710" w:rsidRDefault="00B65B6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D2710" w:rsidRDefault="00B65B6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D2710" w:rsidRDefault="00B65B6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w:t>
      </w:r>
      <w:r w:rsidRPr="008640AE">
        <w:rPr>
          <w:color w:val="000000"/>
          <w:sz w:val="24"/>
        </w:rPr>
        <w:t>,</w:t>
      </w:r>
      <w:r w:rsidRPr="008640AE">
        <w:rPr>
          <w:color w:val="000000"/>
          <w:sz w:val="24"/>
        </w:rPr>
        <w:t>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6D2710" w:rsidRDefault="00B65B62">
      <w:pPr>
        <w:spacing w:before="29" w:line="288" w:lineRule="auto"/>
        <w:ind w:firstLineChars="200" w:firstLine="480"/>
        <w:rPr>
          <w:color w:val="000000"/>
          <w:sz w:val="24"/>
        </w:rPr>
      </w:pPr>
      <w:r>
        <w:rPr>
          <w:color w:val="000000"/>
          <w:sz w:val="24"/>
        </w:rPr>
        <w:t>本报告期内，全球股票市场整体表现尚可，但大宗商品表现惨淡。发达市场中日本和美国涨幅较大，欧洲继续下跌，新兴市场涨跌互现，其中中国</w:t>
      </w:r>
      <w:r>
        <w:rPr>
          <w:color w:val="000000"/>
          <w:sz w:val="24"/>
        </w:rPr>
        <w:t>A</w:t>
      </w:r>
      <w:r>
        <w:rPr>
          <w:color w:val="000000"/>
          <w:sz w:val="24"/>
        </w:rPr>
        <w:t>股涨幅最大，俄罗斯大幅下跌。美国</w:t>
      </w:r>
      <w:r>
        <w:rPr>
          <w:color w:val="000000"/>
          <w:sz w:val="24"/>
        </w:rPr>
        <w:t>QE</w:t>
      </w:r>
      <w:r>
        <w:rPr>
          <w:color w:val="000000"/>
          <w:sz w:val="24"/>
        </w:rPr>
        <w:t>结束，短债收益率有所上行，长债收益率趋势性向下，美元指数大幅上升，经济增长势头强劲，这些因素继续提振美国股市表现。欧元区继续宽松，欧元区国债收益率继续下降，但因为整体经济表现较弱，欧元下跌，股票市场继续呈调整态势。香港市场受</w:t>
      </w:r>
      <w:r>
        <w:rPr>
          <w:color w:val="000000"/>
          <w:sz w:val="24"/>
        </w:rPr>
        <w:t>A</w:t>
      </w:r>
      <w:r>
        <w:rPr>
          <w:color w:val="000000"/>
          <w:sz w:val="24"/>
        </w:rPr>
        <w:t>股暴涨的带动，本报告期内整体上涨，但结构性分化严重。本基金在资产配置上做了一定的调整，加仓了香港和大金融行业，顺应市场的变化。</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一个季度，美国良好的经济增长或将维持，欧洲短期增长动能依然难寻，中国政府各项针对经济的刺激政策已经带来了股市短期的繁荣，能否顺利传导到实体经济需要观察。过去一段时间全球各类资产价格波动显著加大，我们需要保持耐心紧密跟踪，机会永远存在，我们将一如既往地努力寻找，力求为投资人获取持续回报。</w:t>
      </w:r>
    </w:p>
    <w:p w:rsidR="00FD7298"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2014</w:t>
      </w:r>
      <w:r w:rsidRPr="008640AE">
        <w:rPr>
          <w:color w:val="000000"/>
          <w:sz w:val="24"/>
        </w:rPr>
        <w:t>年</w:t>
      </w:r>
      <w:r w:rsidR="00DA02E8">
        <w:rPr>
          <w:rFonts w:hint="eastAsia"/>
          <w:color w:val="000000"/>
          <w:sz w:val="24"/>
        </w:rPr>
        <w:t>12</w:t>
      </w:r>
      <w:r w:rsidRPr="008640AE">
        <w:rPr>
          <w:color w:val="000000"/>
          <w:sz w:val="24"/>
        </w:rPr>
        <w:t>月</w:t>
      </w:r>
      <w:r w:rsidRPr="008640AE">
        <w:rPr>
          <w:color w:val="000000"/>
          <w:sz w:val="24"/>
        </w:rPr>
        <w:t>3</w:t>
      </w:r>
      <w:r w:rsidR="00DA02E8">
        <w:rPr>
          <w:rFonts w:hint="eastAsia"/>
          <w:color w:val="000000"/>
          <w:sz w:val="24"/>
        </w:rPr>
        <w:t>1</w:t>
      </w:r>
      <w:r w:rsidRPr="008640AE">
        <w:rPr>
          <w:color w:val="000000"/>
          <w:sz w:val="24"/>
        </w:rPr>
        <w:t>日，本基金份额净值为</w:t>
      </w:r>
      <w:r w:rsidRPr="008640AE">
        <w:rPr>
          <w:color w:val="000000"/>
          <w:sz w:val="24"/>
        </w:rPr>
        <w:t>1.6</w:t>
      </w:r>
      <w:r w:rsidR="00DA02E8">
        <w:rPr>
          <w:rFonts w:hint="eastAsia"/>
          <w:color w:val="000000"/>
          <w:sz w:val="24"/>
        </w:rPr>
        <w:t>6</w:t>
      </w:r>
      <w:r w:rsidRPr="008640AE">
        <w:rPr>
          <w:color w:val="000000"/>
          <w:sz w:val="24"/>
        </w:rPr>
        <w:t>2</w:t>
      </w:r>
      <w:r w:rsidRPr="008640AE">
        <w:rPr>
          <w:color w:val="000000"/>
          <w:sz w:val="24"/>
        </w:rPr>
        <w:t>元，本报告期份额净值增长率为</w:t>
      </w:r>
      <w:r w:rsidR="00DA02E8">
        <w:rPr>
          <w:rFonts w:hint="eastAsia"/>
          <w:color w:val="000000"/>
          <w:sz w:val="24"/>
        </w:rPr>
        <w:t>2.47</w:t>
      </w:r>
      <w:r w:rsidRPr="008640AE">
        <w:rPr>
          <w:color w:val="000000"/>
          <w:sz w:val="24"/>
        </w:rPr>
        <w:t>%</w:t>
      </w:r>
      <w:r w:rsidRPr="008640AE">
        <w:rPr>
          <w:color w:val="000000"/>
          <w:sz w:val="24"/>
        </w:rPr>
        <w:t>，同期业绩比较基准增长率为</w:t>
      </w:r>
      <w:r w:rsidR="00DA02E8">
        <w:rPr>
          <w:rFonts w:hint="eastAsia"/>
          <w:color w:val="000000"/>
          <w:sz w:val="24"/>
        </w:rPr>
        <w:t>0.98</w:t>
      </w:r>
      <w:r w:rsidRPr="008640AE">
        <w:rPr>
          <w:color w:val="000000"/>
          <w:sz w:val="24"/>
        </w:rPr>
        <w:t>%</w:t>
      </w:r>
      <w:r w:rsidRPr="008640AE">
        <w:rPr>
          <w:color w:val="000000"/>
          <w:sz w:val="24"/>
        </w:rPr>
        <w:t>。</w:t>
      </w:r>
    </w:p>
    <w:p w:rsidR="00DA02E8" w:rsidRDefault="00DA02E8" w:rsidP="005546C0">
      <w:pPr>
        <w:spacing w:before="29" w:line="288" w:lineRule="auto"/>
        <w:ind w:firstLineChars="200" w:firstLine="480"/>
        <w:rPr>
          <w:color w:val="000000"/>
          <w:sz w:val="24"/>
        </w:rPr>
      </w:pPr>
    </w:p>
    <w:p w:rsidR="00DA02E8" w:rsidRPr="002070B4" w:rsidRDefault="00DA02E8" w:rsidP="00DA02E8">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AA52C9" w:rsidRPr="001A3A9E" w:rsidRDefault="00D03BFF" w:rsidP="001A3A9E">
      <w:pPr>
        <w:spacing w:before="29" w:line="288" w:lineRule="auto"/>
        <w:ind w:firstLineChars="200" w:firstLine="480"/>
        <w:rPr>
          <w:color w:val="000000"/>
          <w:sz w:val="24"/>
        </w:rPr>
      </w:pPr>
      <w:r w:rsidRPr="001A3A9E">
        <w:rPr>
          <w:rFonts w:hint="eastAsia"/>
          <w:color w:val="000000"/>
          <w:sz w:val="24"/>
        </w:rPr>
        <w:t>本基金本报告期内无需预警说明。</w:t>
      </w:r>
    </w:p>
    <w:p w:rsidR="00C736BB" w:rsidRPr="008640AE" w:rsidRDefault="00C736BB" w:rsidP="005546C0">
      <w:pPr>
        <w:spacing w:before="29" w:line="288" w:lineRule="auto"/>
        <w:ind w:firstLineChars="200" w:firstLine="480"/>
        <w:rPr>
          <w:color w:val="000000"/>
          <w:sz w:val="24"/>
        </w:rPr>
      </w:pPr>
    </w:p>
    <w:p w:rsidR="0076518F" w:rsidRPr="008640AE" w:rsidRDefault="0076518F" w:rsidP="000125F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942EAB">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3957"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644"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462"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942EAB">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3957"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644"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123,310,487.29</w:t>
            </w:r>
          </w:p>
        </w:tc>
        <w:tc>
          <w:tcPr>
            <w:tcW w:w="1462"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94.96</w:t>
            </w:r>
          </w:p>
        </w:tc>
      </w:tr>
      <w:tr w:rsidR="00363E15" w:rsidRPr="008640AE" w:rsidTr="00942EAB">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3957"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644"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121,012,610.71</w:t>
            </w:r>
          </w:p>
        </w:tc>
        <w:tc>
          <w:tcPr>
            <w:tcW w:w="1462"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93.19</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3957"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644"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2,297,876.58</w:t>
            </w:r>
          </w:p>
        </w:tc>
        <w:tc>
          <w:tcPr>
            <w:tcW w:w="1462"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1.77</w:t>
            </w:r>
          </w:p>
        </w:tc>
      </w:tr>
      <w:tr w:rsidR="00CE4499" w:rsidRPr="008640AE" w:rsidTr="00942EAB">
        <w:trPr>
          <w:jc w:val="center"/>
        </w:trPr>
        <w:tc>
          <w:tcPr>
            <w:tcW w:w="805"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3957"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644"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942EAB">
        <w:trPr>
          <w:jc w:val="center"/>
        </w:trPr>
        <w:tc>
          <w:tcPr>
            <w:tcW w:w="805"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3957"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644"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3957"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644"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3957"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644"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3957"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644"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3957"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644"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3957"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644"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6,501.91</w:t>
            </w:r>
          </w:p>
        </w:tc>
        <w:tc>
          <w:tcPr>
            <w:tcW w:w="1462"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0.01</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3957"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644"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3957"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644"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3957"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644"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942EAB" w:rsidRPr="008640AE" w:rsidTr="00942EAB">
        <w:trPr>
          <w:jc w:val="center"/>
        </w:trPr>
        <w:tc>
          <w:tcPr>
            <w:tcW w:w="805" w:type="dxa"/>
            <w:shd w:val="clear" w:color="auto" w:fill="auto"/>
            <w:vAlign w:val="center"/>
          </w:tcPr>
          <w:p w:rsidR="00942EAB" w:rsidRPr="008640AE" w:rsidRDefault="00942EAB" w:rsidP="00942EAB">
            <w:pPr>
              <w:spacing w:before="29" w:line="288" w:lineRule="auto"/>
              <w:ind w:left="17"/>
              <w:jc w:val="center"/>
              <w:rPr>
                <w:color w:val="000000"/>
                <w:sz w:val="24"/>
              </w:rPr>
            </w:pPr>
          </w:p>
        </w:tc>
        <w:tc>
          <w:tcPr>
            <w:tcW w:w="3957" w:type="dxa"/>
            <w:shd w:val="clear" w:color="auto" w:fill="auto"/>
            <w:vAlign w:val="center"/>
          </w:tcPr>
          <w:p w:rsidR="00942EAB" w:rsidRPr="008640AE" w:rsidRDefault="00942EAB" w:rsidP="00942EAB">
            <w:pPr>
              <w:adjustRightInd w:val="0"/>
              <w:snapToGrid w:val="0"/>
              <w:spacing w:before="29" w:line="288" w:lineRule="auto"/>
              <w:ind w:firstLineChars="298" w:firstLine="715"/>
              <w:rPr>
                <w:color w:val="000000"/>
                <w:sz w:val="24"/>
              </w:rPr>
            </w:pPr>
            <w:r w:rsidRPr="008640AE">
              <w:rPr>
                <w:color w:val="000000"/>
                <w:sz w:val="24"/>
              </w:rPr>
              <w:t>权证</w:t>
            </w:r>
          </w:p>
        </w:tc>
        <w:tc>
          <w:tcPr>
            <w:tcW w:w="2644" w:type="dxa"/>
            <w:shd w:val="clear" w:color="auto" w:fill="auto"/>
            <w:vAlign w:val="center"/>
          </w:tcPr>
          <w:p w:rsidR="00942EAB" w:rsidRPr="00942EAB" w:rsidRDefault="00942EAB" w:rsidP="00942EAB">
            <w:pPr>
              <w:spacing w:before="29" w:line="288" w:lineRule="auto"/>
              <w:ind w:left="17"/>
              <w:jc w:val="right"/>
              <w:rPr>
                <w:color w:val="000000"/>
                <w:sz w:val="24"/>
              </w:rPr>
            </w:pPr>
            <w:r w:rsidRPr="00942EAB">
              <w:rPr>
                <w:color w:val="000000"/>
                <w:sz w:val="24"/>
              </w:rPr>
              <w:t>6,501.91</w:t>
            </w:r>
          </w:p>
        </w:tc>
        <w:tc>
          <w:tcPr>
            <w:tcW w:w="1462" w:type="dxa"/>
            <w:shd w:val="clear" w:color="auto" w:fill="auto"/>
            <w:vAlign w:val="center"/>
          </w:tcPr>
          <w:p w:rsidR="00942EAB" w:rsidRPr="00942EAB" w:rsidRDefault="00942EAB" w:rsidP="00942EAB">
            <w:pPr>
              <w:spacing w:before="29" w:line="288" w:lineRule="auto"/>
              <w:ind w:left="17"/>
              <w:jc w:val="right"/>
              <w:rPr>
                <w:color w:val="000000"/>
                <w:sz w:val="24"/>
              </w:rPr>
            </w:pPr>
            <w:r w:rsidRPr="00942EAB">
              <w:rPr>
                <w:color w:val="000000"/>
                <w:sz w:val="24"/>
              </w:rPr>
              <w:t>0.01</w:t>
            </w:r>
            <w:bookmarkStart w:id="0" w:name="_GoBack"/>
            <w:bookmarkEnd w:id="0"/>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3957"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644"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3957"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644"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3957"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644"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462"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3957"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644"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6,285,293.73</w:t>
            </w:r>
          </w:p>
        </w:tc>
        <w:tc>
          <w:tcPr>
            <w:tcW w:w="1462"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4.84</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3957"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644"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254,976.32</w:t>
            </w:r>
          </w:p>
        </w:tc>
        <w:tc>
          <w:tcPr>
            <w:tcW w:w="1462"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0.20</w:t>
            </w:r>
          </w:p>
        </w:tc>
      </w:tr>
      <w:tr w:rsidR="00E462F4" w:rsidRPr="008640AE" w:rsidTr="00942EAB">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3957"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644"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129,857,259.25</w:t>
            </w:r>
          </w:p>
        </w:tc>
        <w:tc>
          <w:tcPr>
            <w:tcW w:w="1462"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D2710">
        <w:trPr>
          <w:jc w:val="center"/>
        </w:trPr>
        <w:tc>
          <w:tcPr>
            <w:tcW w:w="2484" w:type="dxa"/>
            <w:vAlign w:val="center"/>
          </w:tcPr>
          <w:p w:rsidR="006D2710" w:rsidRDefault="00B65B62">
            <w:pPr>
              <w:jc w:val="left"/>
            </w:pPr>
            <w:r>
              <w:rPr>
                <w:color w:val="000000"/>
                <w:sz w:val="24"/>
              </w:rPr>
              <w:t>香港</w:t>
            </w:r>
          </w:p>
        </w:tc>
        <w:tc>
          <w:tcPr>
            <w:tcW w:w="3214" w:type="dxa"/>
            <w:vAlign w:val="center"/>
          </w:tcPr>
          <w:p w:rsidR="006D2710" w:rsidRDefault="00B65B62">
            <w:pPr>
              <w:jc w:val="right"/>
            </w:pPr>
            <w:r>
              <w:rPr>
                <w:color w:val="000000"/>
                <w:sz w:val="24"/>
              </w:rPr>
              <w:t>49,799,872.27</w:t>
            </w:r>
          </w:p>
        </w:tc>
        <w:tc>
          <w:tcPr>
            <w:tcW w:w="3170" w:type="dxa"/>
            <w:vAlign w:val="center"/>
          </w:tcPr>
          <w:p w:rsidR="006D2710" w:rsidRDefault="00B65B62">
            <w:pPr>
              <w:jc w:val="right"/>
            </w:pPr>
            <w:r>
              <w:rPr>
                <w:color w:val="000000"/>
                <w:sz w:val="24"/>
              </w:rPr>
              <w:t>38.82</w:t>
            </w:r>
          </w:p>
        </w:tc>
      </w:tr>
      <w:tr w:rsidR="006D2710">
        <w:trPr>
          <w:jc w:val="center"/>
        </w:trPr>
        <w:tc>
          <w:tcPr>
            <w:tcW w:w="2484" w:type="dxa"/>
            <w:vAlign w:val="center"/>
          </w:tcPr>
          <w:p w:rsidR="006D2710" w:rsidRDefault="00B65B62">
            <w:pPr>
              <w:jc w:val="left"/>
            </w:pPr>
            <w:r>
              <w:rPr>
                <w:color w:val="000000"/>
                <w:sz w:val="24"/>
              </w:rPr>
              <w:t>美国</w:t>
            </w:r>
          </w:p>
        </w:tc>
        <w:tc>
          <w:tcPr>
            <w:tcW w:w="3214" w:type="dxa"/>
            <w:vAlign w:val="center"/>
          </w:tcPr>
          <w:p w:rsidR="006D2710" w:rsidRDefault="00B65B62">
            <w:pPr>
              <w:jc w:val="right"/>
            </w:pPr>
            <w:r>
              <w:rPr>
                <w:color w:val="000000"/>
                <w:sz w:val="24"/>
              </w:rPr>
              <w:t>45,453,565.25</w:t>
            </w:r>
          </w:p>
        </w:tc>
        <w:tc>
          <w:tcPr>
            <w:tcW w:w="3170" w:type="dxa"/>
            <w:vAlign w:val="center"/>
          </w:tcPr>
          <w:p w:rsidR="006D2710" w:rsidRDefault="00B65B62">
            <w:pPr>
              <w:jc w:val="right"/>
            </w:pPr>
            <w:r>
              <w:rPr>
                <w:color w:val="000000"/>
                <w:sz w:val="24"/>
              </w:rPr>
              <w:t>35.44</w:t>
            </w:r>
          </w:p>
        </w:tc>
      </w:tr>
      <w:tr w:rsidR="006D2710">
        <w:trPr>
          <w:jc w:val="center"/>
        </w:trPr>
        <w:tc>
          <w:tcPr>
            <w:tcW w:w="2484" w:type="dxa"/>
            <w:vAlign w:val="center"/>
          </w:tcPr>
          <w:p w:rsidR="006D2710" w:rsidRDefault="00B65B62">
            <w:pPr>
              <w:jc w:val="left"/>
            </w:pPr>
            <w:r>
              <w:rPr>
                <w:color w:val="000000"/>
                <w:sz w:val="24"/>
              </w:rPr>
              <w:t>英国</w:t>
            </w:r>
          </w:p>
        </w:tc>
        <w:tc>
          <w:tcPr>
            <w:tcW w:w="3214" w:type="dxa"/>
            <w:vAlign w:val="center"/>
          </w:tcPr>
          <w:p w:rsidR="006D2710" w:rsidRDefault="00B65B62">
            <w:pPr>
              <w:jc w:val="right"/>
            </w:pPr>
            <w:r>
              <w:rPr>
                <w:color w:val="000000"/>
                <w:sz w:val="24"/>
              </w:rPr>
              <w:t>7,266,361.27</w:t>
            </w:r>
          </w:p>
        </w:tc>
        <w:tc>
          <w:tcPr>
            <w:tcW w:w="3170" w:type="dxa"/>
            <w:vAlign w:val="center"/>
          </w:tcPr>
          <w:p w:rsidR="006D2710" w:rsidRDefault="00B65B62">
            <w:pPr>
              <w:jc w:val="right"/>
            </w:pPr>
            <w:r>
              <w:rPr>
                <w:color w:val="000000"/>
                <w:sz w:val="24"/>
              </w:rPr>
              <w:t>5.66</w:t>
            </w:r>
          </w:p>
        </w:tc>
      </w:tr>
      <w:tr w:rsidR="006D2710">
        <w:trPr>
          <w:jc w:val="center"/>
        </w:trPr>
        <w:tc>
          <w:tcPr>
            <w:tcW w:w="2484" w:type="dxa"/>
            <w:vAlign w:val="center"/>
          </w:tcPr>
          <w:p w:rsidR="006D2710" w:rsidRDefault="00B65B62">
            <w:pPr>
              <w:jc w:val="left"/>
            </w:pPr>
            <w:r>
              <w:rPr>
                <w:color w:val="000000"/>
                <w:sz w:val="24"/>
              </w:rPr>
              <w:t>日本</w:t>
            </w:r>
          </w:p>
        </w:tc>
        <w:tc>
          <w:tcPr>
            <w:tcW w:w="3214" w:type="dxa"/>
            <w:vAlign w:val="center"/>
          </w:tcPr>
          <w:p w:rsidR="006D2710" w:rsidRDefault="00B65B62">
            <w:pPr>
              <w:jc w:val="right"/>
            </w:pPr>
            <w:r>
              <w:rPr>
                <w:color w:val="000000"/>
                <w:sz w:val="24"/>
              </w:rPr>
              <w:t>6,029,529.30</w:t>
            </w:r>
          </w:p>
        </w:tc>
        <w:tc>
          <w:tcPr>
            <w:tcW w:w="3170" w:type="dxa"/>
            <w:vAlign w:val="center"/>
          </w:tcPr>
          <w:p w:rsidR="006D2710" w:rsidRDefault="00B65B62">
            <w:pPr>
              <w:jc w:val="right"/>
            </w:pPr>
            <w:r>
              <w:rPr>
                <w:color w:val="000000"/>
                <w:sz w:val="24"/>
              </w:rPr>
              <w:t>4.70</w:t>
            </w:r>
          </w:p>
        </w:tc>
      </w:tr>
      <w:tr w:rsidR="006D2710">
        <w:trPr>
          <w:jc w:val="center"/>
        </w:trPr>
        <w:tc>
          <w:tcPr>
            <w:tcW w:w="2484" w:type="dxa"/>
            <w:vAlign w:val="center"/>
          </w:tcPr>
          <w:p w:rsidR="006D2710" w:rsidRDefault="00B65B62">
            <w:pPr>
              <w:jc w:val="left"/>
            </w:pPr>
            <w:r>
              <w:rPr>
                <w:color w:val="000000"/>
                <w:sz w:val="24"/>
              </w:rPr>
              <w:t>法国</w:t>
            </w:r>
          </w:p>
        </w:tc>
        <w:tc>
          <w:tcPr>
            <w:tcW w:w="3214" w:type="dxa"/>
            <w:vAlign w:val="center"/>
          </w:tcPr>
          <w:p w:rsidR="006D2710" w:rsidRDefault="00B65B62">
            <w:pPr>
              <w:jc w:val="right"/>
            </w:pPr>
            <w:r>
              <w:rPr>
                <w:color w:val="000000"/>
                <w:sz w:val="24"/>
              </w:rPr>
              <w:t>4,830,197.45</w:t>
            </w:r>
          </w:p>
        </w:tc>
        <w:tc>
          <w:tcPr>
            <w:tcW w:w="3170" w:type="dxa"/>
            <w:vAlign w:val="center"/>
          </w:tcPr>
          <w:p w:rsidR="006D2710" w:rsidRDefault="00B65B62">
            <w:pPr>
              <w:jc w:val="right"/>
            </w:pPr>
            <w:r>
              <w:rPr>
                <w:color w:val="000000"/>
                <w:sz w:val="24"/>
              </w:rPr>
              <w:t>3.77</w:t>
            </w:r>
          </w:p>
        </w:tc>
      </w:tr>
      <w:tr w:rsidR="006D2710">
        <w:trPr>
          <w:jc w:val="center"/>
        </w:trPr>
        <w:tc>
          <w:tcPr>
            <w:tcW w:w="2484" w:type="dxa"/>
            <w:vAlign w:val="center"/>
          </w:tcPr>
          <w:p w:rsidR="006D2710" w:rsidRDefault="00B65B62">
            <w:pPr>
              <w:jc w:val="left"/>
            </w:pPr>
            <w:r>
              <w:rPr>
                <w:color w:val="000000"/>
                <w:sz w:val="24"/>
              </w:rPr>
              <w:t>瑞士</w:t>
            </w:r>
          </w:p>
        </w:tc>
        <w:tc>
          <w:tcPr>
            <w:tcW w:w="3214" w:type="dxa"/>
            <w:vAlign w:val="center"/>
          </w:tcPr>
          <w:p w:rsidR="006D2710" w:rsidRDefault="00B65B62">
            <w:pPr>
              <w:jc w:val="right"/>
            </w:pPr>
            <w:r>
              <w:rPr>
                <w:color w:val="000000"/>
                <w:sz w:val="24"/>
              </w:rPr>
              <w:t>4,288,270.50</w:t>
            </w:r>
          </w:p>
        </w:tc>
        <w:tc>
          <w:tcPr>
            <w:tcW w:w="3170" w:type="dxa"/>
            <w:vAlign w:val="center"/>
          </w:tcPr>
          <w:p w:rsidR="006D2710" w:rsidRDefault="00B65B62">
            <w:pPr>
              <w:jc w:val="right"/>
            </w:pPr>
            <w:r>
              <w:rPr>
                <w:color w:val="000000"/>
                <w:sz w:val="24"/>
              </w:rPr>
              <w:t>3.34</w:t>
            </w:r>
          </w:p>
        </w:tc>
      </w:tr>
      <w:tr w:rsidR="006D2710">
        <w:trPr>
          <w:jc w:val="center"/>
        </w:trPr>
        <w:tc>
          <w:tcPr>
            <w:tcW w:w="2484" w:type="dxa"/>
            <w:vAlign w:val="center"/>
          </w:tcPr>
          <w:p w:rsidR="006D2710" w:rsidRDefault="00B65B62">
            <w:pPr>
              <w:jc w:val="left"/>
            </w:pPr>
            <w:r>
              <w:rPr>
                <w:color w:val="000000"/>
                <w:sz w:val="24"/>
              </w:rPr>
              <w:t>芬兰</w:t>
            </w:r>
          </w:p>
        </w:tc>
        <w:tc>
          <w:tcPr>
            <w:tcW w:w="3214" w:type="dxa"/>
            <w:vAlign w:val="center"/>
          </w:tcPr>
          <w:p w:rsidR="006D2710" w:rsidRDefault="00B65B62">
            <w:pPr>
              <w:jc w:val="right"/>
            </w:pPr>
            <w:r>
              <w:rPr>
                <w:color w:val="000000"/>
                <w:sz w:val="24"/>
              </w:rPr>
              <w:t>1,387,764.56</w:t>
            </w:r>
          </w:p>
        </w:tc>
        <w:tc>
          <w:tcPr>
            <w:tcW w:w="3170" w:type="dxa"/>
            <w:vAlign w:val="center"/>
          </w:tcPr>
          <w:p w:rsidR="006D2710" w:rsidRDefault="00B65B62">
            <w:pPr>
              <w:jc w:val="right"/>
            </w:pPr>
            <w:r>
              <w:rPr>
                <w:color w:val="000000"/>
                <w:sz w:val="24"/>
              </w:rPr>
              <w:t>1.08</w:t>
            </w:r>
          </w:p>
        </w:tc>
      </w:tr>
      <w:tr w:rsidR="006D2710">
        <w:trPr>
          <w:jc w:val="center"/>
        </w:trPr>
        <w:tc>
          <w:tcPr>
            <w:tcW w:w="2484" w:type="dxa"/>
            <w:vAlign w:val="center"/>
          </w:tcPr>
          <w:p w:rsidR="006D2710" w:rsidRDefault="00B65B62">
            <w:pPr>
              <w:jc w:val="left"/>
            </w:pPr>
            <w:r>
              <w:rPr>
                <w:color w:val="000000"/>
                <w:sz w:val="24"/>
              </w:rPr>
              <w:t>泰国</w:t>
            </w:r>
          </w:p>
        </w:tc>
        <w:tc>
          <w:tcPr>
            <w:tcW w:w="3214" w:type="dxa"/>
            <w:vAlign w:val="center"/>
          </w:tcPr>
          <w:p w:rsidR="006D2710" w:rsidRDefault="00B65B62">
            <w:pPr>
              <w:jc w:val="right"/>
            </w:pPr>
            <w:r>
              <w:rPr>
                <w:color w:val="000000"/>
                <w:sz w:val="24"/>
              </w:rPr>
              <w:t>1,132,213.05</w:t>
            </w:r>
          </w:p>
        </w:tc>
        <w:tc>
          <w:tcPr>
            <w:tcW w:w="3170" w:type="dxa"/>
            <w:vAlign w:val="center"/>
          </w:tcPr>
          <w:p w:rsidR="006D2710" w:rsidRDefault="00B65B62">
            <w:pPr>
              <w:jc w:val="right"/>
            </w:pPr>
            <w:r>
              <w:rPr>
                <w:color w:val="000000"/>
                <w:sz w:val="24"/>
              </w:rPr>
              <w:t>0.88</w:t>
            </w:r>
          </w:p>
        </w:tc>
      </w:tr>
      <w:tr w:rsidR="006D2710">
        <w:trPr>
          <w:jc w:val="center"/>
        </w:trPr>
        <w:tc>
          <w:tcPr>
            <w:tcW w:w="2484" w:type="dxa"/>
            <w:vAlign w:val="center"/>
          </w:tcPr>
          <w:p w:rsidR="006D2710" w:rsidRDefault="00B65B62">
            <w:pPr>
              <w:jc w:val="left"/>
            </w:pPr>
            <w:r>
              <w:rPr>
                <w:color w:val="000000"/>
                <w:sz w:val="24"/>
              </w:rPr>
              <w:t>巴西</w:t>
            </w:r>
          </w:p>
        </w:tc>
        <w:tc>
          <w:tcPr>
            <w:tcW w:w="3214" w:type="dxa"/>
            <w:vAlign w:val="center"/>
          </w:tcPr>
          <w:p w:rsidR="006D2710" w:rsidRDefault="00B65B62">
            <w:pPr>
              <w:jc w:val="right"/>
            </w:pPr>
            <w:r>
              <w:rPr>
                <w:color w:val="000000"/>
                <w:sz w:val="24"/>
              </w:rPr>
              <w:t>969,206.06</w:t>
            </w:r>
          </w:p>
        </w:tc>
        <w:tc>
          <w:tcPr>
            <w:tcW w:w="3170" w:type="dxa"/>
            <w:vAlign w:val="center"/>
          </w:tcPr>
          <w:p w:rsidR="006D2710" w:rsidRDefault="00B65B62">
            <w:pPr>
              <w:jc w:val="right"/>
            </w:pPr>
            <w:r>
              <w:rPr>
                <w:color w:val="000000"/>
                <w:sz w:val="24"/>
              </w:rPr>
              <w:t>0.76</w:t>
            </w:r>
          </w:p>
        </w:tc>
      </w:tr>
      <w:tr w:rsidR="006D2710">
        <w:trPr>
          <w:jc w:val="center"/>
        </w:trPr>
        <w:tc>
          <w:tcPr>
            <w:tcW w:w="2484" w:type="dxa"/>
            <w:vAlign w:val="center"/>
          </w:tcPr>
          <w:p w:rsidR="006D2710" w:rsidRDefault="00B65B62">
            <w:pPr>
              <w:jc w:val="left"/>
            </w:pPr>
            <w:r>
              <w:rPr>
                <w:color w:val="000000"/>
                <w:sz w:val="24"/>
              </w:rPr>
              <w:t>新加坡</w:t>
            </w:r>
          </w:p>
        </w:tc>
        <w:tc>
          <w:tcPr>
            <w:tcW w:w="3214" w:type="dxa"/>
            <w:vAlign w:val="center"/>
          </w:tcPr>
          <w:p w:rsidR="006D2710" w:rsidRDefault="00B65B62">
            <w:pPr>
              <w:jc w:val="right"/>
            </w:pPr>
            <w:r>
              <w:rPr>
                <w:color w:val="000000"/>
                <w:sz w:val="24"/>
              </w:rPr>
              <w:t>860,308.15</w:t>
            </w:r>
          </w:p>
        </w:tc>
        <w:tc>
          <w:tcPr>
            <w:tcW w:w="3170" w:type="dxa"/>
            <w:vAlign w:val="center"/>
          </w:tcPr>
          <w:p w:rsidR="006D2710" w:rsidRDefault="00B65B62">
            <w:pPr>
              <w:jc w:val="right"/>
            </w:pPr>
            <w:r>
              <w:rPr>
                <w:color w:val="000000"/>
                <w:sz w:val="24"/>
              </w:rPr>
              <w:t>0.67</w:t>
            </w:r>
          </w:p>
        </w:tc>
      </w:tr>
      <w:tr w:rsidR="006D2710">
        <w:trPr>
          <w:jc w:val="center"/>
        </w:trPr>
        <w:tc>
          <w:tcPr>
            <w:tcW w:w="2484" w:type="dxa"/>
            <w:vAlign w:val="center"/>
          </w:tcPr>
          <w:p w:rsidR="006D2710" w:rsidRDefault="00B65B62">
            <w:pPr>
              <w:jc w:val="left"/>
            </w:pPr>
            <w:r>
              <w:rPr>
                <w:color w:val="000000"/>
                <w:sz w:val="24"/>
              </w:rPr>
              <w:t>挪威</w:t>
            </w:r>
          </w:p>
        </w:tc>
        <w:tc>
          <w:tcPr>
            <w:tcW w:w="3214" w:type="dxa"/>
            <w:vAlign w:val="center"/>
          </w:tcPr>
          <w:p w:rsidR="006D2710" w:rsidRDefault="00B65B62">
            <w:pPr>
              <w:jc w:val="right"/>
            </w:pPr>
            <w:r>
              <w:rPr>
                <w:color w:val="000000"/>
                <w:sz w:val="24"/>
              </w:rPr>
              <w:t>646,798.34</w:t>
            </w:r>
          </w:p>
        </w:tc>
        <w:tc>
          <w:tcPr>
            <w:tcW w:w="3170" w:type="dxa"/>
            <w:vAlign w:val="center"/>
          </w:tcPr>
          <w:p w:rsidR="006D2710" w:rsidRDefault="00B65B62">
            <w:pPr>
              <w:jc w:val="right"/>
            </w:pPr>
            <w:r>
              <w:rPr>
                <w:color w:val="000000"/>
                <w:sz w:val="24"/>
              </w:rPr>
              <w:t>0.50</w:t>
            </w:r>
          </w:p>
        </w:tc>
      </w:tr>
      <w:tr w:rsidR="006D2710">
        <w:trPr>
          <w:jc w:val="center"/>
        </w:trPr>
        <w:tc>
          <w:tcPr>
            <w:tcW w:w="2484" w:type="dxa"/>
            <w:vAlign w:val="center"/>
          </w:tcPr>
          <w:p w:rsidR="006D2710" w:rsidRDefault="00B65B62">
            <w:pPr>
              <w:jc w:val="left"/>
            </w:pPr>
            <w:r>
              <w:rPr>
                <w:color w:val="000000"/>
                <w:sz w:val="24"/>
              </w:rPr>
              <w:t>西班牙</w:t>
            </w:r>
          </w:p>
        </w:tc>
        <w:tc>
          <w:tcPr>
            <w:tcW w:w="3214" w:type="dxa"/>
            <w:vAlign w:val="center"/>
          </w:tcPr>
          <w:p w:rsidR="006D2710" w:rsidRDefault="00B65B62">
            <w:pPr>
              <w:jc w:val="right"/>
            </w:pPr>
            <w:r>
              <w:rPr>
                <w:color w:val="000000"/>
                <w:sz w:val="24"/>
              </w:rPr>
              <w:t>646,401.09</w:t>
            </w:r>
          </w:p>
        </w:tc>
        <w:tc>
          <w:tcPr>
            <w:tcW w:w="3170" w:type="dxa"/>
            <w:vAlign w:val="center"/>
          </w:tcPr>
          <w:p w:rsidR="006D2710" w:rsidRDefault="00B65B62">
            <w:pPr>
              <w:jc w:val="right"/>
            </w:pPr>
            <w:r>
              <w:rPr>
                <w:color w:val="000000"/>
                <w:sz w:val="24"/>
              </w:rPr>
              <w:t>0.50</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123,310,487.29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96.13</w:t>
            </w:r>
          </w:p>
        </w:tc>
      </w:tr>
    </w:tbl>
    <w:p w:rsidR="006D2710" w:rsidRDefault="00B65B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9B1224">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65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30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D2710">
        <w:trPr>
          <w:jc w:val="center"/>
        </w:trPr>
        <w:tc>
          <w:tcPr>
            <w:tcW w:w="2904" w:type="dxa"/>
            <w:vAlign w:val="center"/>
          </w:tcPr>
          <w:p w:rsidR="006D2710" w:rsidRDefault="00B65B62">
            <w:pPr>
              <w:jc w:val="left"/>
            </w:pPr>
            <w:r>
              <w:rPr>
                <w:color w:val="000000"/>
                <w:sz w:val="24"/>
              </w:rPr>
              <w:t>金融</w:t>
            </w:r>
          </w:p>
        </w:tc>
        <w:tc>
          <w:tcPr>
            <w:tcW w:w="2657" w:type="dxa"/>
            <w:vAlign w:val="center"/>
          </w:tcPr>
          <w:p w:rsidR="006D2710" w:rsidRDefault="00B65B62">
            <w:pPr>
              <w:jc w:val="right"/>
            </w:pPr>
            <w:r>
              <w:rPr>
                <w:color w:val="000000"/>
                <w:sz w:val="24"/>
              </w:rPr>
              <w:t>43,572,083.08</w:t>
            </w:r>
          </w:p>
        </w:tc>
        <w:tc>
          <w:tcPr>
            <w:tcW w:w="3307" w:type="dxa"/>
            <w:vAlign w:val="center"/>
          </w:tcPr>
          <w:p w:rsidR="006D2710" w:rsidRDefault="00B65B62">
            <w:pPr>
              <w:jc w:val="right"/>
            </w:pPr>
            <w:r>
              <w:rPr>
                <w:color w:val="000000"/>
                <w:sz w:val="24"/>
              </w:rPr>
              <w:t>33.97</w:t>
            </w:r>
          </w:p>
        </w:tc>
      </w:tr>
      <w:tr w:rsidR="006D2710">
        <w:trPr>
          <w:jc w:val="center"/>
        </w:trPr>
        <w:tc>
          <w:tcPr>
            <w:tcW w:w="2904" w:type="dxa"/>
            <w:vAlign w:val="center"/>
          </w:tcPr>
          <w:p w:rsidR="006D2710" w:rsidRDefault="00B65B62">
            <w:pPr>
              <w:jc w:val="left"/>
            </w:pPr>
            <w:r>
              <w:rPr>
                <w:color w:val="000000"/>
                <w:sz w:val="24"/>
              </w:rPr>
              <w:t>工业</w:t>
            </w:r>
          </w:p>
        </w:tc>
        <w:tc>
          <w:tcPr>
            <w:tcW w:w="2657" w:type="dxa"/>
            <w:vAlign w:val="center"/>
          </w:tcPr>
          <w:p w:rsidR="006D2710" w:rsidRPr="001A3A9E" w:rsidRDefault="00D03BFF">
            <w:pPr>
              <w:jc w:val="right"/>
              <w:rPr>
                <w:color w:val="000000"/>
                <w:sz w:val="24"/>
              </w:rPr>
            </w:pPr>
            <w:r w:rsidRPr="001A3A9E">
              <w:rPr>
                <w:rFonts w:hint="eastAsia"/>
                <w:color w:val="000000"/>
                <w:sz w:val="24"/>
              </w:rPr>
              <w:t> </w:t>
            </w:r>
            <w:r w:rsidRPr="001A3A9E">
              <w:rPr>
                <w:color w:val="000000"/>
                <w:sz w:val="24"/>
              </w:rPr>
              <w:t xml:space="preserve"> 17,554,672.57</w:t>
            </w:r>
          </w:p>
        </w:tc>
        <w:tc>
          <w:tcPr>
            <w:tcW w:w="3307" w:type="dxa"/>
            <w:vAlign w:val="center"/>
          </w:tcPr>
          <w:p w:rsidR="006D2710" w:rsidRPr="001A3A9E" w:rsidRDefault="00D03BFF">
            <w:pPr>
              <w:jc w:val="right"/>
              <w:rPr>
                <w:color w:val="000000"/>
                <w:sz w:val="24"/>
              </w:rPr>
            </w:pPr>
            <w:r w:rsidRPr="001A3A9E">
              <w:rPr>
                <w:color w:val="000000"/>
                <w:sz w:val="24"/>
              </w:rPr>
              <w:t>13.69</w:t>
            </w:r>
          </w:p>
        </w:tc>
      </w:tr>
      <w:tr w:rsidR="006D2710">
        <w:trPr>
          <w:jc w:val="center"/>
        </w:trPr>
        <w:tc>
          <w:tcPr>
            <w:tcW w:w="2904" w:type="dxa"/>
            <w:vAlign w:val="center"/>
          </w:tcPr>
          <w:p w:rsidR="006D2710" w:rsidRDefault="00B65B62">
            <w:pPr>
              <w:jc w:val="left"/>
            </w:pPr>
            <w:r>
              <w:rPr>
                <w:color w:val="000000"/>
                <w:sz w:val="24"/>
              </w:rPr>
              <w:t>信息技术</w:t>
            </w:r>
          </w:p>
        </w:tc>
        <w:tc>
          <w:tcPr>
            <w:tcW w:w="2657" w:type="dxa"/>
            <w:vAlign w:val="center"/>
          </w:tcPr>
          <w:p w:rsidR="006D2710" w:rsidRDefault="00B65B62">
            <w:pPr>
              <w:jc w:val="right"/>
            </w:pPr>
            <w:r>
              <w:rPr>
                <w:color w:val="000000"/>
                <w:sz w:val="24"/>
              </w:rPr>
              <w:t>14,669,611.42</w:t>
            </w:r>
          </w:p>
        </w:tc>
        <w:tc>
          <w:tcPr>
            <w:tcW w:w="3307" w:type="dxa"/>
            <w:vAlign w:val="center"/>
          </w:tcPr>
          <w:p w:rsidR="006D2710" w:rsidRDefault="00B65B62">
            <w:pPr>
              <w:jc w:val="right"/>
            </w:pPr>
            <w:r>
              <w:rPr>
                <w:color w:val="000000"/>
                <w:sz w:val="24"/>
              </w:rPr>
              <w:t>11.44</w:t>
            </w:r>
          </w:p>
        </w:tc>
      </w:tr>
      <w:tr w:rsidR="009B1224">
        <w:trPr>
          <w:jc w:val="center"/>
        </w:trPr>
        <w:tc>
          <w:tcPr>
            <w:tcW w:w="2904" w:type="dxa"/>
            <w:vAlign w:val="center"/>
          </w:tcPr>
          <w:p w:rsidR="009B1224" w:rsidRDefault="009B1224" w:rsidP="009B1224">
            <w:pPr>
              <w:jc w:val="left"/>
              <w:rPr>
                <w:color w:val="000000"/>
                <w:sz w:val="24"/>
              </w:rPr>
            </w:pPr>
            <w:r>
              <w:rPr>
                <w:color w:val="000000"/>
                <w:sz w:val="24"/>
              </w:rPr>
              <w:t>保健</w:t>
            </w:r>
          </w:p>
        </w:tc>
        <w:tc>
          <w:tcPr>
            <w:tcW w:w="2657" w:type="dxa"/>
            <w:vAlign w:val="center"/>
          </w:tcPr>
          <w:p w:rsidR="009B1224" w:rsidRDefault="009B1224" w:rsidP="009B1224">
            <w:pPr>
              <w:jc w:val="right"/>
              <w:rPr>
                <w:color w:val="000000"/>
                <w:sz w:val="24"/>
              </w:rPr>
            </w:pPr>
            <w:r>
              <w:rPr>
                <w:color w:val="000000"/>
                <w:sz w:val="24"/>
              </w:rPr>
              <w:t>12,769,697.17</w:t>
            </w:r>
          </w:p>
        </w:tc>
        <w:tc>
          <w:tcPr>
            <w:tcW w:w="3307" w:type="dxa"/>
            <w:vAlign w:val="center"/>
          </w:tcPr>
          <w:p w:rsidR="009B1224" w:rsidRDefault="009B1224" w:rsidP="009B1224">
            <w:pPr>
              <w:jc w:val="right"/>
              <w:rPr>
                <w:color w:val="000000"/>
                <w:sz w:val="24"/>
              </w:rPr>
            </w:pPr>
            <w:r>
              <w:rPr>
                <w:color w:val="000000"/>
                <w:sz w:val="24"/>
              </w:rPr>
              <w:t>9.96</w:t>
            </w:r>
          </w:p>
        </w:tc>
      </w:tr>
      <w:tr w:rsidR="009B1224" w:rsidTr="00C334A6">
        <w:trPr>
          <w:jc w:val="center"/>
        </w:trPr>
        <w:tc>
          <w:tcPr>
            <w:tcW w:w="2904" w:type="dxa"/>
            <w:vAlign w:val="center"/>
          </w:tcPr>
          <w:p w:rsidR="009B1224" w:rsidRDefault="009B1224" w:rsidP="009B1224">
            <w:pPr>
              <w:jc w:val="left"/>
            </w:pPr>
            <w:r>
              <w:rPr>
                <w:color w:val="000000"/>
                <w:sz w:val="24"/>
              </w:rPr>
              <w:t>非必需消费品</w:t>
            </w:r>
          </w:p>
        </w:tc>
        <w:tc>
          <w:tcPr>
            <w:tcW w:w="2657" w:type="dxa"/>
          </w:tcPr>
          <w:p w:rsidR="009B1224" w:rsidRPr="00C334A6" w:rsidRDefault="009B1224" w:rsidP="009B1224">
            <w:pPr>
              <w:jc w:val="right"/>
              <w:rPr>
                <w:color w:val="000000"/>
                <w:sz w:val="24"/>
              </w:rPr>
            </w:pPr>
            <w:r w:rsidRPr="00C334A6">
              <w:rPr>
                <w:color w:val="000000"/>
                <w:sz w:val="24"/>
              </w:rPr>
              <w:t xml:space="preserve">   12,159,344.56 </w:t>
            </w:r>
          </w:p>
        </w:tc>
        <w:tc>
          <w:tcPr>
            <w:tcW w:w="3307" w:type="dxa"/>
          </w:tcPr>
          <w:p w:rsidR="009B1224" w:rsidRPr="00C334A6" w:rsidRDefault="009B1224">
            <w:pPr>
              <w:jc w:val="right"/>
              <w:rPr>
                <w:color w:val="000000"/>
                <w:sz w:val="24"/>
              </w:rPr>
            </w:pPr>
            <w:r w:rsidRPr="00C334A6">
              <w:rPr>
                <w:color w:val="000000"/>
                <w:sz w:val="24"/>
              </w:rPr>
              <w:t>9.48</w:t>
            </w:r>
          </w:p>
        </w:tc>
      </w:tr>
      <w:tr w:rsidR="006D2710">
        <w:trPr>
          <w:jc w:val="center"/>
        </w:trPr>
        <w:tc>
          <w:tcPr>
            <w:tcW w:w="2904" w:type="dxa"/>
            <w:vAlign w:val="center"/>
          </w:tcPr>
          <w:p w:rsidR="006D2710" w:rsidRDefault="00B65B62">
            <w:pPr>
              <w:jc w:val="left"/>
            </w:pPr>
            <w:r>
              <w:rPr>
                <w:color w:val="000000"/>
                <w:sz w:val="24"/>
              </w:rPr>
              <w:t>必需消费品</w:t>
            </w:r>
          </w:p>
        </w:tc>
        <w:tc>
          <w:tcPr>
            <w:tcW w:w="2657" w:type="dxa"/>
            <w:vAlign w:val="center"/>
          </w:tcPr>
          <w:p w:rsidR="006D2710" w:rsidRPr="001A3A9E" w:rsidRDefault="009B1224">
            <w:pPr>
              <w:jc w:val="right"/>
              <w:rPr>
                <w:color w:val="000000"/>
                <w:sz w:val="24"/>
              </w:rPr>
            </w:pPr>
            <w:r w:rsidRPr="009B1224">
              <w:rPr>
                <w:color w:val="000000"/>
                <w:sz w:val="24"/>
              </w:rPr>
              <w:t>8,599,978.47</w:t>
            </w:r>
          </w:p>
        </w:tc>
        <w:tc>
          <w:tcPr>
            <w:tcW w:w="3307" w:type="dxa"/>
            <w:vAlign w:val="center"/>
          </w:tcPr>
          <w:p w:rsidR="006D2710" w:rsidRPr="001A3A9E" w:rsidRDefault="009B1224">
            <w:pPr>
              <w:jc w:val="right"/>
              <w:rPr>
                <w:color w:val="000000"/>
                <w:sz w:val="24"/>
              </w:rPr>
            </w:pPr>
            <w:r w:rsidRPr="009B1224">
              <w:rPr>
                <w:color w:val="000000"/>
                <w:sz w:val="24"/>
              </w:rPr>
              <w:t>6.70</w:t>
            </w:r>
          </w:p>
        </w:tc>
      </w:tr>
      <w:tr w:rsidR="006D2710">
        <w:trPr>
          <w:jc w:val="center"/>
        </w:trPr>
        <w:tc>
          <w:tcPr>
            <w:tcW w:w="2904" w:type="dxa"/>
            <w:vAlign w:val="center"/>
          </w:tcPr>
          <w:p w:rsidR="006D2710" w:rsidRDefault="00B65B62">
            <w:pPr>
              <w:jc w:val="left"/>
            </w:pPr>
            <w:r>
              <w:rPr>
                <w:color w:val="000000"/>
                <w:sz w:val="24"/>
              </w:rPr>
              <w:t>材料</w:t>
            </w:r>
          </w:p>
        </w:tc>
        <w:tc>
          <w:tcPr>
            <w:tcW w:w="2657" w:type="dxa"/>
            <w:vAlign w:val="center"/>
          </w:tcPr>
          <w:p w:rsidR="006D2710" w:rsidRDefault="00B65B62">
            <w:pPr>
              <w:jc w:val="right"/>
            </w:pPr>
            <w:r>
              <w:rPr>
                <w:color w:val="000000"/>
                <w:sz w:val="24"/>
              </w:rPr>
              <w:t>7,438,890.76</w:t>
            </w:r>
          </w:p>
        </w:tc>
        <w:tc>
          <w:tcPr>
            <w:tcW w:w="3307" w:type="dxa"/>
            <w:vAlign w:val="center"/>
          </w:tcPr>
          <w:p w:rsidR="006D2710" w:rsidRDefault="00B65B62">
            <w:pPr>
              <w:jc w:val="right"/>
            </w:pPr>
            <w:r>
              <w:rPr>
                <w:color w:val="000000"/>
                <w:sz w:val="24"/>
              </w:rPr>
              <w:t>5.80</w:t>
            </w:r>
          </w:p>
        </w:tc>
      </w:tr>
      <w:tr w:rsidR="006D2710">
        <w:trPr>
          <w:jc w:val="center"/>
        </w:trPr>
        <w:tc>
          <w:tcPr>
            <w:tcW w:w="2904" w:type="dxa"/>
            <w:vAlign w:val="center"/>
          </w:tcPr>
          <w:p w:rsidR="006D2710" w:rsidRDefault="00B65B62">
            <w:pPr>
              <w:jc w:val="left"/>
            </w:pPr>
            <w:r>
              <w:rPr>
                <w:color w:val="000000"/>
                <w:sz w:val="24"/>
              </w:rPr>
              <w:t>能源</w:t>
            </w:r>
          </w:p>
        </w:tc>
        <w:tc>
          <w:tcPr>
            <w:tcW w:w="2657" w:type="dxa"/>
            <w:vAlign w:val="center"/>
          </w:tcPr>
          <w:p w:rsidR="006D2710" w:rsidRDefault="00B65B62">
            <w:pPr>
              <w:jc w:val="right"/>
            </w:pPr>
            <w:r>
              <w:rPr>
                <w:color w:val="000000"/>
                <w:sz w:val="24"/>
              </w:rPr>
              <w:t>4,242,757.01</w:t>
            </w:r>
          </w:p>
        </w:tc>
        <w:tc>
          <w:tcPr>
            <w:tcW w:w="3307" w:type="dxa"/>
            <w:vAlign w:val="center"/>
          </w:tcPr>
          <w:p w:rsidR="006D2710" w:rsidRDefault="00B65B62">
            <w:pPr>
              <w:jc w:val="right"/>
            </w:pPr>
            <w:r>
              <w:rPr>
                <w:color w:val="000000"/>
                <w:sz w:val="24"/>
              </w:rPr>
              <w:t>3.31</w:t>
            </w:r>
          </w:p>
        </w:tc>
      </w:tr>
      <w:tr w:rsidR="006D2710">
        <w:trPr>
          <w:jc w:val="center"/>
        </w:trPr>
        <w:tc>
          <w:tcPr>
            <w:tcW w:w="2904" w:type="dxa"/>
            <w:vAlign w:val="center"/>
          </w:tcPr>
          <w:p w:rsidR="006D2710" w:rsidRDefault="00B65B62">
            <w:pPr>
              <w:jc w:val="left"/>
            </w:pPr>
            <w:r>
              <w:rPr>
                <w:color w:val="000000"/>
                <w:sz w:val="24"/>
              </w:rPr>
              <w:t>电信服务</w:t>
            </w:r>
          </w:p>
        </w:tc>
        <w:tc>
          <w:tcPr>
            <w:tcW w:w="2657" w:type="dxa"/>
            <w:vAlign w:val="center"/>
          </w:tcPr>
          <w:p w:rsidR="006D2710" w:rsidRDefault="00B65B62">
            <w:pPr>
              <w:jc w:val="right"/>
            </w:pPr>
            <w:r>
              <w:rPr>
                <w:color w:val="000000"/>
                <w:sz w:val="24"/>
              </w:rPr>
              <w:t>1,436,670.63</w:t>
            </w:r>
          </w:p>
        </w:tc>
        <w:tc>
          <w:tcPr>
            <w:tcW w:w="3307" w:type="dxa"/>
            <w:vAlign w:val="center"/>
          </w:tcPr>
          <w:p w:rsidR="006D2710" w:rsidRDefault="00B65B62">
            <w:pPr>
              <w:jc w:val="right"/>
            </w:pPr>
            <w:r>
              <w:rPr>
                <w:color w:val="000000"/>
                <w:sz w:val="24"/>
              </w:rPr>
              <w:t>1.12</w:t>
            </w:r>
          </w:p>
        </w:tc>
      </w:tr>
      <w:tr w:rsidR="006D2710">
        <w:trPr>
          <w:jc w:val="center"/>
        </w:trPr>
        <w:tc>
          <w:tcPr>
            <w:tcW w:w="2904" w:type="dxa"/>
            <w:vAlign w:val="center"/>
          </w:tcPr>
          <w:p w:rsidR="006D2710" w:rsidRDefault="00B65B62">
            <w:pPr>
              <w:jc w:val="left"/>
            </w:pPr>
            <w:r>
              <w:rPr>
                <w:color w:val="000000"/>
                <w:sz w:val="24"/>
              </w:rPr>
              <w:t>公共事业</w:t>
            </w:r>
          </w:p>
        </w:tc>
        <w:tc>
          <w:tcPr>
            <w:tcW w:w="2657" w:type="dxa"/>
            <w:vAlign w:val="center"/>
          </w:tcPr>
          <w:p w:rsidR="006D2710" w:rsidRDefault="00B65B62">
            <w:pPr>
              <w:jc w:val="right"/>
            </w:pPr>
            <w:r>
              <w:rPr>
                <w:color w:val="000000"/>
                <w:sz w:val="24"/>
              </w:rPr>
              <w:t>866,781.62</w:t>
            </w:r>
          </w:p>
        </w:tc>
        <w:tc>
          <w:tcPr>
            <w:tcW w:w="3307" w:type="dxa"/>
            <w:vAlign w:val="center"/>
          </w:tcPr>
          <w:p w:rsidR="006D2710" w:rsidRDefault="00B65B62">
            <w:pPr>
              <w:jc w:val="right"/>
            </w:pPr>
            <w:r>
              <w:rPr>
                <w:color w:val="000000"/>
                <w:sz w:val="24"/>
              </w:rPr>
              <w:t>0.68</w:t>
            </w:r>
          </w:p>
        </w:tc>
      </w:tr>
      <w:tr w:rsidR="006D2710">
        <w:trPr>
          <w:jc w:val="center"/>
        </w:trPr>
        <w:tc>
          <w:tcPr>
            <w:tcW w:w="2904" w:type="dxa"/>
            <w:vAlign w:val="center"/>
          </w:tcPr>
          <w:p w:rsidR="006D2710" w:rsidRDefault="00B65B62">
            <w:pPr>
              <w:jc w:val="left"/>
            </w:pPr>
            <w:r>
              <w:rPr>
                <w:color w:val="000000"/>
                <w:sz w:val="24"/>
              </w:rPr>
              <w:t>其他</w:t>
            </w:r>
          </w:p>
        </w:tc>
        <w:tc>
          <w:tcPr>
            <w:tcW w:w="2657" w:type="dxa"/>
            <w:vAlign w:val="center"/>
          </w:tcPr>
          <w:p w:rsidR="006D2710" w:rsidRDefault="00B65B62">
            <w:pPr>
              <w:jc w:val="right"/>
            </w:pPr>
            <w:r>
              <w:rPr>
                <w:color w:val="000000"/>
                <w:sz w:val="24"/>
              </w:rPr>
              <w:t>-</w:t>
            </w:r>
          </w:p>
        </w:tc>
        <w:tc>
          <w:tcPr>
            <w:tcW w:w="3307" w:type="dxa"/>
            <w:vAlign w:val="center"/>
          </w:tcPr>
          <w:p w:rsidR="006D2710" w:rsidRDefault="00B65B62">
            <w:pPr>
              <w:jc w:val="right"/>
            </w:pPr>
            <w:r>
              <w:rPr>
                <w:color w:val="000000"/>
                <w:sz w:val="24"/>
              </w:rPr>
              <w:t>0.00</w:t>
            </w:r>
          </w:p>
        </w:tc>
      </w:tr>
      <w:tr w:rsidR="00C37E98" w:rsidRPr="008640AE" w:rsidTr="009B1224">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65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123,310,487.29</w:t>
            </w:r>
          </w:p>
        </w:tc>
        <w:tc>
          <w:tcPr>
            <w:tcW w:w="330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96.13</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6D2710">
        <w:trPr>
          <w:jc w:val="center"/>
        </w:trPr>
        <w:tc>
          <w:tcPr>
            <w:tcW w:w="1243" w:type="dxa"/>
            <w:vAlign w:val="center"/>
          </w:tcPr>
          <w:p w:rsidR="006D2710" w:rsidRDefault="00B65B62">
            <w:pPr>
              <w:jc w:val="center"/>
            </w:pPr>
            <w:r>
              <w:rPr>
                <w:color w:val="000000"/>
                <w:sz w:val="24"/>
              </w:rPr>
              <w:t>1</w:t>
            </w:r>
          </w:p>
        </w:tc>
        <w:tc>
          <w:tcPr>
            <w:tcW w:w="971" w:type="dxa"/>
            <w:vAlign w:val="center"/>
          </w:tcPr>
          <w:p w:rsidR="006D2710" w:rsidRDefault="00B65B62">
            <w:pPr>
              <w:jc w:val="center"/>
            </w:pPr>
            <w:r>
              <w:rPr>
                <w:color w:val="000000"/>
                <w:sz w:val="24"/>
              </w:rPr>
              <w:t xml:space="preserve">China Pacific Insurance(group) Co.,Ltd. </w:t>
            </w:r>
          </w:p>
        </w:tc>
        <w:tc>
          <w:tcPr>
            <w:tcW w:w="993" w:type="dxa"/>
            <w:vAlign w:val="center"/>
          </w:tcPr>
          <w:p w:rsidR="006D2710" w:rsidRDefault="00B65B62">
            <w:pPr>
              <w:jc w:val="center"/>
            </w:pPr>
            <w:r>
              <w:rPr>
                <w:color w:val="000000"/>
                <w:sz w:val="24"/>
              </w:rPr>
              <w:t>中国太平洋保险</w:t>
            </w:r>
            <w:r>
              <w:rPr>
                <w:color w:val="000000"/>
                <w:sz w:val="24"/>
              </w:rPr>
              <w:t>(</w:t>
            </w:r>
            <w:r>
              <w:rPr>
                <w:color w:val="000000"/>
                <w:sz w:val="24"/>
              </w:rPr>
              <w:t>集团</w:t>
            </w:r>
            <w:r>
              <w:rPr>
                <w:color w:val="000000"/>
                <w:sz w:val="24"/>
              </w:rPr>
              <w:t>)</w:t>
            </w:r>
            <w:r>
              <w:rPr>
                <w:color w:val="000000"/>
                <w:sz w:val="24"/>
              </w:rPr>
              <w:t>股份有限公司</w:t>
            </w:r>
            <w:r>
              <w:rPr>
                <w:color w:val="000000"/>
                <w:sz w:val="24"/>
              </w:rPr>
              <w:t xml:space="preserve"> </w:t>
            </w:r>
          </w:p>
        </w:tc>
        <w:tc>
          <w:tcPr>
            <w:tcW w:w="725" w:type="dxa"/>
            <w:vAlign w:val="center"/>
          </w:tcPr>
          <w:p w:rsidR="006D2710" w:rsidRDefault="00B65B62">
            <w:pPr>
              <w:jc w:val="center"/>
            </w:pPr>
            <w:r>
              <w:rPr>
                <w:color w:val="000000"/>
                <w:sz w:val="24"/>
              </w:rPr>
              <w:t>2601 HK</w:t>
            </w:r>
          </w:p>
        </w:tc>
        <w:tc>
          <w:tcPr>
            <w:tcW w:w="747" w:type="dxa"/>
            <w:vAlign w:val="center"/>
          </w:tcPr>
          <w:p w:rsidR="006D2710" w:rsidRDefault="00B65B62">
            <w:pPr>
              <w:jc w:val="center"/>
            </w:pPr>
            <w:r>
              <w:rPr>
                <w:color w:val="000000"/>
                <w:sz w:val="24"/>
              </w:rPr>
              <w:t>香港证券交易所</w:t>
            </w:r>
          </w:p>
        </w:tc>
        <w:tc>
          <w:tcPr>
            <w:tcW w:w="975" w:type="dxa"/>
            <w:vAlign w:val="center"/>
          </w:tcPr>
          <w:p w:rsidR="006D2710" w:rsidRDefault="00B65B62">
            <w:pPr>
              <w:jc w:val="center"/>
            </w:pPr>
            <w:r>
              <w:rPr>
                <w:color w:val="000000"/>
                <w:sz w:val="24"/>
              </w:rPr>
              <w:t>香港</w:t>
            </w:r>
          </w:p>
        </w:tc>
        <w:tc>
          <w:tcPr>
            <w:tcW w:w="1175" w:type="dxa"/>
            <w:vAlign w:val="center"/>
          </w:tcPr>
          <w:p w:rsidR="006D2710" w:rsidRDefault="00B65B62">
            <w:pPr>
              <w:jc w:val="right"/>
            </w:pPr>
            <w:r>
              <w:rPr>
                <w:color w:val="000000"/>
                <w:sz w:val="24"/>
              </w:rPr>
              <w:t>180,000</w:t>
            </w:r>
          </w:p>
        </w:tc>
        <w:tc>
          <w:tcPr>
            <w:tcW w:w="975" w:type="dxa"/>
            <w:vAlign w:val="center"/>
          </w:tcPr>
          <w:p w:rsidR="006D2710" w:rsidRDefault="00B65B62">
            <w:pPr>
              <w:jc w:val="right"/>
            </w:pPr>
            <w:r>
              <w:rPr>
                <w:color w:val="000000"/>
                <w:sz w:val="24"/>
              </w:rPr>
              <w:t>5,595,473.54</w:t>
            </w:r>
          </w:p>
        </w:tc>
        <w:tc>
          <w:tcPr>
            <w:tcW w:w="1175" w:type="dxa"/>
            <w:vAlign w:val="center"/>
          </w:tcPr>
          <w:p w:rsidR="006D2710" w:rsidRDefault="00B65B62">
            <w:pPr>
              <w:jc w:val="right"/>
            </w:pPr>
            <w:r>
              <w:rPr>
                <w:color w:val="000000"/>
                <w:sz w:val="24"/>
              </w:rPr>
              <w:t>4.36</w:t>
            </w:r>
          </w:p>
        </w:tc>
      </w:tr>
      <w:tr w:rsidR="006D2710">
        <w:trPr>
          <w:jc w:val="center"/>
        </w:trPr>
        <w:tc>
          <w:tcPr>
            <w:tcW w:w="1243" w:type="dxa"/>
            <w:vAlign w:val="center"/>
          </w:tcPr>
          <w:p w:rsidR="006D2710" w:rsidRDefault="00B65B62">
            <w:pPr>
              <w:jc w:val="center"/>
            </w:pPr>
            <w:r>
              <w:rPr>
                <w:color w:val="000000"/>
                <w:sz w:val="24"/>
              </w:rPr>
              <w:t>2</w:t>
            </w:r>
          </w:p>
        </w:tc>
        <w:tc>
          <w:tcPr>
            <w:tcW w:w="971" w:type="dxa"/>
            <w:vAlign w:val="center"/>
          </w:tcPr>
          <w:p w:rsidR="006D2710" w:rsidRDefault="00B65B62">
            <w:pPr>
              <w:jc w:val="center"/>
            </w:pPr>
            <w:r>
              <w:rPr>
                <w:color w:val="000000"/>
                <w:sz w:val="24"/>
              </w:rPr>
              <w:t xml:space="preserve">Ping An Insurance (Group) Company Of China,Ltd. </w:t>
            </w:r>
          </w:p>
        </w:tc>
        <w:tc>
          <w:tcPr>
            <w:tcW w:w="993" w:type="dxa"/>
            <w:vAlign w:val="center"/>
          </w:tcPr>
          <w:p w:rsidR="006D2710" w:rsidRDefault="00B65B62">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725" w:type="dxa"/>
            <w:vAlign w:val="center"/>
          </w:tcPr>
          <w:p w:rsidR="006D2710" w:rsidRDefault="00B65B62">
            <w:pPr>
              <w:jc w:val="center"/>
            </w:pPr>
            <w:r>
              <w:rPr>
                <w:color w:val="000000"/>
                <w:sz w:val="24"/>
              </w:rPr>
              <w:t>2318 HK</w:t>
            </w:r>
          </w:p>
        </w:tc>
        <w:tc>
          <w:tcPr>
            <w:tcW w:w="747" w:type="dxa"/>
            <w:vAlign w:val="center"/>
          </w:tcPr>
          <w:p w:rsidR="006D2710" w:rsidRDefault="00B65B62">
            <w:pPr>
              <w:jc w:val="center"/>
            </w:pPr>
            <w:r>
              <w:rPr>
                <w:color w:val="000000"/>
                <w:sz w:val="24"/>
              </w:rPr>
              <w:t>香港证券交易所</w:t>
            </w:r>
          </w:p>
        </w:tc>
        <w:tc>
          <w:tcPr>
            <w:tcW w:w="975" w:type="dxa"/>
            <w:vAlign w:val="center"/>
          </w:tcPr>
          <w:p w:rsidR="006D2710" w:rsidRDefault="00B65B62">
            <w:pPr>
              <w:jc w:val="center"/>
            </w:pPr>
            <w:r>
              <w:rPr>
                <w:color w:val="000000"/>
                <w:sz w:val="24"/>
              </w:rPr>
              <w:t>香港</w:t>
            </w:r>
          </w:p>
        </w:tc>
        <w:tc>
          <w:tcPr>
            <w:tcW w:w="1175" w:type="dxa"/>
            <w:vAlign w:val="center"/>
          </w:tcPr>
          <w:p w:rsidR="006D2710" w:rsidRDefault="00B65B62">
            <w:pPr>
              <w:jc w:val="right"/>
            </w:pPr>
            <w:r>
              <w:rPr>
                <w:color w:val="000000"/>
                <w:sz w:val="24"/>
              </w:rPr>
              <w:t>50,000</w:t>
            </w:r>
          </w:p>
        </w:tc>
        <w:tc>
          <w:tcPr>
            <w:tcW w:w="975" w:type="dxa"/>
            <w:vAlign w:val="center"/>
          </w:tcPr>
          <w:p w:rsidR="006D2710" w:rsidRDefault="00B65B62">
            <w:pPr>
              <w:jc w:val="right"/>
            </w:pPr>
            <w:r>
              <w:rPr>
                <w:color w:val="000000"/>
                <w:sz w:val="24"/>
              </w:rPr>
              <w:t>3,120,431.17</w:t>
            </w:r>
          </w:p>
        </w:tc>
        <w:tc>
          <w:tcPr>
            <w:tcW w:w="1175" w:type="dxa"/>
            <w:vAlign w:val="center"/>
          </w:tcPr>
          <w:p w:rsidR="006D2710" w:rsidRDefault="00B65B62">
            <w:pPr>
              <w:jc w:val="right"/>
            </w:pPr>
            <w:r>
              <w:rPr>
                <w:color w:val="000000"/>
                <w:sz w:val="24"/>
              </w:rPr>
              <w:t>2.43</w:t>
            </w:r>
          </w:p>
        </w:tc>
      </w:tr>
      <w:tr w:rsidR="006D2710">
        <w:trPr>
          <w:jc w:val="center"/>
        </w:trPr>
        <w:tc>
          <w:tcPr>
            <w:tcW w:w="1243" w:type="dxa"/>
            <w:vAlign w:val="center"/>
          </w:tcPr>
          <w:p w:rsidR="006D2710" w:rsidRDefault="00B65B62">
            <w:pPr>
              <w:jc w:val="center"/>
            </w:pPr>
            <w:r>
              <w:rPr>
                <w:color w:val="000000"/>
                <w:sz w:val="24"/>
              </w:rPr>
              <w:t>3</w:t>
            </w:r>
          </w:p>
        </w:tc>
        <w:tc>
          <w:tcPr>
            <w:tcW w:w="971" w:type="dxa"/>
            <w:vAlign w:val="center"/>
          </w:tcPr>
          <w:p w:rsidR="006D2710" w:rsidRDefault="00B65B62">
            <w:pPr>
              <w:jc w:val="center"/>
            </w:pPr>
            <w:r>
              <w:rPr>
                <w:color w:val="000000"/>
                <w:sz w:val="24"/>
              </w:rPr>
              <w:t>Sunac China Holdings Limited  LTD</w:t>
            </w:r>
          </w:p>
        </w:tc>
        <w:tc>
          <w:tcPr>
            <w:tcW w:w="993" w:type="dxa"/>
            <w:vAlign w:val="center"/>
          </w:tcPr>
          <w:p w:rsidR="006D2710" w:rsidRDefault="00B65B62">
            <w:pPr>
              <w:jc w:val="center"/>
            </w:pPr>
            <w:r>
              <w:rPr>
                <w:color w:val="000000"/>
                <w:sz w:val="24"/>
              </w:rPr>
              <w:t>融创中国控股有限公司</w:t>
            </w:r>
            <w:r>
              <w:rPr>
                <w:color w:val="000000"/>
                <w:sz w:val="24"/>
              </w:rPr>
              <w:t xml:space="preserve"> </w:t>
            </w:r>
          </w:p>
        </w:tc>
        <w:tc>
          <w:tcPr>
            <w:tcW w:w="725" w:type="dxa"/>
            <w:vAlign w:val="center"/>
          </w:tcPr>
          <w:p w:rsidR="006D2710" w:rsidRDefault="00B65B62">
            <w:pPr>
              <w:jc w:val="center"/>
            </w:pPr>
            <w:r>
              <w:rPr>
                <w:color w:val="000000"/>
                <w:sz w:val="24"/>
              </w:rPr>
              <w:t>1918 HK</w:t>
            </w:r>
          </w:p>
        </w:tc>
        <w:tc>
          <w:tcPr>
            <w:tcW w:w="747" w:type="dxa"/>
            <w:vAlign w:val="center"/>
          </w:tcPr>
          <w:p w:rsidR="006D2710" w:rsidRDefault="00B65B62">
            <w:pPr>
              <w:jc w:val="center"/>
            </w:pPr>
            <w:r>
              <w:rPr>
                <w:color w:val="000000"/>
                <w:sz w:val="24"/>
              </w:rPr>
              <w:t>香港证券交易所</w:t>
            </w:r>
          </w:p>
        </w:tc>
        <w:tc>
          <w:tcPr>
            <w:tcW w:w="975" w:type="dxa"/>
            <w:vAlign w:val="center"/>
          </w:tcPr>
          <w:p w:rsidR="006D2710" w:rsidRDefault="00B65B62">
            <w:pPr>
              <w:jc w:val="center"/>
            </w:pPr>
            <w:r>
              <w:rPr>
                <w:color w:val="000000"/>
                <w:sz w:val="24"/>
              </w:rPr>
              <w:t>香港</w:t>
            </w:r>
          </w:p>
        </w:tc>
        <w:tc>
          <w:tcPr>
            <w:tcW w:w="1175" w:type="dxa"/>
            <w:vAlign w:val="center"/>
          </w:tcPr>
          <w:p w:rsidR="006D2710" w:rsidRDefault="00B65B62">
            <w:pPr>
              <w:jc w:val="right"/>
            </w:pPr>
            <w:r>
              <w:rPr>
                <w:color w:val="000000"/>
                <w:sz w:val="24"/>
              </w:rPr>
              <w:t>500,000</w:t>
            </w:r>
          </w:p>
        </w:tc>
        <w:tc>
          <w:tcPr>
            <w:tcW w:w="975" w:type="dxa"/>
            <w:vAlign w:val="center"/>
          </w:tcPr>
          <w:p w:rsidR="006D2710" w:rsidRDefault="00B65B62">
            <w:pPr>
              <w:jc w:val="right"/>
            </w:pPr>
            <w:r>
              <w:rPr>
                <w:color w:val="000000"/>
                <w:sz w:val="24"/>
              </w:rPr>
              <w:t>3,112,541.33</w:t>
            </w:r>
          </w:p>
        </w:tc>
        <w:tc>
          <w:tcPr>
            <w:tcW w:w="1175" w:type="dxa"/>
            <w:vAlign w:val="center"/>
          </w:tcPr>
          <w:p w:rsidR="006D2710" w:rsidRDefault="00B65B62">
            <w:pPr>
              <w:jc w:val="right"/>
            </w:pPr>
            <w:r>
              <w:rPr>
                <w:color w:val="000000"/>
                <w:sz w:val="24"/>
              </w:rPr>
              <w:t>2.43</w:t>
            </w:r>
          </w:p>
        </w:tc>
      </w:tr>
      <w:tr w:rsidR="006D2710">
        <w:trPr>
          <w:jc w:val="center"/>
        </w:trPr>
        <w:tc>
          <w:tcPr>
            <w:tcW w:w="1243" w:type="dxa"/>
            <w:vAlign w:val="center"/>
          </w:tcPr>
          <w:p w:rsidR="006D2710" w:rsidRDefault="00B65B62">
            <w:pPr>
              <w:jc w:val="center"/>
            </w:pPr>
            <w:r>
              <w:rPr>
                <w:color w:val="000000"/>
                <w:sz w:val="24"/>
              </w:rPr>
              <w:t>4</w:t>
            </w:r>
          </w:p>
        </w:tc>
        <w:tc>
          <w:tcPr>
            <w:tcW w:w="971" w:type="dxa"/>
            <w:vAlign w:val="center"/>
          </w:tcPr>
          <w:p w:rsidR="006D2710" w:rsidRDefault="00B65B62">
            <w:pPr>
              <w:jc w:val="center"/>
            </w:pPr>
            <w:r>
              <w:rPr>
                <w:color w:val="000000"/>
                <w:sz w:val="24"/>
              </w:rPr>
              <w:t xml:space="preserve">Haitong Securities Company Limited </w:t>
            </w:r>
          </w:p>
        </w:tc>
        <w:tc>
          <w:tcPr>
            <w:tcW w:w="993" w:type="dxa"/>
            <w:vAlign w:val="center"/>
          </w:tcPr>
          <w:p w:rsidR="006D2710" w:rsidRDefault="00B65B62">
            <w:pPr>
              <w:jc w:val="center"/>
            </w:pPr>
            <w:r>
              <w:rPr>
                <w:color w:val="000000"/>
                <w:sz w:val="24"/>
              </w:rPr>
              <w:t>海通证券股份有限公司</w:t>
            </w:r>
            <w:r>
              <w:rPr>
                <w:color w:val="000000"/>
                <w:sz w:val="24"/>
              </w:rPr>
              <w:t xml:space="preserve"> </w:t>
            </w:r>
          </w:p>
        </w:tc>
        <w:tc>
          <w:tcPr>
            <w:tcW w:w="725" w:type="dxa"/>
            <w:vAlign w:val="center"/>
          </w:tcPr>
          <w:p w:rsidR="006D2710" w:rsidRDefault="00B65B62">
            <w:pPr>
              <w:jc w:val="center"/>
            </w:pPr>
            <w:r>
              <w:rPr>
                <w:color w:val="000000"/>
                <w:sz w:val="24"/>
              </w:rPr>
              <w:t>6837 HK</w:t>
            </w:r>
          </w:p>
        </w:tc>
        <w:tc>
          <w:tcPr>
            <w:tcW w:w="747" w:type="dxa"/>
            <w:vAlign w:val="center"/>
          </w:tcPr>
          <w:p w:rsidR="006D2710" w:rsidRDefault="00B65B62">
            <w:pPr>
              <w:jc w:val="center"/>
            </w:pPr>
            <w:r>
              <w:rPr>
                <w:color w:val="000000"/>
                <w:sz w:val="24"/>
              </w:rPr>
              <w:t>香港证券交易所</w:t>
            </w:r>
          </w:p>
        </w:tc>
        <w:tc>
          <w:tcPr>
            <w:tcW w:w="975" w:type="dxa"/>
            <w:vAlign w:val="center"/>
          </w:tcPr>
          <w:p w:rsidR="006D2710" w:rsidRDefault="00B65B62">
            <w:pPr>
              <w:jc w:val="center"/>
            </w:pPr>
            <w:r>
              <w:rPr>
                <w:color w:val="000000"/>
                <w:sz w:val="24"/>
              </w:rPr>
              <w:t>香港</w:t>
            </w:r>
          </w:p>
        </w:tc>
        <w:tc>
          <w:tcPr>
            <w:tcW w:w="1175" w:type="dxa"/>
            <w:vAlign w:val="center"/>
          </w:tcPr>
          <w:p w:rsidR="006D2710" w:rsidRDefault="00B65B62">
            <w:pPr>
              <w:jc w:val="right"/>
            </w:pPr>
            <w:r>
              <w:rPr>
                <w:color w:val="000000"/>
                <w:sz w:val="24"/>
              </w:rPr>
              <w:t>200,000</w:t>
            </w:r>
          </w:p>
        </w:tc>
        <w:tc>
          <w:tcPr>
            <w:tcW w:w="975" w:type="dxa"/>
            <w:vAlign w:val="center"/>
          </w:tcPr>
          <w:p w:rsidR="006D2710" w:rsidRDefault="00B65B62">
            <w:pPr>
              <w:jc w:val="right"/>
            </w:pPr>
            <w:r>
              <w:rPr>
                <w:color w:val="000000"/>
                <w:sz w:val="24"/>
              </w:rPr>
              <w:t>3,080,192.99</w:t>
            </w:r>
          </w:p>
        </w:tc>
        <w:tc>
          <w:tcPr>
            <w:tcW w:w="1175" w:type="dxa"/>
            <w:vAlign w:val="center"/>
          </w:tcPr>
          <w:p w:rsidR="006D2710" w:rsidRDefault="00B65B62">
            <w:pPr>
              <w:jc w:val="right"/>
            </w:pPr>
            <w:r>
              <w:rPr>
                <w:color w:val="000000"/>
                <w:sz w:val="24"/>
              </w:rPr>
              <w:t>2.40</w:t>
            </w:r>
          </w:p>
        </w:tc>
      </w:tr>
      <w:tr w:rsidR="006D2710">
        <w:trPr>
          <w:jc w:val="center"/>
        </w:trPr>
        <w:tc>
          <w:tcPr>
            <w:tcW w:w="1243" w:type="dxa"/>
            <w:vAlign w:val="center"/>
          </w:tcPr>
          <w:p w:rsidR="006D2710" w:rsidRDefault="00B65B62">
            <w:pPr>
              <w:jc w:val="center"/>
            </w:pPr>
            <w:r>
              <w:rPr>
                <w:color w:val="000000"/>
                <w:sz w:val="24"/>
              </w:rPr>
              <w:t>5</w:t>
            </w:r>
          </w:p>
        </w:tc>
        <w:tc>
          <w:tcPr>
            <w:tcW w:w="971" w:type="dxa"/>
            <w:vAlign w:val="center"/>
          </w:tcPr>
          <w:p w:rsidR="006D2710" w:rsidRDefault="00B65B62">
            <w:pPr>
              <w:jc w:val="center"/>
            </w:pPr>
            <w:r>
              <w:rPr>
                <w:color w:val="000000"/>
                <w:sz w:val="24"/>
              </w:rPr>
              <w:t xml:space="preserve">China Galaxy Securities Co.,Ltd. </w:t>
            </w:r>
          </w:p>
        </w:tc>
        <w:tc>
          <w:tcPr>
            <w:tcW w:w="993" w:type="dxa"/>
            <w:vAlign w:val="center"/>
          </w:tcPr>
          <w:p w:rsidR="006D2710" w:rsidRDefault="00B65B62">
            <w:pPr>
              <w:jc w:val="center"/>
            </w:pPr>
            <w:r>
              <w:rPr>
                <w:color w:val="000000"/>
                <w:sz w:val="24"/>
              </w:rPr>
              <w:t>中国银河证券股份有限公司</w:t>
            </w:r>
          </w:p>
        </w:tc>
        <w:tc>
          <w:tcPr>
            <w:tcW w:w="725" w:type="dxa"/>
            <w:vAlign w:val="center"/>
          </w:tcPr>
          <w:p w:rsidR="006D2710" w:rsidRDefault="00B65B62">
            <w:pPr>
              <w:jc w:val="center"/>
            </w:pPr>
            <w:r>
              <w:rPr>
                <w:color w:val="000000"/>
                <w:sz w:val="24"/>
              </w:rPr>
              <w:t>6881 HK</w:t>
            </w:r>
          </w:p>
        </w:tc>
        <w:tc>
          <w:tcPr>
            <w:tcW w:w="747" w:type="dxa"/>
            <w:vAlign w:val="center"/>
          </w:tcPr>
          <w:p w:rsidR="006D2710" w:rsidRDefault="00B65B62">
            <w:pPr>
              <w:jc w:val="center"/>
            </w:pPr>
            <w:r>
              <w:rPr>
                <w:color w:val="000000"/>
                <w:sz w:val="24"/>
              </w:rPr>
              <w:t>香港证券交易所</w:t>
            </w:r>
          </w:p>
        </w:tc>
        <w:tc>
          <w:tcPr>
            <w:tcW w:w="975" w:type="dxa"/>
            <w:vAlign w:val="center"/>
          </w:tcPr>
          <w:p w:rsidR="006D2710" w:rsidRDefault="00B65B62">
            <w:pPr>
              <w:jc w:val="center"/>
            </w:pPr>
            <w:r>
              <w:rPr>
                <w:color w:val="000000"/>
                <w:sz w:val="24"/>
              </w:rPr>
              <w:t>香港</w:t>
            </w:r>
          </w:p>
        </w:tc>
        <w:tc>
          <w:tcPr>
            <w:tcW w:w="1175" w:type="dxa"/>
            <w:vAlign w:val="center"/>
          </w:tcPr>
          <w:p w:rsidR="006D2710" w:rsidRDefault="00B65B62">
            <w:pPr>
              <w:jc w:val="right"/>
            </w:pPr>
            <w:r>
              <w:rPr>
                <w:color w:val="000000"/>
                <w:sz w:val="24"/>
              </w:rPr>
              <w:t>400,000</w:t>
            </w:r>
          </w:p>
        </w:tc>
        <w:tc>
          <w:tcPr>
            <w:tcW w:w="975" w:type="dxa"/>
            <w:vAlign w:val="center"/>
          </w:tcPr>
          <w:p w:rsidR="006D2710" w:rsidRDefault="00B65B62">
            <w:pPr>
              <w:jc w:val="right"/>
            </w:pPr>
            <w:r>
              <w:rPr>
                <w:color w:val="000000"/>
                <w:sz w:val="24"/>
              </w:rPr>
              <w:t>3,070,725.18</w:t>
            </w:r>
          </w:p>
        </w:tc>
        <w:tc>
          <w:tcPr>
            <w:tcW w:w="1175" w:type="dxa"/>
            <w:vAlign w:val="center"/>
          </w:tcPr>
          <w:p w:rsidR="006D2710" w:rsidRDefault="00B65B62">
            <w:pPr>
              <w:jc w:val="right"/>
            </w:pPr>
            <w:r>
              <w:rPr>
                <w:color w:val="000000"/>
                <w:sz w:val="24"/>
              </w:rPr>
              <w:t>2.39</w:t>
            </w:r>
          </w:p>
        </w:tc>
      </w:tr>
      <w:tr w:rsidR="006D2710">
        <w:trPr>
          <w:jc w:val="center"/>
        </w:trPr>
        <w:tc>
          <w:tcPr>
            <w:tcW w:w="1243" w:type="dxa"/>
            <w:vAlign w:val="center"/>
          </w:tcPr>
          <w:p w:rsidR="006D2710" w:rsidRDefault="00B65B62">
            <w:pPr>
              <w:jc w:val="center"/>
            </w:pPr>
            <w:r>
              <w:rPr>
                <w:color w:val="000000"/>
                <w:sz w:val="24"/>
              </w:rPr>
              <w:t>6</w:t>
            </w:r>
          </w:p>
        </w:tc>
        <w:tc>
          <w:tcPr>
            <w:tcW w:w="971" w:type="dxa"/>
            <w:vAlign w:val="center"/>
          </w:tcPr>
          <w:p w:rsidR="006D2710" w:rsidRDefault="00B65B62">
            <w:pPr>
              <w:jc w:val="center"/>
            </w:pPr>
            <w:r>
              <w:rPr>
                <w:color w:val="000000"/>
                <w:sz w:val="24"/>
              </w:rPr>
              <w:t>APPLE INC</w:t>
            </w:r>
          </w:p>
        </w:tc>
        <w:tc>
          <w:tcPr>
            <w:tcW w:w="993" w:type="dxa"/>
            <w:vAlign w:val="center"/>
          </w:tcPr>
          <w:p w:rsidR="006D2710" w:rsidRDefault="00B65B62">
            <w:pPr>
              <w:jc w:val="center"/>
            </w:pPr>
            <w:r>
              <w:rPr>
                <w:color w:val="000000"/>
                <w:sz w:val="24"/>
              </w:rPr>
              <w:t>苹果公司</w:t>
            </w:r>
          </w:p>
        </w:tc>
        <w:tc>
          <w:tcPr>
            <w:tcW w:w="725" w:type="dxa"/>
            <w:vAlign w:val="center"/>
          </w:tcPr>
          <w:p w:rsidR="006D2710" w:rsidRDefault="00B65B62">
            <w:pPr>
              <w:jc w:val="center"/>
            </w:pPr>
            <w:r>
              <w:rPr>
                <w:color w:val="000000"/>
                <w:sz w:val="24"/>
              </w:rPr>
              <w:t>AAPL US</w:t>
            </w:r>
          </w:p>
        </w:tc>
        <w:tc>
          <w:tcPr>
            <w:tcW w:w="747" w:type="dxa"/>
            <w:vAlign w:val="center"/>
          </w:tcPr>
          <w:p w:rsidR="006D2710" w:rsidRDefault="00B65B62">
            <w:pPr>
              <w:jc w:val="center"/>
            </w:pPr>
            <w:r>
              <w:rPr>
                <w:color w:val="000000"/>
                <w:sz w:val="24"/>
              </w:rPr>
              <w:t>美国证券交易所</w:t>
            </w:r>
          </w:p>
        </w:tc>
        <w:tc>
          <w:tcPr>
            <w:tcW w:w="975" w:type="dxa"/>
            <w:vAlign w:val="center"/>
          </w:tcPr>
          <w:p w:rsidR="006D2710" w:rsidRDefault="00B65B62">
            <w:pPr>
              <w:jc w:val="center"/>
            </w:pPr>
            <w:r>
              <w:rPr>
                <w:color w:val="000000"/>
                <w:sz w:val="24"/>
              </w:rPr>
              <w:t>美国</w:t>
            </w:r>
          </w:p>
        </w:tc>
        <w:tc>
          <w:tcPr>
            <w:tcW w:w="1175" w:type="dxa"/>
            <w:vAlign w:val="center"/>
          </w:tcPr>
          <w:p w:rsidR="006D2710" w:rsidRDefault="00B65B62">
            <w:pPr>
              <w:jc w:val="right"/>
            </w:pPr>
            <w:r>
              <w:rPr>
                <w:color w:val="000000"/>
                <w:sz w:val="24"/>
              </w:rPr>
              <w:t>4,000</w:t>
            </w:r>
          </w:p>
        </w:tc>
        <w:tc>
          <w:tcPr>
            <w:tcW w:w="975" w:type="dxa"/>
            <w:vAlign w:val="center"/>
          </w:tcPr>
          <w:p w:rsidR="006D2710" w:rsidRDefault="00B65B62">
            <w:pPr>
              <w:jc w:val="right"/>
            </w:pPr>
            <w:r>
              <w:rPr>
                <w:color w:val="000000"/>
                <w:sz w:val="24"/>
              </w:rPr>
              <w:t>2,701,660.88</w:t>
            </w:r>
          </w:p>
        </w:tc>
        <w:tc>
          <w:tcPr>
            <w:tcW w:w="1175" w:type="dxa"/>
            <w:vAlign w:val="center"/>
          </w:tcPr>
          <w:p w:rsidR="006D2710" w:rsidRDefault="00B65B62">
            <w:pPr>
              <w:jc w:val="right"/>
            </w:pPr>
            <w:r>
              <w:rPr>
                <w:color w:val="000000"/>
                <w:sz w:val="24"/>
              </w:rPr>
              <w:t>2.11</w:t>
            </w:r>
          </w:p>
        </w:tc>
      </w:tr>
      <w:tr w:rsidR="006D2710">
        <w:trPr>
          <w:jc w:val="center"/>
        </w:trPr>
        <w:tc>
          <w:tcPr>
            <w:tcW w:w="1243" w:type="dxa"/>
            <w:vAlign w:val="center"/>
          </w:tcPr>
          <w:p w:rsidR="006D2710" w:rsidRDefault="00B65B62">
            <w:pPr>
              <w:jc w:val="center"/>
            </w:pPr>
            <w:r>
              <w:rPr>
                <w:color w:val="000000"/>
                <w:sz w:val="24"/>
              </w:rPr>
              <w:t>7</w:t>
            </w:r>
          </w:p>
        </w:tc>
        <w:tc>
          <w:tcPr>
            <w:tcW w:w="971" w:type="dxa"/>
            <w:vAlign w:val="center"/>
          </w:tcPr>
          <w:p w:rsidR="006D2710" w:rsidRDefault="00B65B62">
            <w:pPr>
              <w:jc w:val="center"/>
            </w:pPr>
            <w:r>
              <w:rPr>
                <w:color w:val="000000"/>
                <w:sz w:val="24"/>
              </w:rPr>
              <w:t xml:space="preserve">BBMG Corporation </w:t>
            </w:r>
          </w:p>
        </w:tc>
        <w:tc>
          <w:tcPr>
            <w:tcW w:w="993" w:type="dxa"/>
            <w:vAlign w:val="center"/>
          </w:tcPr>
          <w:p w:rsidR="006D2710" w:rsidRDefault="00B65B62">
            <w:pPr>
              <w:jc w:val="center"/>
            </w:pPr>
            <w:r>
              <w:rPr>
                <w:color w:val="000000"/>
                <w:sz w:val="24"/>
              </w:rPr>
              <w:t>北京金隅股份有限公司</w:t>
            </w:r>
            <w:r>
              <w:rPr>
                <w:color w:val="000000"/>
                <w:sz w:val="24"/>
              </w:rPr>
              <w:t xml:space="preserve"> </w:t>
            </w:r>
          </w:p>
        </w:tc>
        <w:tc>
          <w:tcPr>
            <w:tcW w:w="725" w:type="dxa"/>
            <w:vAlign w:val="center"/>
          </w:tcPr>
          <w:p w:rsidR="006D2710" w:rsidRDefault="00B65B62">
            <w:pPr>
              <w:jc w:val="center"/>
            </w:pPr>
            <w:r>
              <w:rPr>
                <w:color w:val="000000"/>
                <w:sz w:val="24"/>
              </w:rPr>
              <w:t>2009 HK</w:t>
            </w:r>
          </w:p>
        </w:tc>
        <w:tc>
          <w:tcPr>
            <w:tcW w:w="747" w:type="dxa"/>
            <w:vAlign w:val="center"/>
          </w:tcPr>
          <w:p w:rsidR="006D2710" w:rsidRDefault="00B65B62">
            <w:pPr>
              <w:jc w:val="center"/>
            </w:pPr>
            <w:r>
              <w:rPr>
                <w:color w:val="000000"/>
                <w:sz w:val="24"/>
              </w:rPr>
              <w:t>香港证券交易所</w:t>
            </w:r>
          </w:p>
        </w:tc>
        <w:tc>
          <w:tcPr>
            <w:tcW w:w="975" w:type="dxa"/>
            <w:vAlign w:val="center"/>
          </w:tcPr>
          <w:p w:rsidR="006D2710" w:rsidRDefault="00B65B62">
            <w:pPr>
              <w:jc w:val="center"/>
            </w:pPr>
            <w:r>
              <w:rPr>
                <w:color w:val="000000"/>
                <w:sz w:val="24"/>
              </w:rPr>
              <w:t>香港</w:t>
            </w:r>
          </w:p>
        </w:tc>
        <w:tc>
          <w:tcPr>
            <w:tcW w:w="1175" w:type="dxa"/>
            <w:vAlign w:val="center"/>
          </w:tcPr>
          <w:p w:rsidR="006D2710" w:rsidRDefault="00B65B62">
            <w:pPr>
              <w:jc w:val="right"/>
            </w:pPr>
            <w:r>
              <w:rPr>
                <w:color w:val="000000"/>
                <w:sz w:val="24"/>
              </w:rPr>
              <w:t>500,000</w:t>
            </w:r>
          </w:p>
        </w:tc>
        <w:tc>
          <w:tcPr>
            <w:tcW w:w="975" w:type="dxa"/>
            <w:vAlign w:val="center"/>
          </w:tcPr>
          <w:p w:rsidR="006D2710" w:rsidRDefault="00B65B62">
            <w:pPr>
              <w:jc w:val="right"/>
            </w:pPr>
            <w:r>
              <w:rPr>
                <w:color w:val="000000"/>
                <w:sz w:val="24"/>
              </w:rPr>
              <w:t>2,560,252.63</w:t>
            </w:r>
          </w:p>
        </w:tc>
        <w:tc>
          <w:tcPr>
            <w:tcW w:w="1175" w:type="dxa"/>
            <w:vAlign w:val="center"/>
          </w:tcPr>
          <w:p w:rsidR="006D2710" w:rsidRDefault="00B65B62">
            <w:pPr>
              <w:jc w:val="right"/>
            </w:pPr>
            <w:r>
              <w:rPr>
                <w:color w:val="000000"/>
                <w:sz w:val="24"/>
              </w:rPr>
              <w:t>2.00</w:t>
            </w:r>
          </w:p>
        </w:tc>
      </w:tr>
      <w:tr w:rsidR="006D2710">
        <w:trPr>
          <w:jc w:val="center"/>
        </w:trPr>
        <w:tc>
          <w:tcPr>
            <w:tcW w:w="1243" w:type="dxa"/>
            <w:vAlign w:val="center"/>
          </w:tcPr>
          <w:p w:rsidR="006D2710" w:rsidRDefault="00B65B62">
            <w:pPr>
              <w:jc w:val="center"/>
            </w:pPr>
            <w:r>
              <w:rPr>
                <w:color w:val="000000"/>
                <w:sz w:val="24"/>
              </w:rPr>
              <w:t>8</w:t>
            </w:r>
          </w:p>
        </w:tc>
        <w:tc>
          <w:tcPr>
            <w:tcW w:w="971" w:type="dxa"/>
            <w:vAlign w:val="center"/>
          </w:tcPr>
          <w:p w:rsidR="006D2710" w:rsidRDefault="00B65B62">
            <w:pPr>
              <w:jc w:val="center"/>
            </w:pPr>
            <w:r>
              <w:rPr>
                <w:color w:val="000000"/>
                <w:sz w:val="24"/>
              </w:rPr>
              <w:t>Central China Securities CO.,LTD.</w:t>
            </w:r>
          </w:p>
        </w:tc>
        <w:tc>
          <w:tcPr>
            <w:tcW w:w="993" w:type="dxa"/>
            <w:vAlign w:val="center"/>
          </w:tcPr>
          <w:p w:rsidR="006D2710" w:rsidRDefault="00B65B62">
            <w:pPr>
              <w:jc w:val="center"/>
            </w:pPr>
            <w:r>
              <w:rPr>
                <w:color w:val="000000"/>
                <w:sz w:val="24"/>
              </w:rPr>
              <w:t>中原证券股份有限公司</w:t>
            </w:r>
            <w:r>
              <w:rPr>
                <w:color w:val="000000"/>
                <w:sz w:val="24"/>
              </w:rPr>
              <w:t xml:space="preserve"> </w:t>
            </w:r>
          </w:p>
        </w:tc>
        <w:tc>
          <w:tcPr>
            <w:tcW w:w="725" w:type="dxa"/>
            <w:vAlign w:val="center"/>
          </w:tcPr>
          <w:p w:rsidR="006D2710" w:rsidRDefault="00B65B62">
            <w:pPr>
              <w:jc w:val="center"/>
            </w:pPr>
            <w:r>
              <w:rPr>
                <w:color w:val="000000"/>
                <w:sz w:val="24"/>
              </w:rPr>
              <w:t>1375 HK</w:t>
            </w:r>
          </w:p>
        </w:tc>
        <w:tc>
          <w:tcPr>
            <w:tcW w:w="747" w:type="dxa"/>
            <w:vAlign w:val="center"/>
          </w:tcPr>
          <w:p w:rsidR="006D2710" w:rsidRDefault="00B65B62">
            <w:pPr>
              <w:jc w:val="center"/>
            </w:pPr>
            <w:r>
              <w:rPr>
                <w:color w:val="000000"/>
                <w:sz w:val="24"/>
              </w:rPr>
              <w:t>香港证券交易所</w:t>
            </w:r>
          </w:p>
        </w:tc>
        <w:tc>
          <w:tcPr>
            <w:tcW w:w="975" w:type="dxa"/>
            <w:vAlign w:val="center"/>
          </w:tcPr>
          <w:p w:rsidR="006D2710" w:rsidRDefault="00B65B62">
            <w:pPr>
              <w:jc w:val="center"/>
            </w:pPr>
            <w:r>
              <w:rPr>
                <w:color w:val="000000"/>
                <w:sz w:val="24"/>
              </w:rPr>
              <w:t>香港</w:t>
            </w:r>
          </w:p>
        </w:tc>
        <w:tc>
          <w:tcPr>
            <w:tcW w:w="1175" w:type="dxa"/>
            <w:vAlign w:val="center"/>
          </w:tcPr>
          <w:p w:rsidR="006D2710" w:rsidRDefault="00B65B62">
            <w:pPr>
              <w:jc w:val="right"/>
            </w:pPr>
            <w:r>
              <w:rPr>
                <w:color w:val="000000"/>
                <w:sz w:val="24"/>
              </w:rPr>
              <w:t>400,000</w:t>
            </w:r>
          </w:p>
        </w:tc>
        <w:tc>
          <w:tcPr>
            <w:tcW w:w="975" w:type="dxa"/>
            <w:vAlign w:val="center"/>
          </w:tcPr>
          <w:p w:rsidR="006D2710" w:rsidRDefault="00B65B62">
            <w:pPr>
              <w:jc w:val="right"/>
            </w:pPr>
            <w:r>
              <w:rPr>
                <w:color w:val="000000"/>
                <w:sz w:val="24"/>
              </w:rPr>
              <w:t>2,357,483.77</w:t>
            </w:r>
          </w:p>
        </w:tc>
        <w:tc>
          <w:tcPr>
            <w:tcW w:w="1175" w:type="dxa"/>
            <w:vAlign w:val="center"/>
          </w:tcPr>
          <w:p w:rsidR="006D2710" w:rsidRDefault="00B65B62">
            <w:pPr>
              <w:jc w:val="right"/>
            </w:pPr>
            <w:r>
              <w:rPr>
                <w:color w:val="000000"/>
                <w:sz w:val="24"/>
              </w:rPr>
              <w:t>1.84</w:t>
            </w:r>
          </w:p>
        </w:tc>
      </w:tr>
      <w:tr w:rsidR="006D2710">
        <w:trPr>
          <w:jc w:val="center"/>
        </w:trPr>
        <w:tc>
          <w:tcPr>
            <w:tcW w:w="1243" w:type="dxa"/>
            <w:vAlign w:val="center"/>
          </w:tcPr>
          <w:p w:rsidR="006D2710" w:rsidRDefault="00B65B62">
            <w:pPr>
              <w:jc w:val="center"/>
            </w:pPr>
            <w:r>
              <w:rPr>
                <w:color w:val="000000"/>
                <w:sz w:val="24"/>
              </w:rPr>
              <w:t>9</w:t>
            </w:r>
          </w:p>
        </w:tc>
        <w:tc>
          <w:tcPr>
            <w:tcW w:w="971" w:type="dxa"/>
            <w:vAlign w:val="center"/>
          </w:tcPr>
          <w:p w:rsidR="006D2710" w:rsidRDefault="00B65B62">
            <w:pPr>
              <w:jc w:val="center"/>
            </w:pPr>
            <w:r>
              <w:rPr>
                <w:color w:val="000000"/>
                <w:sz w:val="24"/>
              </w:rPr>
              <w:t>AMGEN INC</w:t>
            </w:r>
          </w:p>
        </w:tc>
        <w:tc>
          <w:tcPr>
            <w:tcW w:w="993" w:type="dxa"/>
            <w:vAlign w:val="center"/>
          </w:tcPr>
          <w:p w:rsidR="006D2710" w:rsidRDefault="00B93F37">
            <w:pPr>
              <w:jc w:val="center"/>
            </w:pPr>
            <w:r>
              <w:rPr>
                <w:rFonts w:hint="eastAsia"/>
                <w:color w:val="000000"/>
                <w:sz w:val="24"/>
              </w:rPr>
              <w:t>安进公司</w:t>
            </w:r>
          </w:p>
        </w:tc>
        <w:tc>
          <w:tcPr>
            <w:tcW w:w="725" w:type="dxa"/>
            <w:vAlign w:val="center"/>
          </w:tcPr>
          <w:p w:rsidR="006D2710" w:rsidRDefault="00B65B62">
            <w:pPr>
              <w:jc w:val="center"/>
            </w:pPr>
            <w:r>
              <w:rPr>
                <w:color w:val="000000"/>
                <w:sz w:val="24"/>
              </w:rPr>
              <w:t>AMGN US</w:t>
            </w:r>
          </w:p>
        </w:tc>
        <w:tc>
          <w:tcPr>
            <w:tcW w:w="747" w:type="dxa"/>
            <w:vAlign w:val="center"/>
          </w:tcPr>
          <w:p w:rsidR="006D2710" w:rsidRDefault="00B65B62">
            <w:pPr>
              <w:jc w:val="center"/>
            </w:pPr>
            <w:r>
              <w:rPr>
                <w:color w:val="000000"/>
                <w:sz w:val="24"/>
              </w:rPr>
              <w:t>美国证券交易所</w:t>
            </w:r>
          </w:p>
        </w:tc>
        <w:tc>
          <w:tcPr>
            <w:tcW w:w="975" w:type="dxa"/>
            <w:vAlign w:val="center"/>
          </w:tcPr>
          <w:p w:rsidR="006D2710" w:rsidRDefault="00B65B62">
            <w:pPr>
              <w:jc w:val="center"/>
            </w:pPr>
            <w:r>
              <w:rPr>
                <w:color w:val="000000"/>
                <w:sz w:val="24"/>
              </w:rPr>
              <w:t>美国</w:t>
            </w:r>
          </w:p>
        </w:tc>
        <w:tc>
          <w:tcPr>
            <w:tcW w:w="1175" w:type="dxa"/>
            <w:vAlign w:val="center"/>
          </w:tcPr>
          <w:p w:rsidR="006D2710" w:rsidRDefault="00B65B62">
            <w:pPr>
              <w:jc w:val="right"/>
            </w:pPr>
            <w:r>
              <w:rPr>
                <w:color w:val="000000"/>
                <w:sz w:val="24"/>
              </w:rPr>
              <w:t>2,402</w:t>
            </w:r>
          </w:p>
        </w:tc>
        <w:tc>
          <w:tcPr>
            <w:tcW w:w="975" w:type="dxa"/>
            <w:vAlign w:val="center"/>
          </w:tcPr>
          <w:p w:rsidR="006D2710" w:rsidRDefault="00B65B62">
            <w:pPr>
              <w:jc w:val="right"/>
            </w:pPr>
            <w:r>
              <w:rPr>
                <w:color w:val="000000"/>
                <w:sz w:val="24"/>
              </w:rPr>
              <w:t>2,341,218.62</w:t>
            </w:r>
          </w:p>
        </w:tc>
        <w:tc>
          <w:tcPr>
            <w:tcW w:w="1175" w:type="dxa"/>
            <w:vAlign w:val="center"/>
          </w:tcPr>
          <w:p w:rsidR="006D2710" w:rsidRDefault="00B65B62">
            <w:pPr>
              <w:jc w:val="right"/>
            </w:pPr>
            <w:r>
              <w:rPr>
                <w:color w:val="000000"/>
                <w:sz w:val="24"/>
              </w:rPr>
              <w:t>1.83</w:t>
            </w:r>
          </w:p>
        </w:tc>
      </w:tr>
      <w:tr w:rsidR="006D2710">
        <w:trPr>
          <w:jc w:val="center"/>
        </w:trPr>
        <w:tc>
          <w:tcPr>
            <w:tcW w:w="1243" w:type="dxa"/>
            <w:vAlign w:val="center"/>
          </w:tcPr>
          <w:p w:rsidR="006D2710" w:rsidRDefault="00B65B62">
            <w:pPr>
              <w:jc w:val="center"/>
            </w:pPr>
            <w:r>
              <w:rPr>
                <w:color w:val="000000"/>
                <w:sz w:val="24"/>
              </w:rPr>
              <w:t>10</w:t>
            </w:r>
          </w:p>
        </w:tc>
        <w:tc>
          <w:tcPr>
            <w:tcW w:w="971" w:type="dxa"/>
            <w:vAlign w:val="center"/>
          </w:tcPr>
          <w:p w:rsidR="006D2710" w:rsidRDefault="00B65B62">
            <w:pPr>
              <w:jc w:val="center"/>
            </w:pPr>
            <w:r>
              <w:rPr>
                <w:color w:val="000000"/>
                <w:sz w:val="24"/>
              </w:rPr>
              <w:t xml:space="preserve">Citic Securities Company Limited </w:t>
            </w:r>
          </w:p>
        </w:tc>
        <w:tc>
          <w:tcPr>
            <w:tcW w:w="993" w:type="dxa"/>
            <w:vAlign w:val="center"/>
          </w:tcPr>
          <w:p w:rsidR="006D2710" w:rsidRDefault="00B65B62">
            <w:pPr>
              <w:jc w:val="center"/>
            </w:pPr>
            <w:r>
              <w:rPr>
                <w:color w:val="000000"/>
                <w:sz w:val="24"/>
              </w:rPr>
              <w:t>中信证券股份有限公司</w:t>
            </w:r>
            <w:r>
              <w:rPr>
                <w:color w:val="000000"/>
                <w:sz w:val="24"/>
              </w:rPr>
              <w:t xml:space="preserve"> </w:t>
            </w:r>
          </w:p>
        </w:tc>
        <w:tc>
          <w:tcPr>
            <w:tcW w:w="725" w:type="dxa"/>
            <w:vAlign w:val="center"/>
          </w:tcPr>
          <w:p w:rsidR="006D2710" w:rsidRDefault="00B65B62">
            <w:pPr>
              <w:jc w:val="center"/>
            </w:pPr>
            <w:r>
              <w:rPr>
                <w:color w:val="000000"/>
                <w:sz w:val="24"/>
              </w:rPr>
              <w:t>6030 HK</w:t>
            </w:r>
          </w:p>
        </w:tc>
        <w:tc>
          <w:tcPr>
            <w:tcW w:w="747" w:type="dxa"/>
            <w:vAlign w:val="center"/>
          </w:tcPr>
          <w:p w:rsidR="006D2710" w:rsidRDefault="00B65B62">
            <w:pPr>
              <w:jc w:val="center"/>
            </w:pPr>
            <w:r>
              <w:rPr>
                <w:color w:val="000000"/>
                <w:sz w:val="24"/>
              </w:rPr>
              <w:t>香港证券交易所</w:t>
            </w:r>
          </w:p>
        </w:tc>
        <w:tc>
          <w:tcPr>
            <w:tcW w:w="975" w:type="dxa"/>
            <w:vAlign w:val="center"/>
          </w:tcPr>
          <w:p w:rsidR="006D2710" w:rsidRDefault="00B65B62">
            <w:pPr>
              <w:jc w:val="center"/>
            </w:pPr>
            <w:r>
              <w:rPr>
                <w:color w:val="000000"/>
                <w:sz w:val="24"/>
              </w:rPr>
              <w:t>香港</w:t>
            </w:r>
          </w:p>
        </w:tc>
        <w:tc>
          <w:tcPr>
            <w:tcW w:w="1175" w:type="dxa"/>
            <w:vAlign w:val="center"/>
          </w:tcPr>
          <w:p w:rsidR="006D2710" w:rsidRDefault="00B65B62">
            <w:pPr>
              <w:jc w:val="right"/>
            </w:pPr>
            <w:r>
              <w:rPr>
                <w:color w:val="000000"/>
                <w:sz w:val="24"/>
              </w:rPr>
              <w:t>100,000</w:t>
            </w:r>
          </w:p>
        </w:tc>
        <w:tc>
          <w:tcPr>
            <w:tcW w:w="975" w:type="dxa"/>
            <w:vAlign w:val="center"/>
          </w:tcPr>
          <w:p w:rsidR="006D2710" w:rsidRDefault="00B65B62">
            <w:pPr>
              <w:jc w:val="right"/>
            </w:pPr>
            <w:r>
              <w:rPr>
                <w:color w:val="000000"/>
                <w:sz w:val="24"/>
              </w:rPr>
              <w:t>2,303,832.87</w:t>
            </w:r>
          </w:p>
        </w:tc>
        <w:tc>
          <w:tcPr>
            <w:tcW w:w="1175" w:type="dxa"/>
            <w:vAlign w:val="center"/>
          </w:tcPr>
          <w:p w:rsidR="006D2710" w:rsidRDefault="00B65B62">
            <w:pPr>
              <w:jc w:val="right"/>
            </w:pPr>
            <w:r>
              <w:rPr>
                <w:color w:val="000000"/>
                <w:sz w:val="24"/>
              </w:rPr>
              <w:t>1.80</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tbl>
      <w:tblPr>
        <w:tblStyle w:val="af7"/>
        <w:tblW w:w="8868" w:type="dxa"/>
        <w:jc w:val="center"/>
        <w:tblCellMar>
          <w:top w:w="57" w:type="dxa"/>
          <w:bottom w:w="57" w:type="dxa"/>
        </w:tblCellMar>
        <w:tblLook w:val="04A0" w:firstRow="1" w:lastRow="0" w:firstColumn="1" w:lastColumn="0" w:noHBand="0" w:noVBand="1"/>
      </w:tblPr>
      <w:tblGrid>
        <w:gridCol w:w="1643"/>
        <w:gridCol w:w="2215"/>
        <w:gridCol w:w="1673"/>
        <w:gridCol w:w="1671"/>
        <w:gridCol w:w="1666"/>
      </w:tblGrid>
      <w:tr w:rsidR="00017739" w:rsidRPr="008640AE" w:rsidTr="001F5643">
        <w:trPr>
          <w:jc w:val="center"/>
        </w:trPr>
        <w:tc>
          <w:tcPr>
            <w:tcW w:w="1702" w:type="dxa"/>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序号</w:t>
            </w:r>
          </w:p>
        </w:tc>
        <w:tc>
          <w:tcPr>
            <w:tcW w:w="1702" w:type="dxa"/>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衍生品类别</w:t>
            </w:r>
          </w:p>
        </w:tc>
        <w:tc>
          <w:tcPr>
            <w:tcW w:w="1703" w:type="dxa"/>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衍生品名称</w:t>
            </w:r>
          </w:p>
        </w:tc>
        <w:tc>
          <w:tcPr>
            <w:tcW w:w="1703" w:type="dxa"/>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w:t>
            </w:r>
            <w:r w:rsidRPr="008640AE">
              <w:rPr>
                <w:color w:val="000000"/>
                <w:kern w:val="0"/>
                <w:sz w:val="24"/>
              </w:rPr>
              <w:t>人民币元</w:t>
            </w:r>
            <w:r w:rsidRPr="008640AE">
              <w:rPr>
                <w:color w:val="000000"/>
                <w:kern w:val="0"/>
                <w:sz w:val="24"/>
              </w:rPr>
              <w:t>)</w:t>
            </w:r>
          </w:p>
        </w:tc>
        <w:tc>
          <w:tcPr>
            <w:tcW w:w="1703" w:type="dxa"/>
            <w:vAlign w:val="center"/>
          </w:tcPr>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w:t>
            </w:r>
          </w:p>
          <w:p w:rsidR="00017739" w:rsidRPr="008640AE" w:rsidRDefault="0001773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净值比例</w:t>
            </w:r>
            <w:r w:rsidR="00AF18BC" w:rsidRPr="008640AE">
              <w:rPr>
                <w:color w:val="000000"/>
                <w:kern w:val="0"/>
                <w:sz w:val="24"/>
              </w:rPr>
              <w:t>（％）</w:t>
            </w:r>
          </w:p>
        </w:tc>
      </w:tr>
      <w:tr w:rsidR="006D2710">
        <w:trPr>
          <w:jc w:val="center"/>
        </w:trPr>
        <w:tc>
          <w:tcPr>
            <w:tcW w:w="0" w:type="auto"/>
            <w:vAlign w:val="center"/>
          </w:tcPr>
          <w:p w:rsidR="006D2710" w:rsidRDefault="00B65B62">
            <w:pPr>
              <w:jc w:val="center"/>
            </w:pPr>
            <w:r>
              <w:rPr>
                <w:color w:val="000000"/>
                <w:sz w:val="24"/>
              </w:rPr>
              <w:t>1</w:t>
            </w:r>
          </w:p>
        </w:tc>
        <w:tc>
          <w:tcPr>
            <w:tcW w:w="0" w:type="auto"/>
            <w:vAlign w:val="center"/>
          </w:tcPr>
          <w:p w:rsidR="006D2710" w:rsidRDefault="00B65B62">
            <w:pPr>
              <w:jc w:val="center"/>
            </w:pPr>
            <w:r>
              <w:rPr>
                <w:color w:val="000000"/>
                <w:sz w:val="24"/>
              </w:rPr>
              <w:t xml:space="preserve">BBVA US </w:t>
            </w:r>
            <w:r>
              <w:rPr>
                <w:color w:val="000000"/>
                <w:sz w:val="24"/>
              </w:rPr>
              <w:t>认股权证</w:t>
            </w:r>
          </w:p>
        </w:tc>
        <w:tc>
          <w:tcPr>
            <w:tcW w:w="0" w:type="auto"/>
            <w:vAlign w:val="center"/>
          </w:tcPr>
          <w:p w:rsidR="006D2710" w:rsidRDefault="00B65B62">
            <w:pPr>
              <w:jc w:val="center"/>
            </w:pPr>
            <w:r>
              <w:rPr>
                <w:color w:val="000000"/>
                <w:sz w:val="24"/>
              </w:rPr>
              <w:t>BBVA/D SM</w:t>
            </w:r>
          </w:p>
        </w:tc>
        <w:tc>
          <w:tcPr>
            <w:tcW w:w="0" w:type="auto"/>
            <w:vAlign w:val="center"/>
          </w:tcPr>
          <w:p w:rsidR="006D2710" w:rsidRDefault="00B65B62">
            <w:pPr>
              <w:jc w:val="right"/>
            </w:pPr>
            <w:r>
              <w:rPr>
                <w:color w:val="000000"/>
                <w:sz w:val="24"/>
              </w:rPr>
              <w:t>6,501.91</w:t>
            </w:r>
          </w:p>
        </w:tc>
        <w:tc>
          <w:tcPr>
            <w:tcW w:w="0" w:type="auto"/>
            <w:vAlign w:val="center"/>
          </w:tcPr>
          <w:p w:rsidR="006D2710" w:rsidRDefault="00B65B62">
            <w:pPr>
              <w:jc w:val="right"/>
            </w:pPr>
            <w:r>
              <w:rPr>
                <w:color w:val="000000"/>
                <w:sz w:val="24"/>
              </w:rPr>
              <w:t>0.01</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115,595.32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97,689.20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478.60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41,213.20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254,976.32</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0125F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88,678,823.10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1,013,026.56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12,513,733.45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77,178,116.21</w:t>
            </w:r>
          </w:p>
        </w:tc>
      </w:tr>
    </w:tbl>
    <w:p w:rsidR="006D2710" w:rsidRDefault="00B65B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0125F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1A3A9E">
      <w:pPr>
        <w:autoSpaceDE w:val="0"/>
        <w:autoSpaceDN w:val="0"/>
        <w:adjustRightInd w:val="0"/>
        <w:spacing w:before="29" w:line="288" w:lineRule="auto"/>
        <w:ind w:firstLineChars="200" w:firstLine="480"/>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22,986,750.67</w:t>
      </w:r>
      <w:r w:rsidRPr="008640AE">
        <w:rPr>
          <w:color w:val="000000"/>
          <w:sz w:val="24"/>
        </w:rPr>
        <w:t>份，占本基金期末总份额的</w:t>
      </w:r>
      <w:r w:rsidRPr="008640AE">
        <w:rPr>
          <w:color w:val="000000"/>
          <w:sz w:val="24"/>
        </w:rPr>
        <w:t>29.78%</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0125FF" w:rsidRPr="00414345" w:rsidRDefault="000125FF" w:rsidP="000125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0125FF" w:rsidRPr="001A3A9E" w:rsidRDefault="000125FF" w:rsidP="001A3A9E">
      <w:pPr>
        <w:autoSpaceDE w:val="0"/>
        <w:autoSpaceDN w:val="0"/>
        <w:adjustRightInd w:val="0"/>
        <w:spacing w:before="29" w:line="288" w:lineRule="auto"/>
        <w:ind w:firstLineChars="200" w:firstLine="480"/>
        <w:jc w:val="left"/>
      </w:pPr>
      <w:r w:rsidRPr="000125FF">
        <w:rPr>
          <w:rFonts w:hint="eastAsia"/>
          <w:color w:val="000000"/>
          <w:sz w:val="24"/>
        </w:rPr>
        <w:t>本基金托管人</w:t>
      </w:r>
      <w:r w:rsidR="00092F5D" w:rsidRPr="000125FF">
        <w:rPr>
          <w:rFonts w:hint="eastAsia"/>
          <w:color w:val="000000"/>
          <w:sz w:val="24"/>
        </w:rPr>
        <w:t>2014</w:t>
      </w:r>
      <w:r w:rsidR="00092F5D" w:rsidRPr="000125FF">
        <w:rPr>
          <w:rFonts w:hint="eastAsia"/>
          <w:color w:val="000000"/>
          <w:sz w:val="24"/>
        </w:rPr>
        <w:t>年</w:t>
      </w:r>
      <w:r w:rsidR="00092F5D">
        <w:rPr>
          <w:color w:val="000000"/>
          <w:sz w:val="24"/>
        </w:rPr>
        <w:t>11</w:t>
      </w:r>
      <w:r w:rsidRPr="000125FF">
        <w:rPr>
          <w:rFonts w:hint="eastAsia"/>
          <w:color w:val="000000"/>
          <w:sz w:val="24"/>
        </w:rPr>
        <w:t>月</w:t>
      </w:r>
      <w:r w:rsidR="00092F5D">
        <w:rPr>
          <w:color w:val="000000"/>
          <w:sz w:val="24"/>
        </w:rPr>
        <w:t>3</w:t>
      </w:r>
      <w:r w:rsidRPr="000125FF">
        <w:rPr>
          <w:rFonts w:hint="eastAsia"/>
          <w:color w:val="000000"/>
          <w:sz w:val="24"/>
        </w:rPr>
        <w:t>日发布公告，聘任赵观甫为中国建设银行投资托管业务部总经理。</w:t>
      </w:r>
    </w:p>
    <w:p w:rsidR="0076518F" w:rsidRPr="008640AE" w:rsidRDefault="0076518F" w:rsidP="000125F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0125FF">
        <w:rPr>
          <w:rFonts w:hint="eastAsia"/>
          <w:color w:val="000000"/>
          <w:kern w:val="0"/>
          <w:sz w:val="24"/>
          <w:szCs w:val="24"/>
        </w:rPr>
        <w:t>9</w:t>
      </w:r>
      <w:r w:rsidR="000125FF" w:rsidRPr="008640AE">
        <w:rPr>
          <w:color w:val="000000"/>
          <w:kern w:val="0"/>
          <w:sz w:val="24"/>
          <w:szCs w:val="24"/>
        </w:rPr>
        <w:t xml:space="preserve"> </w:t>
      </w:r>
      <w:r w:rsidRPr="008640AE">
        <w:rPr>
          <w:color w:val="000000"/>
          <w:kern w:val="0"/>
          <w:sz w:val="24"/>
          <w:szCs w:val="24"/>
        </w:rPr>
        <w:t>备查文件目录</w:t>
      </w:r>
    </w:p>
    <w:p w:rsidR="008975BC" w:rsidRPr="008640AE" w:rsidRDefault="000125FF" w:rsidP="005546C0">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6D2710" w:rsidRDefault="00B65B62">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6D2710" w:rsidRDefault="00B65B62">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6D2710" w:rsidRDefault="00B65B62">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6D2710" w:rsidRDefault="00B65B62">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6D2710" w:rsidRDefault="00B65B62">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6D2710" w:rsidRDefault="00B65B6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D2710" w:rsidRDefault="00B65B6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0125FF" w:rsidP="005546C0">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0125FF" w:rsidP="005546C0">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6D2710" w:rsidRDefault="00B65B6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272" w:rsidRDefault="00BC5272">
      <w:r>
        <w:separator/>
      </w:r>
    </w:p>
  </w:endnote>
  <w:endnote w:type="continuationSeparator" w:id="0">
    <w:p w:rsidR="00BC5272" w:rsidRDefault="00BC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D03BFF">
      <w:rPr>
        <w:kern w:val="0"/>
        <w:szCs w:val="21"/>
      </w:rPr>
      <w:fldChar w:fldCharType="begin"/>
    </w:r>
    <w:r>
      <w:rPr>
        <w:kern w:val="0"/>
        <w:szCs w:val="21"/>
      </w:rPr>
      <w:instrText xml:space="preserve"> PAGE </w:instrText>
    </w:r>
    <w:r w:rsidR="00D03BFF">
      <w:rPr>
        <w:kern w:val="0"/>
        <w:szCs w:val="21"/>
      </w:rPr>
      <w:fldChar w:fldCharType="separate"/>
    </w:r>
    <w:r w:rsidR="00942EAB">
      <w:rPr>
        <w:noProof/>
        <w:kern w:val="0"/>
        <w:szCs w:val="21"/>
      </w:rPr>
      <w:t>7</w:t>
    </w:r>
    <w:r w:rsidR="00D03BFF">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D03BFF">
      <w:rPr>
        <w:kern w:val="0"/>
        <w:szCs w:val="21"/>
      </w:rPr>
      <w:fldChar w:fldCharType="begin"/>
    </w:r>
    <w:r>
      <w:rPr>
        <w:kern w:val="0"/>
        <w:szCs w:val="21"/>
      </w:rPr>
      <w:instrText xml:space="preserve"> NUMPAGES </w:instrText>
    </w:r>
    <w:r w:rsidR="00D03BFF">
      <w:rPr>
        <w:kern w:val="0"/>
        <w:szCs w:val="21"/>
      </w:rPr>
      <w:fldChar w:fldCharType="separate"/>
    </w:r>
    <w:r w:rsidR="00942EAB">
      <w:rPr>
        <w:noProof/>
        <w:kern w:val="0"/>
        <w:szCs w:val="21"/>
      </w:rPr>
      <w:t>13</w:t>
    </w:r>
    <w:r w:rsidR="00D03BFF">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D03BFF">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272" w:rsidRDefault="00BC5272">
      <w:r>
        <w:separator/>
      </w:r>
    </w:p>
  </w:footnote>
  <w:footnote w:type="continuationSeparator" w:id="0">
    <w:p w:rsidR="00BC5272" w:rsidRDefault="00BC5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53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25FF"/>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2F5D"/>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3A9E"/>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2B46"/>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9A8"/>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2D1A"/>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710"/>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77735"/>
    <w:rsid w:val="00782115"/>
    <w:rsid w:val="007870FC"/>
    <w:rsid w:val="00787CD0"/>
    <w:rsid w:val="00791053"/>
    <w:rsid w:val="00791A3A"/>
    <w:rsid w:val="00791BB9"/>
    <w:rsid w:val="007936B1"/>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696A"/>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2EAB"/>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224"/>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19E6"/>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52C9"/>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3FC2"/>
    <w:rsid w:val="00B47485"/>
    <w:rsid w:val="00B518C3"/>
    <w:rsid w:val="00B55185"/>
    <w:rsid w:val="00B6104F"/>
    <w:rsid w:val="00B61923"/>
    <w:rsid w:val="00B621D6"/>
    <w:rsid w:val="00B62914"/>
    <w:rsid w:val="00B64F6B"/>
    <w:rsid w:val="00B65B62"/>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3F37"/>
    <w:rsid w:val="00B94BB8"/>
    <w:rsid w:val="00B94C15"/>
    <w:rsid w:val="00B95E5A"/>
    <w:rsid w:val="00BA22A8"/>
    <w:rsid w:val="00BA3E48"/>
    <w:rsid w:val="00BA4BF8"/>
    <w:rsid w:val="00BA7C61"/>
    <w:rsid w:val="00BB1EB3"/>
    <w:rsid w:val="00BB2678"/>
    <w:rsid w:val="00BC1E78"/>
    <w:rsid w:val="00BC2343"/>
    <w:rsid w:val="00BC5272"/>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4A6"/>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3BFF"/>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02E8"/>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0526"/>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01"/>
    <o:shapelayout v:ext="edit">
      <o:idmap v:ext="edit" data="1"/>
    </o:shapelayout>
  </w:shapeDefaults>
  <w:decimalSymbol w:val="."/>
  <w:listSeparator w:val=","/>
  <w15:docId w15:val="{44903AFF-DD95-41DB-916F-E6D2C2DE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uiPriority w:val="99"/>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34657173">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07429461">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109</TotalTime>
  <Pages>13</Pages>
  <Words>1112</Words>
  <Characters>6342</Characters>
  <Application>Microsoft Office Word</Application>
  <DocSecurity>0</DocSecurity>
  <Lines>52</Lines>
  <Paragraphs>14</Paragraphs>
  <ScaleCrop>false</ScaleCrop>
  <Company>TRT. Ltd. Co.</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247</cp:revision>
  <cp:lastPrinted>2007-07-19T00:46:00Z</cp:lastPrinted>
  <dcterms:created xsi:type="dcterms:W3CDTF">2013-08-01T05:26:00Z</dcterms:created>
  <dcterms:modified xsi:type="dcterms:W3CDTF">2015-01-20T08:21:00Z</dcterms:modified>
</cp:coreProperties>
</file>