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bookmarkStart w:id="0" w:name="_GoBack"/>
      <w:bookmarkEnd w:id="0"/>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B4206A" w:rsidRDefault="0047159F" w:rsidP="0047159F">
            <w:pPr>
              <w:tabs>
                <w:tab w:val="left" w:pos="4608"/>
              </w:tabs>
              <w:snapToGrid w:val="0"/>
              <w:ind w:leftChars="472" w:left="991" w:rightChars="20" w:right="42"/>
              <w:jc w:val="right"/>
              <w:rPr>
                <w:rFonts w:ascii="仿宋" w:eastAsia="仿宋" w:hAnsi="仿宋"/>
                <w:b/>
                <w:color w:val="004186"/>
                <w:sz w:val="52"/>
                <w:szCs w:val="52"/>
              </w:rPr>
            </w:pPr>
            <w:r w:rsidRPr="0047159F">
              <w:rPr>
                <w:rFonts w:ascii="仿宋" w:eastAsia="仿宋" w:hAnsi="仿宋" w:hint="eastAsia"/>
                <w:b/>
                <w:color w:val="004186"/>
                <w:sz w:val="52"/>
                <w:szCs w:val="52"/>
              </w:rPr>
              <w:t>牛市布局指数基金满仓不踏空</w:t>
            </w:r>
          </w:p>
          <w:p w:rsidR="004424BF" w:rsidRDefault="004424BF"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Pr="000B465D" w:rsidRDefault="0047159F" w:rsidP="000B465D">
      <w:pPr>
        <w:spacing w:before="240" w:line="324" w:lineRule="auto"/>
        <w:ind w:leftChars="1080" w:left="2268" w:rightChars="471" w:right="989"/>
        <w:jc w:val="left"/>
        <w:rPr>
          <w:rFonts w:ascii="仿宋" w:eastAsia="仿宋" w:hAnsi="仿宋"/>
          <w:b/>
          <w:color w:val="082F6B"/>
          <w:sz w:val="44"/>
          <w:szCs w:val="44"/>
        </w:rPr>
      </w:pPr>
      <w:r w:rsidRPr="0047159F">
        <w:rPr>
          <w:rFonts w:ascii="仿宋" w:eastAsia="仿宋" w:hAnsi="仿宋" w:hint="eastAsia"/>
          <w:b/>
          <w:color w:val="082F6B"/>
          <w:sz w:val="44"/>
          <w:szCs w:val="44"/>
        </w:rPr>
        <w:t>牛市布局指数基金满仓不踏空</w:t>
      </w:r>
    </w:p>
    <w:p w:rsidR="0047159F" w:rsidRDefault="0047159F" w:rsidP="00EA4F19">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未来半年来看，市场总体或仍然处于强势格局之中，因为驱动市场</w:t>
      </w:r>
      <w:r w:rsidR="008F7C33" w:rsidRPr="0047159F">
        <w:rPr>
          <w:rFonts w:ascii="仿宋" w:eastAsia="仿宋" w:hAnsi="仿宋" w:hint="eastAsia"/>
          <w:sz w:val="24"/>
          <w:szCs w:val="24"/>
        </w:rPr>
        <w:t>继续</w:t>
      </w:r>
      <w:r w:rsidRPr="0047159F">
        <w:rPr>
          <w:rFonts w:ascii="仿宋" w:eastAsia="仿宋" w:hAnsi="仿宋" w:hint="eastAsia"/>
          <w:sz w:val="24"/>
          <w:szCs w:val="24"/>
        </w:rPr>
        <w:t>上涨的三大条件是：一、窄幅波动但没有系统性风险的基本面环境</w:t>
      </w:r>
      <w:r>
        <w:rPr>
          <w:rFonts w:ascii="仿宋" w:eastAsia="仿宋" w:hAnsi="仿宋" w:hint="eastAsia"/>
          <w:sz w:val="24"/>
          <w:szCs w:val="24"/>
        </w:rPr>
        <w:t>；二、仍然有进一步宽松空间的政策环境；三、整体宽裕的流动性环境，这三大条件目前都没有发生变化。</w:t>
      </w:r>
    </w:p>
    <w:p w:rsidR="0047159F" w:rsidRPr="0047159F" w:rsidRDefault="0047159F" w:rsidP="00EA4F19">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从行情特点上来看，增量资金市场上涨幅度较大，而内部的行业轮动也很快，比如券商板块、建筑板块、银行板块、钢铁板块等在交替上涨，在这样的行情下，</w:t>
      </w:r>
      <w:r w:rsidR="008F7C33">
        <w:rPr>
          <w:rFonts w:ascii="仿宋" w:eastAsia="仿宋" w:hAnsi="仿宋" w:hint="eastAsia"/>
          <w:sz w:val="24"/>
          <w:szCs w:val="24"/>
        </w:rPr>
        <w:t>通</w:t>
      </w:r>
      <w:r w:rsidRPr="0047159F">
        <w:rPr>
          <w:rFonts w:ascii="仿宋" w:eastAsia="仿宋" w:hAnsi="仿宋" w:hint="eastAsia"/>
          <w:sz w:val="24"/>
          <w:szCs w:val="24"/>
        </w:rPr>
        <w:t>过投资指数，可以规避行业轮</w:t>
      </w:r>
      <w:proofErr w:type="gramStart"/>
      <w:r w:rsidRPr="0047159F">
        <w:rPr>
          <w:rFonts w:ascii="仿宋" w:eastAsia="仿宋" w:hAnsi="仿宋" w:hint="eastAsia"/>
          <w:sz w:val="24"/>
          <w:szCs w:val="24"/>
        </w:rPr>
        <w:t>动带来</w:t>
      </w:r>
      <w:proofErr w:type="gramEnd"/>
      <w:r w:rsidRPr="0047159F">
        <w:rPr>
          <w:rFonts w:ascii="仿宋" w:eastAsia="仿宋" w:hAnsi="仿宋" w:hint="eastAsia"/>
          <w:sz w:val="24"/>
          <w:szCs w:val="24"/>
        </w:rPr>
        <w:t>的风险。</w:t>
      </w:r>
    </w:p>
    <w:p w:rsidR="00AF56D9" w:rsidRDefault="00AF56D9" w:rsidP="00EB596B">
      <w:pPr>
        <w:spacing w:before="240" w:line="324" w:lineRule="auto"/>
        <w:ind w:leftChars="1080" w:left="2268" w:rightChars="471" w:right="989"/>
        <w:jc w:val="left"/>
        <w:rPr>
          <w:rFonts w:ascii="仿宋" w:eastAsia="仿宋" w:hAnsi="仿宋"/>
          <w:sz w:val="24"/>
          <w:szCs w:val="24"/>
        </w:rPr>
      </w:pPr>
    </w:p>
    <w:p w:rsidR="008F7C33" w:rsidRPr="00844C34" w:rsidRDefault="008F7C33"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w:t>
      </w:r>
      <w:r w:rsidR="00B36441">
        <w:rPr>
          <w:rFonts w:ascii="仿宋" w:eastAsia="仿宋" w:hAnsi="仿宋"/>
          <w:b/>
          <w:color w:val="0088CC"/>
          <w:sz w:val="24"/>
          <w:szCs w:val="24"/>
        </w:rPr>
        <w:t>29</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w:t>
      </w:r>
      <w:r w:rsidR="00B36441">
        <w:rPr>
          <w:rFonts w:ascii="仿宋" w:eastAsia="仿宋" w:hAnsi="仿宋"/>
          <w:b/>
          <w:color w:val="0088CC"/>
          <w:sz w:val="24"/>
          <w:szCs w:val="24"/>
        </w:rPr>
        <w:t>31</w:t>
      </w:r>
    </w:p>
    <w:p w:rsidR="00CD7117" w:rsidRPr="00567F50" w:rsidRDefault="00B36441"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w:t>
      </w:r>
      <w:r w:rsidR="008F7C33">
        <w:rPr>
          <w:rFonts w:ascii="仿宋" w:eastAsia="仿宋" w:hAnsi="仿宋" w:hint="eastAsia"/>
          <w:sz w:val="24"/>
          <w:szCs w:val="24"/>
          <w:lang w:val="en-GB"/>
        </w:rPr>
        <w:t>三</w:t>
      </w:r>
      <w:proofErr w:type="gramStart"/>
      <w:r w:rsidR="008F7C33">
        <w:rPr>
          <w:rFonts w:ascii="仿宋" w:eastAsia="仿宋" w:hAnsi="仿宋" w:hint="eastAsia"/>
          <w:sz w:val="24"/>
          <w:szCs w:val="24"/>
          <w:lang w:val="en-GB"/>
        </w:rPr>
        <w:t>个</w:t>
      </w:r>
      <w:proofErr w:type="gramEnd"/>
      <w:r w:rsidR="008F7C33">
        <w:rPr>
          <w:rFonts w:ascii="仿宋" w:eastAsia="仿宋" w:hAnsi="仿宋" w:hint="eastAsia"/>
          <w:sz w:val="24"/>
          <w:szCs w:val="24"/>
          <w:lang w:val="en-GB"/>
        </w:rPr>
        <w:t>交易日</w:t>
      </w:r>
      <w:r w:rsidR="008F7C33">
        <w:rPr>
          <w:rFonts w:ascii="仿宋" w:eastAsia="仿宋" w:hAnsi="仿宋"/>
          <w:sz w:val="24"/>
          <w:szCs w:val="24"/>
          <w:lang w:val="en-GB"/>
        </w:rPr>
        <w:t>，</w:t>
      </w:r>
      <w:r w:rsidRPr="00567F50">
        <w:rPr>
          <w:rFonts w:ascii="仿宋" w:eastAsia="仿宋" w:hAnsi="仿宋" w:hint="eastAsia"/>
          <w:sz w:val="24"/>
          <w:szCs w:val="24"/>
          <w:lang w:val="en-GB"/>
        </w:rPr>
        <w:t>上证综指</w:t>
      </w:r>
      <w:r>
        <w:rPr>
          <w:rFonts w:ascii="仿宋" w:eastAsia="仿宋" w:hAnsi="仿宋" w:hint="eastAsia"/>
          <w:sz w:val="24"/>
          <w:szCs w:val="24"/>
          <w:lang w:val="en-GB"/>
        </w:rPr>
        <w:t>上涨</w:t>
      </w:r>
      <w:r>
        <w:rPr>
          <w:rFonts w:ascii="仿宋" w:eastAsia="仿宋" w:hAnsi="仿宋"/>
          <w:sz w:val="24"/>
          <w:szCs w:val="24"/>
          <w:lang w:val="en-GB"/>
        </w:rPr>
        <w:t>2.44</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1.96</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下跌2.</w:t>
      </w:r>
      <w:r>
        <w:rPr>
          <w:rFonts w:ascii="仿宋" w:eastAsia="仿宋" w:hAnsi="仿宋"/>
          <w:sz w:val="24"/>
          <w:szCs w:val="24"/>
          <w:lang w:val="en-GB"/>
        </w:rPr>
        <w:t>46</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21,115.88</w:t>
      </w:r>
      <w:r w:rsidRPr="00567F50">
        <w:rPr>
          <w:rFonts w:ascii="仿宋" w:eastAsia="仿宋" w:hAnsi="仿宋" w:hint="eastAsia"/>
          <w:sz w:val="24"/>
          <w:szCs w:val="24"/>
          <w:lang w:val="en-GB"/>
        </w:rPr>
        <w:t>亿元。</w:t>
      </w:r>
      <w:r w:rsidRPr="005E7914">
        <w:rPr>
          <w:rFonts w:ascii="仿宋" w:eastAsia="仿宋" w:hAnsi="仿宋" w:hint="eastAsia"/>
          <w:sz w:val="24"/>
          <w:szCs w:val="24"/>
          <w:lang w:val="en-GB"/>
        </w:rPr>
        <w:t>房地产</w:t>
      </w:r>
      <w:r>
        <w:rPr>
          <w:rFonts w:ascii="仿宋" w:eastAsia="仿宋" w:hAnsi="仿宋" w:hint="eastAsia"/>
          <w:sz w:val="24"/>
          <w:szCs w:val="24"/>
          <w:lang w:val="en-GB"/>
        </w:rPr>
        <w:t>、</w:t>
      </w:r>
      <w:r w:rsidRPr="005E7914">
        <w:rPr>
          <w:rFonts w:ascii="仿宋" w:eastAsia="仿宋" w:hAnsi="仿宋" w:hint="eastAsia"/>
          <w:sz w:val="24"/>
          <w:szCs w:val="24"/>
          <w:lang w:val="en-GB"/>
        </w:rPr>
        <w:t>银行</w:t>
      </w:r>
      <w:r>
        <w:rPr>
          <w:rFonts w:ascii="仿宋" w:eastAsia="仿宋" w:hAnsi="仿宋" w:hint="eastAsia"/>
          <w:sz w:val="24"/>
          <w:szCs w:val="24"/>
          <w:lang w:val="en-GB"/>
        </w:rPr>
        <w:t>、</w:t>
      </w:r>
      <w:r w:rsidRPr="005E7914">
        <w:rPr>
          <w:rFonts w:ascii="仿宋" w:eastAsia="仿宋" w:hAnsi="仿宋" w:hint="eastAsia"/>
          <w:sz w:val="24"/>
          <w:szCs w:val="24"/>
          <w:lang w:val="en-GB"/>
        </w:rPr>
        <w:t>非</w:t>
      </w:r>
      <w:proofErr w:type="gramStart"/>
      <w:r w:rsidRPr="005E7914">
        <w:rPr>
          <w:rFonts w:ascii="仿宋" w:eastAsia="仿宋" w:hAnsi="仿宋" w:hint="eastAsia"/>
          <w:sz w:val="24"/>
          <w:szCs w:val="24"/>
          <w:lang w:val="en-GB"/>
        </w:rPr>
        <w:t>银金融</w:t>
      </w:r>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094102">
        <w:rPr>
          <w:rFonts w:ascii="仿宋" w:eastAsia="仿宋" w:hAnsi="仿宋"/>
          <w:sz w:val="24"/>
          <w:szCs w:val="24"/>
          <w:lang w:val="en-GB"/>
        </w:rPr>
        <w:t>7.39%</w:t>
      </w:r>
      <w:r>
        <w:rPr>
          <w:rFonts w:ascii="仿宋" w:eastAsia="仿宋" w:hAnsi="仿宋" w:hint="eastAsia"/>
          <w:sz w:val="24"/>
          <w:szCs w:val="24"/>
          <w:lang w:val="en-GB"/>
        </w:rPr>
        <w:t>、</w:t>
      </w:r>
      <w:r w:rsidRPr="00094102">
        <w:rPr>
          <w:rFonts w:ascii="仿宋" w:eastAsia="仿宋" w:hAnsi="仿宋"/>
          <w:sz w:val="24"/>
          <w:szCs w:val="24"/>
          <w:lang w:val="en-GB"/>
        </w:rPr>
        <w:t>6.63%</w:t>
      </w:r>
      <w:r>
        <w:rPr>
          <w:rFonts w:ascii="仿宋" w:eastAsia="仿宋" w:hAnsi="仿宋" w:hint="eastAsia"/>
          <w:sz w:val="24"/>
          <w:szCs w:val="24"/>
          <w:lang w:val="en-GB"/>
        </w:rPr>
        <w:t>、</w:t>
      </w:r>
      <w:r w:rsidRPr="00094102">
        <w:rPr>
          <w:rFonts w:ascii="仿宋" w:eastAsia="仿宋" w:hAnsi="仿宋"/>
          <w:sz w:val="24"/>
          <w:szCs w:val="24"/>
          <w:lang w:val="en-GB"/>
        </w:rPr>
        <w:t>4.68%</w:t>
      </w:r>
      <w:r>
        <w:rPr>
          <w:rFonts w:ascii="仿宋" w:eastAsia="仿宋" w:hAnsi="仿宋" w:hint="eastAsia"/>
          <w:sz w:val="24"/>
          <w:szCs w:val="24"/>
          <w:lang w:val="en-GB"/>
        </w:rPr>
        <w:t>；传媒、计算机、</w:t>
      </w:r>
      <w:r>
        <w:rPr>
          <w:rFonts w:ascii="仿宋" w:eastAsia="仿宋" w:hAnsi="仿宋"/>
          <w:sz w:val="24"/>
          <w:szCs w:val="24"/>
          <w:lang w:val="en-GB"/>
        </w:rPr>
        <w:t>综合行业跌幅最大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5.72</w:t>
      </w:r>
      <w:r w:rsidRPr="00567F50">
        <w:rPr>
          <w:rFonts w:ascii="仿宋" w:eastAsia="仿宋" w:hAnsi="仿宋" w:hint="eastAsia"/>
          <w:sz w:val="24"/>
          <w:szCs w:val="24"/>
          <w:lang w:val="en-GB"/>
        </w:rPr>
        <w:t>%</w:t>
      </w:r>
      <w:r>
        <w:rPr>
          <w:rFonts w:ascii="仿宋" w:eastAsia="仿宋" w:hAnsi="仿宋" w:hint="eastAsia"/>
          <w:sz w:val="24"/>
          <w:szCs w:val="24"/>
          <w:lang w:val="en-GB"/>
        </w:rPr>
        <w:t>、</w:t>
      </w:r>
      <w:r>
        <w:rPr>
          <w:rFonts w:ascii="仿宋" w:eastAsia="仿宋" w:hAnsi="仿宋"/>
          <w:sz w:val="24"/>
          <w:szCs w:val="24"/>
          <w:lang w:val="en-GB"/>
        </w:rPr>
        <w:t>4.35%、3.57%</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非银金融</w:t>
      </w:r>
      <w:r>
        <w:rPr>
          <w:rFonts w:ascii="仿宋" w:eastAsia="仿宋" w:hAnsi="仿宋"/>
          <w:sz w:val="24"/>
          <w:szCs w:val="24"/>
          <w:lang w:val="en-GB"/>
        </w:rPr>
        <w:t>、</w:t>
      </w:r>
      <w:r>
        <w:rPr>
          <w:rFonts w:ascii="仿宋" w:eastAsia="仿宋" w:hAnsi="仿宋" w:hint="eastAsia"/>
          <w:sz w:val="24"/>
          <w:szCs w:val="24"/>
          <w:lang w:val="en-GB"/>
        </w:rPr>
        <w:t>建筑装饰</w:t>
      </w:r>
      <w:r w:rsidRPr="00567F50">
        <w:rPr>
          <w:rFonts w:ascii="仿宋" w:eastAsia="仿宋" w:hAnsi="仿宋" w:hint="eastAsia"/>
          <w:sz w:val="24"/>
          <w:szCs w:val="24"/>
          <w:lang w:val="en-GB"/>
        </w:rPr>
        <w:t>的换手率最大，换手率</w:t>
      </w:r>
      <w:r>
        <w:rPr>
          <w:rFonts w:ascii="仿宋" w:eastAsia="仿宋" w:hAnsi="仿宋" w:hint="eastAsia"/>
          <w:sz w:val="24"/>
          <w:szCs w:val="24"/>
          <w:lang w:val="en-GB"/>
        </w:rPr>
        <w:t>分别超过13</w:t>
      </w:r>
      <w:r>
        <w:rPr>
          <w:rFonts w:ascii="仿宋" w:eastAsia="仿宋" w:hAnsi="仿宋"/>
          <w:sz w:val="24"/>
          <w:szCs w:val="24"/>
          <w:lang w:val="en-GB"/>
        </w:rPr>
        <w:t>%</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低市盈率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3.95</w:t>
      </w:r>
      <w:r w:rsidRPr="00567F50">
        <w:rPr>
          <w:rFonts w:ascii="仿宋" w:eastAsia="仿宋" w:hAnsi="仿宋" w:hint="eastAsia"/>
          <w:sz w:val="24"/>
          <w:szCs w:val="24"/>
          <w:lang w:val="en-GB"/>
        </w:rPr>
        <w:t>%，</w:t>
      </w:r>
      <w:r>
        <w:rPr>
          <w:rFonts w:ascii="仿宋" w:eastAsia="仿宋" w:hAnsi="仿宋" w:hint="eastAsia"/>
          <w:sz w:val="24"/>
          <w:szCs w:val="24"/>
          <w:lang w:val="en-GB"/>
        </w:rPr>
        <w:t>高</w:t>
      </w:r>
      <w:proofErr w:type="gramStart"/>
      <w:r>
        <w:rPr>
          <w:rFonts w:ascii="仿宋" w:eastAsia="仿宋" w:hAnsi="仿宋" w:hint="eastAsia"/>
          <w:sz w:val="24"/>
          <w:szCs w:val="24"/>
          <w:lang w:val="en-GB"/>
        </w:rPr>
        <w:t>市净率指数</w:t>
      </w:r>
      <w:proofErr w:type="gramEnd"/>
      <w:r>
        <w:rPr>
          <w:rFonts w:ascii="仿宋" w:eastAsia="仿宋" w:hAnsi="仿宋" w:hint="eastAsia"/>
          <w:sz w:val="24"/>
          <w:szCs w:val="24"/>
          <w:lang w:val="en-GB"/>
        </w:rPr>
        <w:t>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跌幅</w:t>
      </w:r>
      <w:r w:rsidRPr="00567F50">
        <w:rPr>
          <w:rFonts w:ascii="仿宋" w:eastAsia="仿宋" w:hAnsi="仿宋" w:hint="eastAsia"/>
          <w:sz w:val="24"/>
          <w:szCs w:val="24"/>
          <w:lang w:val="en-GB"/>
        </w:rPr>
        <w:t>为</w:t>
      </w:r>
      <w:r>
        <w:rPr>
          <w:rFonts w:ascii="仿宋" w:eastAsia="仿宋" w:hAnsi="仿宋"/>
          <w:sz w:val="24"/>
          <w:szCs w:val="24"/>
          <w:lang w:val="en-GB"/>
        </w:rPr>
        <w:t>3.51</w:t>
      </w:r>
      <w:r w:rsidRPr="00567F50">
        <w:rPr>
          <w:rFonts w:ascii="仿宋" w:eastAsia="仿宋" w:hAnsi="仿宋" w:hint="eastAsia"/>
          <w:sz w:val="24"/>
          <w:szCs w:val="24"/>
          <w:lang w:val="en-GB"/>
        </w:rPr>
        <w:t>%。</w:t>
      </w:r>
    </w:p>
    <w:p w:rsidR="000144FB" w:rsidRPr="00E72357"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47159F" w:rsidRPr="0047159F">
        <w:rPr>
          <w:rFonts w:ascii="仿宋" w:eastAsia="仿宋" w:hAnsi="仿宋" w:hint="eastAsia"/>
          <w:b/>
          <w:color w:val="082F6B"/>
          <w:sz w:val="44"/>
          <w:szCs w:val="44"/>
        </w:rPr>
        <w:lastRenderedPageBreak/>
        <w:t>牛市布局指数基金满仓不踏空</w:t>
      </w:r>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w:t>
      </w:r>
      <w:proofErr w:type="gramStart"/>
      <w:r w:rsidRPr="00567F50">
        <w:rPr>
          <w:rFonts w:ascii="仿宋" w:eastAsia="仿宋" w:hAnsi="仿宋" w:hint="eastAsia"/>
          <w:b/>
          <w:color w:val="0088CC"/>
          <w:sz w:val="24"/>
          <w:szCs w:val="24"/>
        </w:rPr>
        <w:t>银</w:t>
      </w:r>
      <w:r w:rsidR="0047159F">
        <w:rPr>
          <w:rFonts w:ascii="仿宋" w:eastAsia="仿宋" w:hAnsi="仿宋" w:hint="eastAsia"/>
          <w:b/>
          <w:color w:val="0088CC"/>
          <w:sz w:val="24"/>
          <w:szCs w:val="24"/>
        </w:rPr>
        <w:t>治理</w:t>
      </w:r>
      <w:proofErr w:type="gramEnd"/>
      <w:r w:rsidR="0047159F">
        <w:rPr>
          <w:rFonts w:ascii="仿宋" w:eastAsia="仿宋" w:hAnsi="仿宋" w:hint="eastAsia"/>
          <w:b/>
          <w:color w:val="0088CC"/>
          <w:sz w:val="24"/>
          <w:szCs w:val="24"/>
        </w:rPr>
        <w:t>基金</w:t>
      </w:r>
      <w:r w:rsidR="0047159F">
        <w:rPr>
          <w:rFonts w:ascii="仿宋" w:eastAsia="仿宋" w:hAnsi="仿宋"/>
          <w:b/>
          <w:color w:val="0088CC"/>
          <w:sz w:val="24"/>
          <w:szCs w:val="24"/>
        </w:rPr>
        <w:t>经理</w:t>
      </w:r>
      <w:r w:rsidR="0047159F">
        <w:rPr>
          <w:rFonts w:ascii="仿宋" w:eastAsia="仿宋" w:hAnsi="仿宋" w:hint="eastAsia"/>
          <w:b/>
          <w:color w:val="0088CC"/>
          <w:sz w:val="24"/>
          <w:szCs w:val="24"/>
        </w:rPr>
        <w:t xml:space="preserve"> 蔡铮</w:t>
      </w:r>
    </w:p>
    <w:p w:rsidR="0047159F" w:rsidRPr="0047159F"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去年末的一轮蓝筹行情，引起了投资人对于相关个股以及具有鲜明蓝</w:t>
      </w:r>
      <w:proofErr w:type="gramStart"/>
      <w:r w:rsidRPr="0047159F">
        <w:rPr>
          <w:rFonts w:ascii="仿宋" w:eastAsia="仿宋" w:hAnsi="仿宋" w:hint="eastAsia"/>
          <w:sz w:val="24"/>
          <w:szCs w:val="24"/>
        </w:rPr>
        <w:t>筹风格</w:t>
      </w:r>
      <w:proofErr w:type="gramEnd"/>
      <w:r w:rsidRPr="0047159F">
        <w:rPr>
          <w:rFonts w:ascii="仿宋" w:eastAsia="仿宋" w:hAnsi="仿宋" w:hint="eastAsia"/>
          <w:sz w:val="24"/>
          <w:szCs w:val="24"/>
        </w:rPr>
        <w:t>的指数产品的关注。对于此轮行情而言，两个问题值得探讨，一是本轮行情的驱动力是什么，是否能够延续？二是在这样的行情下怎样利用工具型产品来获取更好的投资收益？</w:t>
      </w:r>
    </w:p>
    <w:p w:rsidR="0047159F" w:rsidRPr="0047159F"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此轮行情和以往比大不相同，A股历史上涨幅较大的行情基本都是在经济强复苏阶段。而去年下半年以来，国内的宏观数据一直较弱，基本面并没有对股市形成很好的支撑。因此驱动市场的</w:t>
      </w:r>
      <w:proofErr w:type="gramStart"/>
      <w:r w:rsidRPr="0047159F">
        <w:rPr>
          <w:rFonts w:ascii="仿宋" w:eastAsia="仿宋" w:hAnsi="仿宋" w:hint="eastAsia"/>
          <w:sz w:val="24"/>
          <w:szCs w:val="24"/>
        </w:rPr>
        <w:t>最</w:t>
      </w:r>
      <w:proofErr w:type="gramEnd"/>
      <w:r w:rsidRPr="0047159F">
        <w:rPr>
          <w:rFonts w:ascii="仿宋" w:eastAsia="仿宋" w:hAnsi="仿宋" w:hint="eastAsia"/>
          <w:sz w:val="24"/>
          <w:szCs w:val="24"/>
        </w:rPr>
        <w:t>核心因素并不是基本面，而是宽松的流动性环境和投资者对改革信心的提升，而市场在如此短时间内录得如此大幅的上涨，和无风险利率的不断下行以及居民资产配置向股市的转移也有关系。</w:t>
      </w:r>
    </w:p>
    <w:p w:rsidR="0047159F" w:rsidRPr="0047159F"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首先，宏观数据持续偏弱而房价和通胀又都处于低位，这为货币政策的放松打开了空间。因此央行通过多种工具向市场不断注入了流动性，使资金利率相比以往出现了明显下降，“钱荒”也销声匿迹。其次，新一届政府执政以来，对深化改革和促进经济转型的决心坚定、措施果断，尤其是在国企改革、金融改革、自贸区、“一带一路”等方向上不断有新政策得到落实，从多个方面提升了投资者的信心；最后，经过十几年的经济高速增长，中国居民的收入水平和财富积累都有了明显的提升，但在此前中国居民对股票资产的配置较少，而是更多地投向了房地产、理财产品等资产。随着房价的下跌、理财产品收益率的下降以及股市赚钱效应逐渐加强，这吸引了越来越多的个人投资者将资产配置的重心转向了股市。我们看到去年12月以来，股市的周度新增开户数已经接近百万，而在此前三年，股市的周度开户数一般都在20万以下，这说明国内普通居民对股票投资的热情已被唤醒，增量资金源源不断涌入股市也带来了A股的急速上涨。</w:t>
      </w:r>
    </w:p>
    <w:p w:rsidR="0047159F" w:rsidRPr="0047159F"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未来半年来看，市场总体或仍然处于强势格局之中，因为驱动继续市场上涨的三大条件是：一、窄幅波动但没有系统性风险的基本面环境；二、仍然有进一步宽松空</w:t>
      </w:r>
      <w:r w:rsidRPr="0047159F">
        <w:rPr>
          <w:rFonts w:ascii="仿宋" w:eastAsia="仿宋" w:hAnsi="仿宋" w:hint="eastAsia"/>
          <w:sz w:val="24"/>
          <w:szCs w:val="24"/>
        </w:rPr>
        <w:lastRenderedPageBreak/>
        <w:t>间的政策环境；三、整体宽裕的流动性环境。这三大条件目前都没有发生变化，而未来能逆转这种良性环境的促发因素可能主要来自通胀和房价的上行，但是在今年上半年之前发生这种风险的概率较低。因此，我们认为股市在未来半年或仍将维持强势。当然短期由于前期涨幅较大，</w:t>
      </w:r>
      <w:proofErr w:type="gramStart"/>
      <w:r w:rsidRPr="0047159F">
        <w:rPr>
          <w:rFonts w:ascii="仿宋" w:eastAsia="仿宋" w:hAnsi="仿宋" w:hint="eastAsia"/>
          <w:sz w:val="24"/>
          <w:szCs w:val="24"/>
        </w:rPr>
        <w:t>且海外</w:t>
      </w:r>
      <w:proofErr w:type="gramEnd"/>
      <w:r w:rsidRPr="0047159F">
        <w:rPr>
          <w:rFonts w:ascii="仿宋" w:eastAsia="仿宋" w:hAnsi="仿宋" w:hint="eastAsia"/>
          <w:sz w:val="24"/>
          <w:szCs w:val="24"/>
        </w:rPr>
        <w:t>市场出现较大的波动，可能会出现一定震荡或调整，如果股市出现一定回调，则提供了买入的机会。</w:t>
      </w:r>
    </w:p>
    <w:p w:rsidR="0047159F" w:rsidRPr="0047159F"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从行情特点上来看，增量资金市场上涨幅度较大，而内部的行业轮动也很快，比如券商板块、建筑板块、银行板块、钢铁板块等在交替上涨，这时候最佳的投资策略就是指数化投资，我们观察到近期大量指数型产品的收益率是超过股票型产品的平均水平的，通过投资指数，可以规避行业轮</w:t>
      </w:r>
      <w:proofErr w:type="gramStart"/>
      <w:r w:rsidRPr="0047159F">
        <w:rPr>
          <w:rFonts w:ascii="仿宋" w:eastAsia="仿宋" w:hAnsi="仿宋" w:hint="eastAsia"/>
          <w:sz w:val="24"/>
          <w:szCs w:val="24"/>
        </w:rPr>
        <w:t>动带来</w:t>
      </w:r>
      <w:proofErr w:type="gramEnd"/>
      <w:r w:rsidRPr="0047159F">
        <w:rPr>
          <w:rFonts w:ascii="仿宋" w:eastAsia="仿宋" w:hAnsi="仿宋" w:hint="eastAsia"/>
          <w:sz w:val="24"/>
          <w:szCs w:val="24"/>
        </w:rPr>
        <w:t>的风险。</w:t>
      </w:r>
    </w:p>
    <w:p w:rsidR="00EA160E" w:rsidRPr="00E72357" w:rsidRDefault="0047159F" w:rsidP="0047159F">
      <w:pPr>
        <w:spacing w:before="240" w:line="324" w:lineRule="auto"/>
        <w:ind w:leftChars="1080" w:left="2268" w:rightChars="471" w:right="989"/>
        <w:jc w:val="left"/>
        <w:rPr>
          <w:rFonts w:ascii="仿宋" w:eastAsia="仿宋" w:hAnsi="仿宋"/>
          <w:sz w:val="24"/>
          <w:szCs w:val="24"/>
        </w:rPr>
      </w:pPr>
      <w:r w:rsidRPr="0047159F">
        <w:rPr>
          <w:rFonts w:ascii="仿宋" w:eastAsia="仿宋" w:hAnsi="仿宋" w:hint="eastAsia"/>
          <w:sz w:val="24"/>
          <w:szCs w:val="24"/>
        </w:rPr>
        <w:t>从工具型产品的细分来看，由于以往A股市场的趋同性较强，</w:t>
      </w:r>
      <w:proofErr w:type="gramStart"/>
      <w:r w:rsidRPr="0047159F">
        <w:rPr>
          <w:rFonts w:ascii="仿宋" w:eastAsia="仿宋" w:hAnsi="仿宋" w:hint="eastAsia"/>
          <w:sz w:val="24"/>
          <w:szCs w:val="24"/>
        </w:rPr>
        <w:t>因此宽基指数</w:t>
      </w:r>
      <w:proofErr w:type="gramEnd"/>
      <w:r w:rsidRPr="0047159F">
        <w:rPr>
          <w:rFonts w:ascii="仿宋" w:eastAsia="仿宋" w:hAnsi="仿宋" w:hint="eastAsia"/>
          <w:sz w:val="24"/>
          <w:szCs w:val="24"/>
        </w:rPr>
        <w:t>在2010年之前得到了很好的发展壮大。而近几年市场出现越来越明显的分化，结构性行情充斥着市场，因此大小</w:t>
      </w:r>
      <w:proofErr w:type="gramStart"/>
      <w:r w:rsidRPr="0047159F">
        <w:rPr>
          <w:rFonts w:ascii="仿宋" w:eastAsia="仿宋" w:hAnsi="仿宋" w:hint="eastAsia"/>
          <w:sz w:val="24"/>
          <w:szCs w:val="24"/>
        </w:rPr>
        <w:t>盘风格</w:t>
      </w:r>
      <w:proofErr w:type="gramEnd"/>
      <w:r w:rsidRPr="0047159F">
        <w:rPr>
          <w:rFonts w:ascii="仿宋" w:eastAsia="仿宋" w:hAnsi="仿宋" w:hint="eastAsia"/>
          <w:sz w:val="24"/>
          <w:szCs w:val="24"/>
        </w:rPr>
        <w:t>极为鲜明的产品、行业类、主题类的工具型产品便更有了生命力。从目前市场发展趋势来看，结构性机会仍将是今后一段时间的主旋律，因此更细分、更能“精确打击”以及更代表未来经济发展方向的指数产品，将会成为未来中国工具型产品的发展机遇。随着国内投资环境的日趋成熟，现在有越来越多带着投资观点入市的个人投资者。对于这些投资者来说，可以根据自己对市场的基本判断，选择相匹配的、投资标的明确的大小</w:t>
      </w:r>
      <w:proofErr w:type="gramStart"/>
      <w:r w:rsidRPr="0047159F">
        <w:rPr>
          <w:rFonts w:ascii="仿宋" w:eastAsia="仿宋" w:hAnsi="仿宋" w:hint="eastAsia"/>
          <w:sz w:val="24"/>
          <w:szCs w:val="24"/>
        </w:rPr>
        <w:t>盘风格</w:t>
      </w:r>
      <w:proofErr w:type="gramEnd"/>
      <w:r w:rsidRPr="0047159F">
        <w:rPr>
          <w:rFonts w:ascii="仿宋" w:eastAsia="仿宋" w:hAnsi="仿宋" w:hint="eastAsia"/>
          <w:sz w:val="24"/>
          <w:szCs w:val="24"/>
        </w:rPr>
        <w:t>基金或者细分行业基金；而对于希望长期持有、分享中国经济成长的投资者来说，选择那些受益于国家经济转型的行业和主题指数基金，也是不错的选择。</w:t>
      </w:r>
    </w:p>
    <w:p w:rsidR="00893F4E" w:rsidRDefault="00893F4E"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5E7914">
        <w:rPr>
          <w:rFonts w:ascii="仿宋" w:eastAsia="仿宋" w:hAnsi="仿宋"/>
          <w:b/>
          <w:color w:val="082F6B"/>
          <w:sz w:val="36"/>
          <w:szCs w:val="36"/>
        </w:rPr>
        <w:t>29</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5E7914">
        <w:rPr>
          <w:rFonts w:ascii="仿宋" w:eastAsia="仿宋" w:hAnsi="仿宋"/>
          <w:b/>
          <w:color w:val="082F6B"/>
          <w:sz w:val="36"/>
          <w:szCs w:val="36"/>
        </w:rPr>
        <w:t>31</w:t>
      </w:r>
      <w:r w:rsidRPr="002D6A58">
        <w:rPr>
          <w:rFonts w:ascii="仿宋" w:eastAsia="仿宋" w:hAnsi="仿宋" w:hint="eastAsia"/>
          <w:b/>
          <w:color w:val="082F6B"/>
          <w:sz w:val="36"/>
          <w:szCs w:val="36"/>
        </w:rPr>
        <w:t>）</w:t>
      </w:r>
    </w:p>
    <w:p w:rsidR="00193960" w:rsidRPr="00567F50" w:rsidRDefault="00B7035E" w:rsidP="00094102">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5E7914">
        <w:rPr>
          <w:rFonts w:ascii="仿宋" w:eastAsia="仿宋" w:hAnsi="仿宋"/>
          <w:sz w:val="24"/>
          <w:szCs w:val="24"/>
          <w:lang w:val="en-GB"/>
        </w:rPr>
        <w:t>2.44</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6D4BCF">
        <w:rPr>
          <w:rFonts w:ascii="仿宋" w:eastAsia="仿宋" w:hAnsi="仿宋"/>
          <w:sz w:val="24"/>
          <w:szCs w:val="24"/>
          <w:lang w:val="en-GB"/>
        </w:rPr>
        <w:t>1.</w:t>
      </w:r>
      <w:r w:rsidR="005E7914">
        <w:rPr>
          <w:rFonts w:ascii="仿宋" w:eastAsia="仿宋" w:hAnsi="仿宋"/>
          <w:sz w:val="24"/>
          <w:szCs w:val="24"/>
          <w:lang w:val="en-GB"/>
        </w:rPr>
        <w:t>96</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6D4BCF">
        <w:rPr>
          <w:rFonts w:ascii="仿宋" w:eastAsia="仿宋" w:hAnsi="仿宋" w:hint="eastAsia"/>
          <w:sz w:val="24"/>
          <w:szCs w:val="24"/>
          <w:lang w:val="en-GB"/>
        </w:rPr>
        <w:t>下跌2.</w:t>
      </w:r>
      <w:r w:rsidR="005E7914">
        <w:rPr>
          <w:rFonts w:ascii="仿宋" w:eastAsia="仿宋" w:hAnsi="仿宋"/>
          <w:sz w:val="24"/>
          <w:szCs w:val="24"/>
          <w:lang w:val="en-GB"/>
        </w:rPr>
        <w:t>46</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5E7914">
        <w:rPr>
          <w:rFonts w:ascii="仿宋" w:eastAsia="仿宋" w:hAnsi="仿宋"/>
          <w:sz w:val="24"/>
          <w:szCs w:val="24"/>
          <w:lang w:val="en-GB"/>
        </w:rPr>
        <w:t>21,115.88</w:t>
      </w:r>
      <w:r w:rsidR="00193960" w:rsidRPr="00567F50">
        <w:rPr>
          <w:rFonts w:ascii="仿宋" w:eastAsia="仿宋" w:hAnsi="仿宋" w:hint="eastAsia"/>
          <w:sz w:val="24"/>
          <w:szCs w:val="24"/>
          <w:lang w:val="en-GB"/>
        </w:rPr>
        <w:t>亿元。</w:t>
      </w:r>
      <w:r w:rsidR="005E7914" w:rsidRPr="005E7914">
        <w:rPr>
          <w:rFonts w:ascii="仿宋" w:eastAsia="仿宋" w:hAnsi="仿宋" w:hint="eastAsia"/>
          <w:sz w:val="24"/>
          <w:szCs w:val="24"/>
          <w:lang w:val="en-GB"/>
        </w:rPr>
        <w:t>房地产</w:t>
      </w:r>
      <w:r w:rsidR="005E7914">
        <w:rPr>
          <w:rFonts w:ascii="仿宋" w:eastAsia="仿宋" w:hAnsi="仿宋" w:hint="eastAsia"/>
          <w:sz w:val="24"/>
          <w:szCs w:val="24"/>
          <w:lang w:val="en-GB"/>
        </w:rPr>
        <w:t>、</w:t>
      </w:r>
      <w:r w:rsidR="005E7914" w:rsidRPr="005E7914">
        <w:rPr>
          <w:rFonts w:ascii="仿宋" w:eastAsia="仿宋" w:hAnsi="仿宋" w:hint="eastAsia"/>
          <w:sz w:val="24"/>
          <w:szCs w:val="24"/>
          <w:lang w:val="en-GB"/>
        </w:rPr>
        <w:t>银行</w:t>
      </w:r>
      <w:r w:rsidR="005E7914">
        <w:rPr>
          <w:rFonts w:ascii="仿宋" w:eastAsia="仿宋" w:hAnsi="仿宋" w:hint="eastAsia"/>
          <w:sz w:val="24"/>
          <w:szCs w:val="24"/>
          <w:lang w:val="en-GB"/>
        </w:rPr>
        <w:t>、</w:t>
      </w:r>
      <w:r w:rsidR="005E7914" w:rsidRPr="005E7914">
        <w:rPr>
          <w:rFonts w:ascii="仿宋" w:eastAsia="仿宋" w:hAnsi="仿宋" w:hint="eastAsia"/>
          <w:sz w:val="24"/>
          <w:szCs w:val="24"/>
          <w:lang w:val="en-GB"/>
        </w:rPr>
        <w:t>非</w:t>
      </w:r>
      <w:proofErr w:type="gramStart"/>
      <w:r w:rsidR="005E7914" w:rsidRPr="005E7914">
        <w:rPr>
          <w:rFonts w:ascii="仿宋" w:eastAsia="仿宋" w:hAnsi="仿宋" w:hint="eastAsia"/>
          <w:sz w:val="24"/>
          <w:szCs w:val="24"/>
          <w:lang w:val="en-GB"/>
        </w:rPr>
        <w:t>银金融</w:t>
      </w:r>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094102" w:rsidRPr="00094102">
        <w:rPr>
          <w:rFonts w:ascii="仿宋" w:eastAsia="仿宋" w:hAnsi="仿宋"/>
          <w:sz w:val="24"/>
          <w:szCs w:val="24"/>
          <w:lang w:val="en-GB"/>
        </w:rPr>
        <w:t>7.39%</w:t>
      </w:r>
      <w:r w:rsidR="00094102">
        <w:rPr>
          <w:rFonts w:ascii="仿宋" w:eastAsia="仿宋" w:hAnsi="仿宋" w:hint="eastAsia"/>
          <w:sz w:val="24"/>
          <w:szCs w:val="24"/>
          <w:lang w:val="en-GB"/>
        </w:rPr>
        <w:t>、</w:t>
      </w:r>
      <w:r w:rsidR="00094102" w:rsidRPr="00094102">
        <w:rPr>
          <w:rFonts w:ascii="仿宋" w:eastAsia="仿宋" w:hAnsi="仿宋"/>
          <w:sz w:val="24"/>
          <w:szCs w:val="24"/>
          <w:lang w:val="en-GB"/>
        </w:rPr>
        <w:t>6.63%</w:t>
      </w:r>
      <w:r w:rsidR="00094102">
        <w:rPr>
          <w:rFonts w:ascii="仿宋" w:eastAsia="仿宋" w:hAnsi="仿宋" w:hint="eastAsia"/>
          <w:sz w:val="24"/>
          <w:szCs w:val="24"/>
          <w:lang w:val="en-GB"/>
        </w:rPr>
        <w:t>、</w:t>
      </w:r>
      <w:r w:rsidR="00094102" w:rsidRPr="00094102">
        <w:rPr>
          <w:rFonts w:ascii="仿宋" w:eastAsia="仿宋" w:hAnsi="仿宋"/>
          <w:sz w:val="24"/>
          <w:szCs w:val="24"/>
          <w:lang w:val="en-GB"/>
        </w:rPr>
        <w:t>4.68%</w:t>
      </w:r>
      <w:r w:rsidR="00193960">
        <w:rPr>
          <w:rFonts w:ascii="仿宋" w:eastAsia="仿宋" w:hAnsi="仿宋" w:hint="eastAsia"/>
          <w:sz w:val="24"/>
          <w:szCs w:val="24"/>
          <w:lang w:val="en-GB"/>
        </w:rPr>
        <w:t>；</w:t>
      </w:r>
      <w:r w:rsidR="006D4BCF">
        <w:rPr>
          <w:rFonts w:ascii="仿宋" w:eastAsia="仿宋" w:hAnsi="仿宋" w:hint="eastAsia"/>
          <w:sz w:val="24"/>
          <w:szCs w:val="24"/>
          <w:lang w:val="en-GB"/>
        </w:rPr>
        <w:t>传媒、</w:t>
      </w:r>
      <w:r w:rsidR="00094102">
        <w:rPr>
          <w:rFonts w:ascii="仿宋" w:eastAsia="仿宋" w:hAnsi="仿宋" w:hint="eastAsia"/>
          <w:sz w:val="24"/>
          <w:szCs w:val="24"/>
          <w:lang w:val="en-GB"/>
        </w:rPr>
        <w:t>计算机、</w:t>
      </w:r>
      <w:r w:rsidR="00094102">
        <w:rPr>
          <w:rFonts w:ascii="仿宋" w:eastAsia="仿宋" w:hAnsi="仿宋"/>
          <w:sz w:val="24"/>
          <w:szCs w:val="24"/>
          <w:lang w:val="en-GB"/>
        </w:rPr>
        <w:t>综合</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094102">
        <w:rPr>
          <w:rFonts w:ascii="仿宋" w:eastAsia="仿宋" w:hAnsi="仿宋"/>
          <w:sz w:val="24"/>
          <w:szCs w:val="24"/>
          <w:lang w:val="en-GB"/>
        </w:rPr>
        <w:t>5.72</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w:t>
      </w:r>
      <w:r w:rsidR="00094102">
        <w:rPr>
          <w:rFonts w:ascii="仿宋" w:eastAsia="仿宋" w:hAnsi="仿宋"/>
          <w:sz w:val="24"/>
          <w:szCs w:val="24"/>
          <w:lang w:val="en-GB"/>
        </w:rPr>
        <w:lastRenderedPageBreak/>
        <w:t>4.35</w:t>
      </w:r>
      <w:r w:rsidR="004C5323">
        <w:rPr>
          <w:rFonts w:ascii="仿宋" w:eastAsia="仿宋" w:hAnsi="仿宋"/>
          <w:sz w:val="24"/>
          <w:szCs w:val="24"/>
          <w:lang w:val="en-GB"/>
        </w:rPr>
        <w:t>%、</w:t>
      </w:r>
      <w:r w:rsidR="00094102">
        <w:rPr>
          <w:rFonts w:ascii="仿宋" w:eastAsia="仿宋" w:hAnsi="仿宋"/>
          <w:sz w:val="24"/>
          <w:szCs w:val="24"/>
          <w:lang w:val="en-GB"/>
        </w:rPr>
        <w:t>3.57</w:t>
      </w:r>
      <w:r w:rsidR="004C5323">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094102">
        <w:rPr>
          <w:rFonts w:ascii="仿宋" w:eastAsia="仿宋" w:hAnsi="仿宋" w:hint="eastAsia"/>
          <w:sz w:val="24"/>
          <w:szCs w:val="24"/>
          <w:lang w:val="en-GB"/>
        </w:rPr>
        <w:t>非银金融</w:t>
      </w:r>
      <w:r w:rsidR="00094102">
        <w:rPr>
          <w:rFonts w:ascii="仿宋" w:eastAsia="仿宋" w:hAnsi="仿宋"/>
          <w:sz w:val="24"/>
          <w:szCs w:val="24"/>
          <w:lang w:val="en-GB"/>
        </w:rPr>
        <w:t>、</w:t>
      </w:r>
      <w:r w:rsidR="006D4BCF">
        <w:rPr>
          <w:rFonts w:ascii="仿宋" w:eastAsia="仿宋" w:hAnsi="仿宋" w:hint="eastAsia"/>
          <w:sz w:val="24"/>
          <w:szCs w:val="24"/>
          <w:lang w:val="en-GB"/>
        </w:rPr>
        <w:t>建筑装饰</w:t>
      </w:r>
      <w:r w:rsidR="00193960" w:rsidRPr="00567F50">
        <w:rPr>
          <w:rFonts w:ascii="仿宋" w:eastAsia="仿宋" w:hAnsi="仿宋" w:hint="eastAsia"/>
          <w:sz w:val="24"/>
          <w:szCs w:val="24"/>
          <w:lang w:val="en-GB"/>
        </w:rPr>
        <w:t>的换手率最大，换手率</w:t>
      </w:r>
      <w:r w:rsidR="00193960">
        <w:rPr>
          <w:rFonts w:ascii="仿宋" w:eastAsia="仿宋" w:hAnsi="仿宋" w:hint="eastAsia"/>
          <w:sz w:val="24"/>
          <w:szCs w:val="24"/>
          <w:lang w:val="en-GB"/>
        </w:rPr>
        <w:t>分别超过</w:t>
      </w:r>
      <w:r w:rsidR="00094102">
        <w:rPr>
          <w:rFonts w:ascii="仿宋" w:eastAsia="仿宋" w:hAnsi="仿宋" w:hint="eastAsia"/>
          <w:sz w:val="24"/>
          <w:szCs w:val="24"/>
          <w:lang w:val="en-GB"/>
        </w:rPr>
        <w:t>13</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803A26">
        <w:rPr>
          <w:rFonts w:ascii="仿宋" w:eastAsia="仿宋" w:hAnsi="仿宋" w:hint="eastAsia"/>
          <w:sz w:val="24"/>
          <w:szCs w:val="24"/>
          <w:lang w:val="en-GB"/>
        </w:rPr>
        <w:t>低市盈率</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803A26">
        <w:rPr>
          <w:rFonts w:ascii="仿宋" w:eastAsia="仿宋" w:hAnsi="仿宋"/>
          <w:sz w:val="24"/>
          <w:szCs w:val="24"/>
          <w:lang w:val="en-GB"/>
        </w:rPr>
        <w:t>3.95</w:t>
      </w:r>
      <w:r w:rsidR="00193960" w:rsidRPr="00567F50">
        <w:rPr>
          <w:rFonts w:ascii="仿宋" w:eastAsia="仿宋" w:hAnsi="仿宋" w:hint="eastAsia"/>
          <w:sz w:val="24"/>
          <w:szCs w:val="24"/>
          <w:lang w:val="en-GB"/>
        </w:rPr>
        <w:t>%，</w:t>
      </w:r>
      <w:r w:rsidR="006D4BCF">
        <w:rPr>
          <w:rFonts w:ascii="仿宋" w:eastAsia="仿宋" w:hAnsi="仿宋" w:hint="eastAsia"/>
          <w:sz w:val="24"/>
          <w:szCs w:val="24"/>
          <w:lang w:val="en-GB"/>
        </w:rPr>
        <w:t>高</w:t>
      </w:r>
      <w:proofErr w:type="gramStart"/>
      <w:r w:rsidR="006D4BCF">
        <w:rPr>
          <w:rFonts w:ascii="仿宋" w:eastAsia="仿宋" w:hAnsi="仿宋" w:hint="eastAsia"/>
          <w:sz w:val="24"/>
          <w:szCs w:val="24"/>
          <w:lang w:val="en-GB"/>
        </w:rPr>
        <w:t>市</w:t>
      </w:r>
      <w:r w:rsidR="00803A26">
        <w:rPr>
          <w:rFonts w:ascii="仿宋" w:eastAsia="仿宋" w:hAnsi="仿宋" w:hint="eastAsia"/>
          <w:sz w:val="24"/>
          <w:szCs w:val="24"/>
          <w:lang w:val="en-GB"/>
        </w:rPr>
        <w:t>净</w:t>
      </w:r>
      <w:r w:rsidR="006D4BCF">
        <w:rPr>
          <w:rFonts w:ascii="仿宋" w:eastAsia="仿宋" w:hAnsi="仿宋" w:hint="eastAsia"/>
          <w:sz w:val="24"/>
          <w:szCs w:val="24"/>
          <w:lang w:val="en-GB"/>
        </w:rPr>
        <w:t>率指数</w:t>
      </w:r>
      <w:proofErr w:type="gramEnd"/>
      <w:r w:rsidR="006D4BCF">
        <w:rPr>
          <w:rFonts w:ascii="仿宋" w:eastAsia="仿宋" w:hAnsi="仿宋" w:hint="eastAsia"/>
          <w:sz w:val="24"/>
          <w:szCs w:val="24"/>
          <w:lang w:val="en-GB"/>
        </w:rPr>
        <w:t>跌幅最大</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跌幅</w:t>
      </w:r>
      <w:r w:rsidR="00193960" w:rsidRPr="00567F50">
        <w:rPr>
          <w:rFonts w:ascii="仿宋" w:eastAsia="仿宋" w:hAnsi="仿宋" w:hint="eastAsia"/>
          <w:sz w:val="24"/>
          <w:szCs w:val="24"/>
          <w:lang w:val="en-GB"/>
        </w:rPr>
        <w:t>为</w:t>
      </w:r>
      <w:r w:rsidR="00803A26">
        <w:rPr>
          <w:rFonts w:ascii="仿宋" w:eastAsia="仿宋" w:hAnsi="仿宋"/>
          <w:sz w:val="24"/>
          <w:szCs w:val="24"/>
          <w:lang w:val="en-GB"/>
        </w:rPr>
        <w:t>3.51</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5E7914" w:rsidRPr="00567F50" w:rsidTr="00C62D3F">
        <w:trPr>
          <w:trHeight w:val="64"/>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上证综指</w:t>
            </w:r>
          </w:p>
        </w:tc>
        <w:tc>
          <w:tcPr>
            <w:tcW w:w="1021" w:type="dxa"/>
          </w:tcPr>
          <w:p w:rsidR="005E7914" w:rsidRPr="005E7914" w:rsidRDefault="005E7914" w:rsidP="005E7914">
            <w:pPr>
              <w:jc w:val="center"/>
              <w:rPr>
                <w:rFonts w:ascii="仿宋" w:eastAsia="仿宋" w:hAnsi="仿宋" w:cs="Arial"/>
              </w:rPr>
            </w:pPr>
            <w:r w:rsidRPr="005E7914">
              <w:rPr>
                <w:rFonts w:ascii="仿宋" w:eastAsia="仿宋" w:hAnsi="仿宋" w:cs="Arial"/>
              </w:rPr>
              <w:t>2.44%</w:t>
            </w:r>
          </w:p>
        </w:tc>
        <w:tc>
          <w:tcPr>
            <w:tcW w:w="1134" w:type="dxa"/>
            <w:tcBorders>
              <w:right w:val="single" w:sz="4" w:space="0" w:color="1F497D"/>
            </w:tcBorders>
          </w:tcPr>
          <w:p w:rsidR="005E7914" w:rsidRPr="005E7914" w:rsidRDefault="005E7914" w:rsidP="005E7914">
            <w:pPr>
              <w:jc w:val="center"/>
              <w:rPr>
                <w:rFonts w:ascii="仿宋" w:eastAsia="仿宋" w:hAnsi="仿宋" w:cs="Arial"/>
              </w:rPr>
            </w:pPr>
            <w:r w:rsidRPr="005E7914">
              <w:rPr>
                <w:rFonts w:ascii="仿宋" w:eastAsia="仿宋" w:hAnsi="仿宋" w:cs="Arial"/>
              </w:rPr>
              <w:t>14,254.9</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A股总市值（亿元）</w:t>
            </w:r>
          </w:p>
        </w:tc>
        <w:tc>
          <w:tcPr>
            <w:tcW w:w="1315" w:type="dxa"/>
          </w:tcPr>
          <w:p w:rsidR="005E7914" w:rsidRPr="005E7914" w:rsidRDefault="005E7914" w:rsidP="005E7914">
            <w:pPr>
              <w:jc w:val="center"/>
              <w:rPr>
                <w:rFonts w:ascii="仿宋" w:eastAsia="仿宋" w:hAnsi="仿宋" w:cs="Arial"/>
              </w:rPr>
            </w:pPr>
            <w:r w:rsidRPr="005E7914">
              <w:rPr>
                <w:rFonts w:ascii="仿宋" w:eastAsia="仿宋" w:hAnsi="仿宋" w:cs="Arial"/>
              </w:rPr>
              <w:t>427,071.02</w:t>
            </w:r>
          </w:p>
        </w:tc>
      </w:tr>
      <w:tr w:rsidR="005E7914" w:rsidRPr="00567F50" w:rsidTr="00C62D3F">
        <w:trPr>
          <w:trHeight w:val="7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上证180</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3.14%</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10,224.9</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A股流通市值（亿元）</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314,347.69</w:t>
            </w:r>
          </w:p>
        </w:tc>
      </w:tr>
      <w:tr w:rsidR="005E7914" w:rsidRPr="00567F50" w:rsidTr="00C62D3F">
        <w:trPr>
          <w:trHeight w:val="2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上证50</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4.74%</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6,322.6</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A股市盈率（最新年报，剔除负值）</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17.70</w:t>
            </w:r>
          </w:p>
        </w:tc>
      </w:tr>
      <w:tr w:rsidR="005E7914" w:rsidRPr="00567F50" w:rsidTr="00C62D3F">
        <w:trPr>
          <w:trHeight w:val="2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沪深300</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2.55%</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13,033.2</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A股市盈率（递推12个月，剔除负值）</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16.12</w:t>
            </w:r>
          </w:p>
        </w:tc>
      </w:tr>
      <w:tr w:rsidR="005E7914" w:rsidRPr="00567F50" w:rsidTr="00C62D3F">
        <w:trPr>
          <w:trHeight w:val="2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深证成指</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1.96%</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1,589.4</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A股市净率（最新年报，剔除负值）</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2.43</w:t>
            </w:r>
          </w:p>
        </w:tc>
      </w:tr>
      <w:tr w:rsidR="005E7914" w:rsidRPr="00567F50" w:rsidTr="00C62D3F">
        <w:trPr>
          <w:trHeight w:val="2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深证100</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0.96%</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2,663.4</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A股市净率（最新报告期，剔除负值）</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2.21</w:t>
            </w:r>
          </w:p>
        </w:tc>
      </w:tr>
      <w:tr w:rsidR="005E7914" w:rsidRPr="00567F50" w:rsidTr="00C62D3F">
        <w:trPr>
          <w:trHeight w:val="20"/>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申万中小板</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(2.46%)</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2,181.5</w:t>
            </w:r>
          </w:p>
        </w:tc>
        <w:tc>
          <w:tcPr>
            <w:tcW w:w="283" w:type="dxa"/>
            <w:vMerge/>
            <w:tcBorders>
              <w:left w:val="single" w:sz="4" w:space="0" w:color="1F497D"/>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A股加权平均股价</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9.78</w:t>
            </w:r>
          </w:p>
        </w:tc>
      </w:tr>
      <w:tr w:rsidR="005E7914" w:rsidRPr="00567F50" w:rsidTr="00C62D3F">
        <w:trPr>
          <w:trHeight w:val="138"/>
        </w:trPr>
        <w:tc>
          <w:tcPr>
            <w:tcW w:w="148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申万基金重仓</w:t>
            </w:r>
          </w:p>
        </w:tc>
        <w:tc>
          <w:tcPr>
            <w:tcW w:w="102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0.69%</w:t>
            </w:r>
          </w:p>
        </w:tc>
        <w:tc>
          <w:tcPr>
            <w:tcW w:w="1134" w:type="dxa"/>
            <w:tcBorders>
              <w:right w:val="single" w:sz="4" w:space="0" w:color="1F497D"/>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17,342.6</w:t>
            </w:r>
          </w:p>
        </w:tc>
        <w:tc>
          <w:tcPr>
            <w:tcW w:w="283" w:type="dxa"/>
            <w:vMerge/>
            <w:tcBorders>
              <w:left w:val="single" w:sz="4" w:space="0" w:color="1F497D"/>
              <w:bottom w:val="nil"/>
            </w:tcBorders>
            <w:vAlign w:val="center"/>
          </w:tcPr>
          <w:p w:rsidR="005E7914" w:rsidRPr="00567F50" w:rsidRDefault="005E7914" w:rsidP="005E7914">
            <w:pPr>
              <w:widowControl/>
              <w:tabs>
                <w:tab w:val="center" w:pos="1663"/>
                <w:tab w:val="right" w:pos="3327"/>
              </w:tabs>
              <w:jc w:val="center"/>
              <w:rPr>
                <w:rFonts w:ascii="仿宋" w:eastAsia="仿宋" w:hAnsi="仿宋" w:cs="Arial"/>
              </w:rPr>
            </w:pPr>
          </w:p>
        </w:tc>
        <w:tc>
          <w:tcPr>
            <w:tcW w:w="3901"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两市A股成交金额(亿元)</w:t>
            </w:r>
          </w:p>
        </w:tc>
        <w:tc>
          <w:tcPr>
            <w:tcW w:w="1315"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21,115.88</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房地产</w:t>
            </w:r>
          </w:p>
        </w:tc>
        <w:tc>
          <w:tcPr>
            <w:tcW w:w="1134" w:type="dxa"/>
          </w:tcPr>
          <w:p w:rsidR="005E7914" w:rsidRPr="005E7914" w:rsidRDefault="005E7914" w:rsidP="005E7914">
            <w:pPr>
              <w:jc w:val="center"/>
              <w:rPr>
                <w:rFonts w:ascii="仿宋" w:eastAsia="仿宋" w:hAnsi="仿宋" w:cs="Arial"/>
              </w:rPr>
            </w:pPr>
            <w:r w:rsidRPr="005E7914">
              <w:rPr>
                <w:rFonts w:ascii="仿宋" w:eastAsia="仿宋" w:hAnsi="仿宋" w:cs="Arial"/>
              </w:rPr>
              <w:t>7.39%</w:t>
            </w:r>
          </w:p>
        </w:tc>
        <w:tc>
          <w:tcPr>
            <w:tcW w:w="1134" w:type="dxa"/>
            <w:tcBorders>
              <w:right w:val="single" w:sz="4" w:space="0" w:color="D9D9D9"/>
            </w:tcBorders>
          </w:tcPr>
          <w:p w:rsidR="005E7914" w:rsidRPr="005E7914" w:rsidRDefault="005E7914" w:rsidP="005E7914">
            <w:pPr>
              <w:jc w:val="center"/>
              <w:rPr>
                <w:rFonts w:ascii="仿宋" w:eastAsia="仿宋" w:hAnsi="仿宋" w:cs="Arial"/>
              </w:rPr>
            </w:pPr>
            <w:r w:rsidRPr="005E7914">
              <w:rPr>
                <w:rFonts w:ascii="仿宋" w:eastAsia="仿宋" w:hAnsi="仿宋" w:cs="Arial"/>
              </w:rPr>
              <w:t>9.75%</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有色金属</w:t>
            </w:r>
          </w:p>
        </w:tc>
        <w:tc>
          <w:tcPr>
            <w:tcW w:w="1134" w:type="dxa"/>
          </w:tcPr>
          <w:p w:rsidR="005E7914" w:rsidRPr="005E7914" w:rsidRDefault="005E7914" w:rsidP="005E7914">
            <w:pPr>
              <w:jc w:val="center"/>
              <w:rPr>
                <w:rFonts w:ascii="仿宋" w:eastAsia="仿宋" w:hAnsi="仿宋" w:cs="Arial"/>
              </w:rPr>
            </w:pPr>
            <w:r>
              <w:rPr>
                <w:rFonts w:ascii="仿宋" w:eastAsia="仿宋" w:hAnsi="仿宋" w:cs="Arial"/>
              </w:rPr>
              <w:t>(</w:t>
            </w:r>
            <w:r w:rsidRPr="005E7914">
              <w:rPr>
                <w:rFonts w:ascii="仿宋" w:eastAsia="仿宋" w:hAnsi="仿宋" w:cs="Arial"/>
              </w:rPr>
              <w:t>1.26%)</w:t>
            </w:r>
          </w:p>
        </w:tc>
        <w:tc>
          <w:tcPr>
            <w:tcW w:w="1275" w:type="dxa"/>
            <w:tcBorders>
              <w:right w:val="single" w:sz="4" w:space="0" w:color="D9D9D9"/>
            </w:tcBorders>
          </w:tcPr>
          <w:p w:rsidR="005E7914" w:rsidRPr="005E7914" w:rsidRDefault="005E7914" w:rsidP="005E7914">
            <w:pPr>
              <w:jc w:val="center"/>
              <w:rPr>
                <w:rFonts w:ascii="仿宋" w:eastAsia="仿宋" w:hAnsi="仿宋" w:cs="Arial"/>
              </w:rPr>
            </w:pPr>
            <w:r w:rsidRPr="005E7914">
              <w:rPr>
                <w:rFonts w:ascii="仿宋" w:eastAsia="仿宋" w:hAnsi="仿宋" w:cs="Arial"/>
              </w:rPr>
              <w:t>6.80%</w:t>
            </w:r>
          </w:p>
        </w:tc>
      </w:tr>
      <w:tr w:rsidR="005E7914" w:rsidRPr="00C62D3F" w:rsidTr="00383885">
        <w:trPr>
          <w:trHeight w:val="185"/>
        </w:trPr>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银行</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6.63%</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3.27%</w:t>
            </w:r>
          </w:p>
        </w:tc>
        <w:tc>
          <w:tcPr>
            <w:tcW w:w="518" w:type="dxa"/>
            <w:vMerge w:val="restart"/>
            <w:tcBorders>
              <w:top w:val="nil"/>
              <w:left w:val="single" w:sz="4" w:space="0" w:color="D9D9D9"/>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休闲服务</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1.61%)</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9.14%</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非</w:t>
            </w:r>
            <w:proofErr w:type="gramStart"/>
            <w:r w:rsidRPr="005E7914">
              <w:rPr>
                <w:rFonts w:ascii="仿宋" w:eastAsia="仿宋" w:hAnsi="仿宋" w:cs="Arial"/>
              </w:rPr>
              <w:t>银金融</w:t>
            </w:r>
            <w:proofErr w:type="gramEnd"/>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4.68%</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14.26%</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纺织服装</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1.88%)</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5.44%</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化工</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3.37%</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2.74%</w:t>
            </w:r>
          </w:p>
        </w:tc>
        <w:tc>
          <w:tcPr>
            <w:tcW w:w="518" w:type="dxa"/>
            <w:tcBorders>
              <w:top w:val="nil"/>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通信</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2.02%)</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6.21%</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建筑材料</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2.88%</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9.39%</w:t>
            </w:r>
          </w:p>
        </w:tc>
        <w:tc>
          <w:tcPr>
            <w:tcW w:w="518" w:type="dxa"/>
            <w:tcBorders>
              <w:top w:val="nil"/>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机械设备</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2.04%)</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9.45%</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建筑装饰</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1.88%</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13.62%</w:t>
            </w:r>
          </w:p>
        </w:tc>
        <w:tc>
          <w:tcPr>
            <w:tcW w:w="518" w:type="dxa"/>
            <w:vMerge w:val="restart"/>
            <w:tcBorders>
              <w:top w:val="nil"/>
              <w:left w:val="single" w:sz="4" w:space="0" w:color="D9D9D9"/>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家用电器</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2.13%)</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5.80%</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采掘</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0.71%</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5.29%</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交通运输</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2.16%)</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4.86%</w:t>
            </w:r>
          </w:p>
        </w:tc>
      </w:tr>
      <w:tr w:rsidR="005E7914" w:rsidRPr="00C62D3F" w:rsidTr="0006381E">
        <w:trPr>
          <w:trHeight w:val="284"/>
        </w:trPr>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食品饮料</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0.57%</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5.79%</w:t>
            </w:r>
          </w:p>
        </w:tc>
        <w:tc>
          <w:tcPr>
            <w:tcW w:w="518" w:type="dxa"/>
            <w:vMerge w:val="restart"/>
            <w:tcBorders>
              <w:top w:val="nil"/>
              <w:left w:val="single" w:sz="4" w:space="0" w:color="D9D9D9"/>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国防军工</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2.35%)</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9.12%</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钢铁</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(0.30%)</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5.23%</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轻工制造</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2.67%)</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5.95%</w:t>
            </w:r>
          </w:p>
        </w:tc>
      </w:tr>
      <w:tr w:rsidR="005E7914" w:rsidRPr="00C62D3F" w:rsidTr="0006381E">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汽车</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(0.57%)</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4.29%</w:t>
            </w:r>
          </w:p>
        </w:tc>
        <w:tc>
          <w:tcPr>
            <w:tcW w:w="518" w:type="dxa"/>
            <w:vMerge w:val="restart"/>
            <w:tcBorders>
              <w:top w:val="nil"/>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电子</w:t>
            </w:r>
          </w:p>
        </w:tc>
        <w:tc>
          <w:tcPr>
            <w:tcW w:w="1134" w:type="dxa"/>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2.89%)</w:t>
            </w:r>
          </w:p>
        </w:tc>
        <w:tc>
          <w:tcPr>
            <w:tcW w:w="1275"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6.36%</w:t>
            </w:r>
          </w:p>
        </w:tc>
      </w:tr>
      <w:tr w:rsidR="005E7914" w:rsidRPr="00C62D3F" w:rsidTr="004B7E6A">
        <w:trPr>
          <w:trHeight w:val="251"/>
        </w:trPr>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商业贸易</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(0.85%)</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7.20%</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bottom w:val="single" w:sz="4" w:space="0" w:color="000000"/>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农林牧渔</w:t>
            </w:r>
          </w:p>
        </w:tc>
        <w:tc>
          <w:tcPr>
            <w:tcW w:w="1134" w:type="dxa"/>
            <w:tcBorders>
              <w:bottom w:val="single" w:sz="4" w:space="0" w:color="000000"/>
            </w:tcBorders>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3.34%)</w:t>
            </w:r>
          </w:p>
        </w:tc>
        <w:tc>
          <w:tcPr>
            <w:tcW w:w="1275" w:type="dxa"/>
            <w:tcBorders>
              <w:bottom w:val="single" w:sz="4" w:space="0" w:color="000000"/>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7.00%</w:t>
            </w:r>
          </w:p>
        </w:tc>
      </w:tr>
      <w:tr w:rsidR="005E7914" w:rsidRPr="00C62D3F" w:rsidTr="004B7E6A">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医药生物</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(0.86%)</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5.25%</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bottom w:val="single" w:sz="4" w:space="0" w:color="000000"/>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综合</w:t>
            </w:r>
          </w:p>
        </w:tc>
        <w:tc>
          <w:tcPr>
            <w:tcW w:w="1134" w:type="dxa"/>
            <w:tcBorders>
              <w:bottom w:val="single" w:sz="4" w:space="0" w:color="000000"/>
            </w:tcBorders>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3.57%)</w:t>
            </w:r>
          </w:p>
        </w:tc>
        <w:tc>
          <w:tcPr>
            <w:tcW w:w="1275" w:type="dxa"/>
            <w:tcBorders>
              <w:bottom w:val="single" w:sz="4" w:space="0" w:color="000000"/>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6.37%</w:t>
            </w:r>
          </w:p>
        </w:tc>
      </w:tr>
      <w:tr w:rsidR="005E7914" w:rsidRPr="00C62D3F" w:rsidTr="004B7E6A">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公用事业</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(0.92%)</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8.69%</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计算机</w:t>
            </w:r>
          </w:p>
        </w:tc>
        <w:tc>
          <w:tcPr>
            <w:tcW w:w="1134" w:type="dxa"/>
            <w:tcBorders>
              <w:top w:val="single" w:sz="4" w:space="0" w:color="000000"/>
              <w:bottom w:val="single" w:sz="4" w:space="0" w:color="000000"/>
            </w:tcBorders>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4.35%)</w:t>
            </w:r>
          </w:p>
        </w:tc>
        <w:tc>
          <w:tcPr>
            <w:tcW w:w="1275" w:type="dxa"/>
            <w:tcBorders>
              <w:top w:val="single" w:sz="4" w:space="0" w:color="000000"/>
              <w:bottom w:val="single" w:sz="4" w:space="0" w:color="000000"/>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6.27%</w:t>
            </w:r>
          </w:p>
        </w:tc>
      </w:tr>
      <w:tr w:rsidR="005E7914" w:rsidRPr="00C62D3F" w:rsidTr="005F67E3">
        <w:tc>
          <w:tcPr>
            <w:tcW w:w="1984" w:type="dxa"/>
            <w:tcBorders>
              <w:lef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电气设备</w:t>
            </w:r>
          </w:p>
        </w:tc>
        <w:tc>
          <w:tcPr>
            <w:tcW w:w="1134" w:type="dxa"/>
          </w:tcPr>
          <w:p w:rsidR="005E7914" w:rsidRPr="005E7914" w:rsidRDefault="005E7914" w:rsidP="005E7914">
            <w:pPr>
              <w:widowControl/>
              <w:jc w:val="center"/>
              <w:rPr>
                <w:rFonts w:ascii="仿宋" w:eastAsia="仿宋" w:hAnsi="仿宋" w:cs="Arial"/>
              </w:rPr>
            </w:pPr>
            <w:r w:rsidRPr="005E7914">
              <w:rPr>
                <w:rFonts w:ascii="仿宋" w:eastAsia="仿宋" w:hAnsi="仿宋" w:cs="Arial"/>
              </w:rPr>
              <w:t>(1.25%)</w:t>
            </w:r>
          </w:p>
        </w:tc>
        <w:tc>
          <w:tcPr>
            <w:tcW w:w="1134" w:type="dxa"/>
            <w:tcBorders>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6.09%</w:t>
            </w:r>
          </w:p>
        </w:tc>
        <w:tc>
          <w:tcPr>
            <w:tcW w:w="518" w:type="dxa"/>
            <w:vMerge/>
            <w:tcBorders>
              <w:left w:val="single" w:sz="4" w:space="0" w:color="D9D9D9"/>
              <w:bottom w:val="nil"/>
              <w:right w:val="single" w:sz="4" w:space="0" w:color="D9D9D9"/>
            </w:tcBorders>
            <w:vAlign w:val="center"/>
          </w:tcPr>
          <w:p w:rsidR="005E7914" w:rsidRPr="00567F50" w:rsidRDefault="005E7914" w:rsidP="005E7914">
            <w:pPr>
              <w:jc w:val="center"/>
              <w:rPr>
                <w:rFonts w:ascii="仿宋" w:eastAsia="仿宋" w:hAnsi="仿宋" w:cs="Arial"/>
              </w:rPr>
            </w:pPr>
          </w:p>
        </w:tc>
        <w:tc>
          <w:tcPr>
            <w:tcW w:w="1994" w:type="dxa"/>
            <w:tcBorders>
              <w:left w:val="single" w:sz="4" w:space="0" w:color="D9D9D9"/>
              <w:bottom w:val="single" w:sz="4" w:space="0" w:color="000000"/>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传媒</w:t>
            </w:r>
          </w:p>
        </w:tc>
        <w:tc>
          <w:tcPr>
            <w:tcW w:w="1134" w:type="dxa"/>
            <w:tcBorders>
              <w:bottom w:val="single" w:sz="4" w:space="0" w:color="000000"/>
            </w:tcBorders>
          </w:tcPr>
          <w:p w:rsidR="005E7914" w:rsidRPr="005E7914" w:rsidRDefault="005E7914" w:rsidP="005E7914">
            <w:pPr>
              <w:widowControl/>
              <w:jc w:val="center"/>
              <w:rPr>
                <w:rFonts w:ascii="仿宋" w:eastAsia="仿宋" w:hAnsi="仿宋" w:cs="Arial"/>
              </w:rPr>
            </w:pPr>
            <w:r>
              <w:rPr>
                <w:rFonts w:ascii="仿宋" w:eastAsia="仿宋" w:hAnsi="仿宋" w:cs="Arial"/>
              </w:rPr>
              <w:t>(</w:t>
            </w:r>
            <w:r w:rsidRPr="005E7914">
              <w:rPr>
                <w:rFonts w:ascii="仿宋" w:eastAsia="仿宋" w:hAnsi="仿宋" w:cs="Arial"/>
              </w:rPr>
              <w:t>5.72%)</w:t>
            </w:r>
          </w:p>
        </w:tc>
        <w:tc>
          <w:tcPr>
            <w:tcW w:w="1275" w:type="dxa"/>
            <w:tcBorders>
              <w:bottom w:val="single" w:sz="4" w:space="0" w:color="000000"/>
              <w:right w:val="single" w:sz="4" w:space="0" w:color="D9D9D9"/>
            </w:tcBorders>
          </w:tcPr>
          <w:p w:rsidR="005E7914" w:rsidRPr="005E7914" w:rsidRDefault="005E7914" w:rsidP="005E7914">
            <w:pPr>
              <w:widowControl/>
              <w:jc w:val="center"/>
              <w:rPr>
                <w:rFonts w:ascii="仿宋" w:eastAsia="仿宋" w:hAnsi="仿宋" w:cs="Arial"/>
              </w:rPr>
            </w:pPr>
            <w:r w:rsidRPr="005E7914">
              <w:rPr>
                <w:rFonts w:ascii="仿宋" w:eastAsia="仿宋" w:hAnsi="仿宋" w:cs="Arial"/>
              </w:rPr>
              <w:t>7.61%</w:t>
            </w:r>
          </w:p>
        </w:tc>
      </w:tr>
    </w:tbl>
    <w:p w:rsidR="00897AB9" w:rsidRPr="00567F50" w:rsidRDefault="00897AB9" w:rsidP="00897AB9">
      <w:pPr>
        <w:widowControl/>
        <w:jc w:val="left"/>
        <w:rPr>
          <w:rFonts w:ascii="仿宋" w:eastAsia="仿宋" w:hAnsi="仿宋"/>
          <w:b/>
          <w:color w:val="808080"/>
          <w:sz w:val="24"/>
          <w:szCs w:val="24"/>
        </w:rPr>
      </w:pPr>
    </w:p>
    <w:p w:rsidR="008F7C33" w:rsidRDefault="008F7C33">
      <w:pPr>
        <w:widowControl/>
        <w:jc w:val="left"/>
        <w:rPr>
          <w:rFonts w:ascii="仿宋" w:eastAsia="仿宋" w:hAnsi="仿宋"/>
          <w:b/>
          <w:sz w:val="24"/>
          <w:szCs w:val="24"/>
        </w:rPr>
      </w:pPr>
      <w:r>
        <w:rPr>
          <w:rFonts w:ascii="仿宋" w:eastAsia="仿宋" w:hAnsi="仿宋"/>
          <w:b/>
          <w:sz w:val="24"/>
          <w:szCs w:val="24"/>
        </w:rPr>
        <w:br w:type="page"/>
      </w: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lastRenderedPageBreak/>
        <w:t>图1：风格特征</w:t>
      </w:r>
    </w:p>
    <w:p w:rsidR="00C4451D" w:rsidRPr="00567F50" w:rsidRDefault="005E7914"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20EE6760" wp14:editId="0F9BDEDC">
            <wp:extent cx="4001415" cy="268771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4142" cy="2702982"/>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C62D3F">
        <w:rPr>
          <w:rFonts w:ascii="仿宋" w:eastAsia="仿宋" w:hAnsi="仿宋" w:hint="eastAsia"/>
          <w:color w:val="7F7F7F"/>
          <w:sz w:val="18"/>
          <w:szCs w:val="18"/>
        </w:rPr>
        <w:t>2</w:t>
      </w:r>
      <w:r w:rsidR="005E7914">
        <w:rPr>
          <w:rFonts w:ascii="仿宋" w:eastAsia="仿宋" w:hAnsi="仿宋"/>
          <w:color w:val="7F7F7F"/>
          <w:sz w:val="18"/>
          <w:szCs w:val="18"/>
        </w:rPr>
        <w:t>29</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C62D3F">
        <w:rPr>
          <w:rFonts w:ascii="仿宋" w:eastAsia="仿宋" w:hAnsi="仿宋"/>
          <w:color w:val="7F7F7F"/>
          <w:sz w:val="18"/>
          <w:szCs w:val="18"/>
        </w:rPr>
        <w:t>2</w:t>
      </w:r>
      <w:r w:rsidR="005E7914">
        <w:rPr>
          <w:rFonts w:ascii="仿宋" w:eastAsia="仿宋" w:hAnsi="仿宋"/>
          <w:color w:val="7F7F7F"/>
          <w:sz w:val="18"/>
          <w:szCs w:val="18"/>
        </w:rPr>
        <w:t>31</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803A26">
        <w:rPr>
          <w:rFonts w:ascii="仿宋" w:eastAsia="仿宋" w:hAnsi="仿宋"/>
          <w:b/>
          <w:color w:val="082F6B"/>
          <w:sz w:val="36"/>
          <w:szCs w:val="36"/>
        </w:rPr>
        <w:t>29</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803A26">
        <w:rPr>
          <w:rFonts w:ascii="仿宋" w:eastAsia="仿宋" w:hAnsi="仿宋"/>
          <w:b/>
          <w:color w:val="082F6B"/>
          <w:sz w:val="36"/>
          <w:szCs w:val="36"/>
        </w:rPr>
        <w:t>31</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803A26"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803A26" w:rsidRPr="00803A26">
        <w:rPr>
          <w:rFonts w:ascii="仿宋" w:eastAsia="仿宋" w:hAnsi="仿宋" w:hint="eastAsia"/>
          <w:sz w:val="24"/>
          <w:szCs w:val="24"/>
        </w:rPr>
        <w:t>12月PMI跌至50.1，连续6个月下滑并创18个月新低，经济增长动力不足，预示</w:t>
      </w:r>
      <w:r w:rsidR="00803A26">
        <w:rPr>
          <w:rFonts w:ascii="仿宋" w:eastAsia="仿宋" w:hAnsi="仿宋" w:hint="eastAsia"/>
          <w:sz w:val="24"/>
          <w:szCs w:val="24"/>
        </w:rPr>
        <w:t>2</w:t>
      </w:r>
      <w:r w:rsidR="00803A26">
        <w:rPr>
          <w:rFonts w:ascii="仿宋" w:eastAsia="仿宋" w:hAnsi="仿宋"/>
          <w:sz w:val="24"/>
          <w:szCs w:val="24"/>
        </w:rPr>
        <w:t>0</w:t>
      </w:r>
      <w:r w:rsidR="00803A26" w:rsidRPr="00803A26">
        <w:rPr>
          <w:rFonts w:ascii="仿宋" w:eastAsia="仿宋" w:hAnsi="仿宋" w:hint="eastAsia"/>
          <w:sz w:val="24"/>
          <w:szCs w:val="24"/>
        </w:rPr>
        <w:t>15年经济开局压力较大。12月PMI购进价格指数继续下滑，预示12月PPI</w:t>
      </w:r>
      <w:r w:rsidR="00803A26">
        <w:rPr>
          <w:rFonts w:ascii="仿宋" w:eastAsia="仿宋" w:hAnsi="仿宋" w:hint="eastAsia"/>
          <w:sz w:val="24"/>
          <w:szCs w:val="24"/>
        </w:rPr>
        <w:t>环</w:t>
      </w:r>
      <w:proofErr w:type="gramStart"/>
      <w:r w:rsidR="00803A26">
        <w:rPr>
          <w:rFonts w:ascii="仿宋" w:eastAsia="仿宋" w:hAnsi="仿宋" w:hint="eastAsia"/>
          <w:sz w:val="24"/>
          <w:szCs w:val="24"/>
        </w:rPr>
        <w:t>比负增</w:t>
      </w:r>
      <w:proofErr w:type="gramEnd"/>
      <w:r w:rsidR="00803A26">
        <w:rPr>
          <w:rFonts w:ascii="仿宋" w:eastAsia="仿宋" w:hAnsi="仿宋" w:hint="eastAsia"/>
          <w:sz w:val="24"/>
          <w:szCs w:val="24"/>
        </w:rPr>
        <w:t>。通缩仍是主要风险；</w:t>
      </w:r>
      <w:r w:rsidR="00803A26" w:rsidRPr="00803A26">
        <w:rPr>
          <w:rFonts w:ascii="仿宋" w:eastAsia="仿宋" w:hAnsi="仿宋" w:hint="eastAsia"/>
          <w:sz w:val="24"/>
          <w:szCs w:val="24"/>
        </w:rPr>
        <w:t>周小川称</w:t>
      </w:r>
      <w:r w:rsidR="00803A26">
        <w:rPr>
          <w:rFonts w:ascii="仿宋" w:eastAsia="仿宋" w:hAnsi="仿宋" w:hint="eastAsia"/>
          <w:sz w:val="24"/>
          <w:szCs w:val="24"/>
        </w:rPr>
        <w:t>20</w:t>
      </w:r>
      <w:r w:rsidR="00803A26" w:rsidRPr="00803A26">
        <w:rPr>
          <w:rFonts w:ascii="仿宋" w:eastAsia="仿宋" w:hAnsi="仿宋" w:hint="eastAsia"/>
          <w:sz w:val="24"/>
          <w:szCs w:val="24"/>
        </w:rPr>
        <w:t>15年要准确把握、主动适应经济发展新常态，继续实</w:t>
      </w:r>
      <w:r w:rsidR="00803A26">
        <w:rPr>
          <w:rFonts w:ascii="仿宋" w:eastAsia="仿宋" w:hAnsi="仿宋" w:hint="eastAsia"/>
          <w:sz w:val="24"/>
          <w:szCs w:val="24"/>
        </w:rPr>
        <w:t>施稳健货币政策，更加注重松紧适度；要维护金融稳定，防范金融风险；</w:t>
      </w:r>
      <w:r w:rsidR="00803A26" w:rsidRPr="00803A26">
        <w:rPr>
          <w:rFonts w:ascii="仿宋" w:eastAsia="仿宋" w:hAnsi="仿宋" w:hint="eastAsia"/>
          <w:sz w:val="24"/>
          <w:szCs w:val="24"/>
        </w:rPr>
        <w:t>习近平称</w:t>
      </w:r>
      <w:r w:rsidR="00803A26">
        <w:rPr>
          <w:rFonts w:ascii="仿宋" w:eastAsia="仿宋" w:hAnsi="仿宋" w:hint="eastAsia"/>
          <w:sz w:val="24"/>
          <w:szCs w:val="24"/>
        </w:rPr>
        <w:t>2</w:t>
      </w:r>
      <w:r w:rsidR="00803A26">
        <w:rPr>
          <w:rFonts w:ascii="仿宋" w:eastAsia="仿宋" w:hAnsi="仿宋"/>
          <w:sz w:val="24"/>
          <w:szCs w:val="24"/>
        </w:rPr>
        <w:t>0</w:t>
      </w:r>
      <w:r w:rsidR="00803A26" w:rsidRPr="00803A26">
        <w:rPr>
          <w:rFonts w:ascii="仿宋" w:eastAsia="仿宋" w:hAnsi="仿宋" w:hint="eastAsia"/>
          <w:sz w:val="24"/>
          <w:szCs w:val="24"/>
        </w:rPr>
        <w:t>15 年是改革关键之年。要重点提出一些</w:t>
      </w:r>
      <w:proofErr w:type="gramStart"/>
      <w:r w:rsidR="00803A26" w:rsidRPr="00803A26">
        <w:rPr>
          <w:rFonts w:ascii="仿宋" w:eastAsia="仿宋" w:hAnsi="仿宋" w:hint="eastAsia"/>
          <w:sz w:val="24"/>
          <w:szCs w:val="24"/>
        </w:rPr>
        <w:t>起标志</w:t>
      </w:r>
      <w:proofErr w:type="gramEnd"/>
      <w:r w:rsidR="00803A26" w:rsidRPr="00803A26">
        <w:rPr>
          <w:rFonts w:ascii="仿宋" w:eastAsia="仿宋" w:hAnsi="仿宋" w:hint="eastAsia"/>
          <w:sz w:val="24"/>
          <w:szCs w:val="24"/>
        </w:rPr>
        <w:t>性、关联性作用的改革举措，对已出台的具有重大结构支撑作用的改革，要抓紧出台细化实施方案，把提高改革质量放在速度之上。</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803A26" w:rsidRPr="00803A26">
        <w:rPr>
          <w:rFonts w:ascii="仿宋" w:eastAsia="仿宋" w:hAnsi="仿宋" w:hint="eastAsia"/>
          <w:sz w:val="24"/>
          <w:szCs w:val="24"/>
        </w:rPr>
        <w:t>美国PMI低于预期，但是鉴于美国基本面相对好于日本和欧洲，美元指数继续上升，令大宗商品承压。欧洲PMI低预期，除德国PMI小幅上行，法国意大利等国制造业PMI出现下降，德拉</w:t>
      </w:r>
      <w:proofErr w:type="gramStart"/>
      <w:r w:rsidR="00803A26" w:rsidRPr="00803A26">
        <w:rPr>
          <w:rFonts w:ascii="仿宋" w:eastAsia="仿宋" w:hAnsi="仿宋" w:hint="eastAsia"/>
          <w:sz w:val="24"/>
          <w:szCs w:val="24"/>
        </w:rPr>
        <w:t>吉讲话释</w:t>
      </w:r>
      <w:proofErr w:type="gramEnd"/>
      <w:r w:rsidR="00803A26" w:rsidRPr="00803A26">
        <w:rPr>
          <w:rFonts w:ascii="仿宋" w:eastAsia="仿宋" w:hAnsi="仿宋" w:hint="eastAsia"/>
          <w:sz w:val="24"/>
          <w:szCs w:val="24"/>
        </w:rPr>
        <w:t>进一步放宽松信号。本周油价继续下跌，令新兴市场国家继续面临贬值压力。</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8F0E69" w:rsidRPr="008F0E69">
        <w:rPr>
          <w:rFonts w:ascii="仿宋" w:eastAsia="仿宋" w:hAnsi="仿宋" w:hint="eastAsia"/>
          <w:sz w:val="24"/>
          <w:szCs w:val="24"/>
        </w:rPr>
        <w:t>本周中国人民银行继续暂停公开市场操作，亦无正回购</w:t>
      </w:r>
      <w:proofErr w:type="gramStart"/>
      <w:r w:rsidR="008F0E69" w:rsidRPr="008F0E69">
        <w:rPr>
          <w:rFonts w:ascii="仿宋" w:eastAsia="仿宋" w:hAnsi="仿宋" w:hint="eastAsia"/>
          <w:sz w:val="24"/>
          <w:szCs w:val="24"/>
        </w:rPr>
        <w:t>或央票</w:t>
      </w:r>
      <w:proofErr w:type="gramEnd"/>
      <w:r w:rsidR="008F0E69" w:rsidRPr="008F0E69">
        <w:rPr>
          <w:rFonts w:ascii="仿宋" w:eastAsia="仿宋" w:hAnsi="仿宋" w:hint="eastAsia"/>
          <w:sz w:val="24"/>
          <w:szCs w:val="24"/>
        </w:rPr>
        <w:t>到</w:t>
      </w:r>
      <w:r w:rsidR="008F0E69" w:rsidRPr="008F0E69">
        <w:rPr>
          <w:rFonts w:ascii="仿宋" w:eastAsia="仿宋" w:hAnsi="仿宋" w:hint="eastAsia"/>
          <w:sz w:val="24"/>
          <w:szCs w:val="24"/>
        </w:rPr>
        <w:lastRenderedPageBreak/>
        <w:t>期，年末资金</w:t>
      </w:r>
      <w:proofErr w:type="gramStart"/>
      <w:r w:rsidR="008F0E69" w:rsidRPr="008F0E69">
        <w:rPr>
          <w:rFonts w:ascii="仿宋" w:eastAsia="仿宋" w:hAnsi="仿宋" w:hint="eastAsia"/>
          <w:sz w:val="24"/>
          <w:szCs w:val="24"/>
        </w:rPr>
        <w:t>面整体</w:t>
      </w:r>
      <w:proofErr w:type="gramEnd"/>
      <w:r w:rsidR="008F0E69" w:rsidRPr="008F0E69">
        <w:rPr>
          <w:rFonts w:ascii="仿宋" w:eastAsia="仿宋" w:hAnsi="仿宋" w:hint="eastAsia"/>
          <w:sz w:val="24"/>
          <w:szCs w:val="24"/>
        </w:rPr>
        <w:t>偏紧。</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8F0E69" w:rsidRPr="008F0E69">
        <w:rPr>
          <w:rFonts w:ascii="仿宋" w:eastAsia="仿宋" w:hAnsi="仿宋" w:hint="eastAsia"/>
          <w:sz w:val="24"/>
          <w:szCs w:val="24"/>
        </w:rPr>
        <w:t>本周债券各期限收益率涨跌互现。具体而言，国债方面，3个月和1年期收益率分别下行8BP和6BP左右，而3年、5年期品种下行在1~4BP之间，7年期品种上行4BP左右，10年期品种收益率基本持平；政策性金融债方面，3个月和1年期品种利率下行在10~15BP之间，3年期品种走势基本持平， 5年、7年及10年期品种则上行在2~4BP之间；</w:t>
      </w:r>
      <w:proofErr w:type="gramStart"/>
      <w:r w:rsidR="008F0E69" w:rsidRPr="008F0E69">
        <w:rPr>
          <w:rFonts w:ascii="仿宋" w:eastAsia="仿宋" w:hAnsi="仿宋" w:hint="eastAsia"/>
          <w:sz w:val="24"/>
          <w:szCs w:val="24"/>
        </w:rPr>
        <w:t>央票收益率</w:t>
      </w:r>
      <w:proofErr w:type="gramEnd"/>
      <w:r w:rsidR="008F0E69" w:rsidRPr="008F0E69">
        <w:rPr>
          <w:rFonts w:ascii="仿宋" w:eastAsia="仿宋" w:hAnsi="仿宋" w:hint="eastAsia"/>
          <w:sz w:val="24"/>
          <w:szCs w:val="24"/>
        </w:rPr>
        <w:t>普遍呈现下行趋势，本周14天品种收益率下行10BP左右，</w:t>
      </w:r>
      <w:proofErr w:type="gramStart"/>
      <w:r w:rsidR="008F0E69" w:rsidRPr="008F0E69">
        <w:rPr>
          <w:rFonts w:ascii="仿宋" w:eastAsia="仿宋" w:hAnsi="仿宋" w:hint="eastAsia"/>
          <w:sz w:val="24"/>
          <w:szCs w:val="24"/>
        </w:rPr>
        <w:t>1个月央票收益率</w:t>
      </w:r>
      <w:proofErr w:type="gramEnd"/>
      <w:r w:rsidR="008F0E69" w:rsidRPr="008F0E69">
        <w:rPr>
          <w:rFonts w:ascii="仿宋" w:eastAsia="仿宋" w:hAnsi="仿宋" w:hint="eastAsia"/>
          <w:sz w:val="24"/>
          <w:szCs w:val="24"/>
        </w:rPr>
        <w:t>则大幅下行超过30BP，2个月、3个月、6个月以及9个月收益率下行在5~10BP之间，1年、2年以及3年期品种下行幅度在3~4BP左右。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F24CC8">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8F7C33">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A21430">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8F0E69" w:rsidRPr="00567F50" w:rsidTr="008F7C33">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0.7511</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2.9429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2.16%</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2.72%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12.90%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1.85%</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252.39%</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14.57%</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1.2912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2.9262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2.19%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10.78%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24.56%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13.03%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222.34%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14.66%</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3.2246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3.6296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2.16%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11.84%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5.11%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271.28%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17.36%</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0.8166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0.8316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1.53%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8.14%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18.31%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8.88%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-17.21%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-2.52%</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1.0835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1.4955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0.36%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7.56%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11.96%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19.84%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60.07%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7.21%</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1.0814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1.4634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0.35%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7.45%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11.72%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19.35%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55.43%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6.75%</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1.666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-0.42%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7.30%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91.52%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10.76%</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1.3336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1.4126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0.97%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4.98%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16.27%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13.22%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42.38%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6.36%</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1.069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2.30%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57.90%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78.76%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69.15%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18.97%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3.35%</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1.187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1.187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2.15%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54.56%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74.05%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65.09%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18.70%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3.31%</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1.244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1.259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0.48%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57.27%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62.83%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59.49%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26.13%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5.29%</w:t>
            </w:r>
          </w:p>
        </w:tc>
      </w:tr>
      <w:tr w:rsidR="008F0E69" w:rsidRPr="00567F50" w:rsidTr="008F7C33">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0.969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0.969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6.72%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23.28%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21.28%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-3.10%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-0.78%</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1.153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1.264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7.26%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11.62%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15.33%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28.12%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6.51%</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1.315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0.84%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-3.52%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11.82%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14.05%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31.50%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8.07%</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1.356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1.356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2.65%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32.81%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52.87%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45.96%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35.60%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9.74%</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1.318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1.476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16.91%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25.10%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32.31%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51.99%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13.68%</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F0E69" w:rsidRPr="00567F50" w:rsidRDefault="008F0E69" w:rsidP="008F0E69">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1.3</w:t>
            </w:r>
            <w:r w:rsidR="008F7C33">
              <w:t>00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1.455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1.01%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16.77%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24.81%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31.72%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49.68%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13.14%</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1.316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1.316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2.41%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30.95%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49.72%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42.89%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31.60%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8.79%</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1.538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1.628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1.32%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16.16%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F0E69" w:rsidRPr="00CF32F9" w:rsidRDefault="008F0E69" w:rsidP="008F0E69">
            <w:pPr>
              <w:jc w:val="center"/>
            </w:pPr>
            <w:r w:rsidRPr="00CF32F9">
              <w:t>34.91%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38.06%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49.51%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14.82%</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1.178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1.201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0.08%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F0E69" w:rsidRPr="00CF32F9" w:rsidRDefault="008F0E69" w:rsidP="008F0E69">
            <w:pPr>
              <w:jc w:val="center"/>
            </w:pPr>
            <w:r w:rsidRPr="00CF32F9">
              <w:t>-2.40%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20.01%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7.24%</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1.131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1.262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0.80%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10.00%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14.34%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17.39%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28.36%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10.37%</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1.651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1.651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1.85%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42.45%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67.96%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62.66%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65.10%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23.12%</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1.454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1.493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1.68%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24.81%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47.02%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35.56%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50.84%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21.09%</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1.064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0.18%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9.65%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4.63%</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1.052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1.083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9.44%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8.33%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4.02%</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1.053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3.96%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10.04%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F0E69" w:rsidRPr="00CF32F9" w:rsidRDefault="008F0E69" w:rsidP="008F0E69">
            <w:pPr>
              <w:jc w:val="center"/>
            </w:pPr>
            <w:r w:rsidRPr="00CF32F9">
              <w:t>9.92%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5.71%</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1.047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1.089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0.86%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3.68%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9.44%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F0E69" w:rsidRPr="00CF32F9" w:rsidRDefault="008F0E69" w:rsidP="008F0E69">
            <w:pPr>
              <w:jc w:val="center"/>
            </w:pPr>
            <w:r w:rsidRPr="00CF32F9">
              <w:t>9.00%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5.18%</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1.076</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1.218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0.84%</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9.57%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14.09%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17.80%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22.95%</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13.02%</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1.141</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1.141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0.97%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4.30%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16.55%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11.75%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14.10%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8.75%</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1.187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1.187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0.42%</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7.81%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11.35%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16.95%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18.70%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13.19%</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1.179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0.34%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7.67%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11.02%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16.27%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17.90%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12.64%</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1.298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1.298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1.88%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12.97%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25.41%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28.13%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29.80%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21.79%</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1.122</w:t>
            </w:r>
            <w:r w:rsidR="008F7C33">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0.72%</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8.60%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12.31%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17.02%</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17.14%</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16.84%</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F0E69" w:rsidRPr="00567F50" w:rsidRDefault="008F0E69" w:rsidP="008F0E69">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F0E69" w:rsidRPr="00CF32F9" w:rsidRDefault="008F0E69" w:rsidP="008F0E69">
            <w:pPr>
              <w:jc w:val="center"/>
            </w:pPr>
            <w:r w:rsidRPr="00CF32F9">
              <w:t>1.037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1.077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2.65%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5.46%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7.78%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F0E69" w:rsidRPr="00CF32F9" w:rsidRDefault="008F0E69" w:rsidP="008F0E69">
            <w:pPr>
              <w:jc w:val="center"/>
            </w:pPr>
            <w:r w:rsidRPr="00CF32F9">
              <w:t>8.46%</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1.035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1.075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2.46%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5.26%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7.58%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8.23%</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8F0E69" w:rsidRPr="00567F50" w:rsidRDefault="008F0E69" w:rsidP="008F0E69">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8F0E69" w:rsidRPr="00CF32F9" w:rsidRDefault="008F0E69" w:rsidP="008F0E69">
            <w:pPr>
              <w:jc w:val="center"/>
            </w:pPr>
            <w:r w:rsidRPr="00CF32F9">
              <w:t>1.086</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1.086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2.45%</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3.63%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8.17%</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8.60%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13.61%</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8F0E69" w:rsidP="008F0E69">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1.084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1.164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0.84%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9.69%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15.57%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16.38%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28.18%</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8F0E69" w:rsidRPr="00567F50" w:rsidRDefault="008F0E69" w:rsidP="008F0E69">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8F0E69" w:rsidRPr="00CF32F9" w:rsidRDefault="008F0E69" w:rsidP="008F0E69">
            <w:pPr>
              <w:jc w:val="center"/>
            </w:pPr>
            <w:r w:rsidRPr="00CF32F9">
              <w:t>1.022</w:t>
            </w:r>
            <w:r w:rsidR="008F7C33">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1.022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0.39%</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0.89%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2.20%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5.75%</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F0E69" w:rsidRPr="00567F50" w:rsidRDefault="001E2402" w:rsidP="008F0E69">
            <w:pPr>
              <w:jc w:val="center"/>
              <w:rPr>
                <w:rFonts w:ascii="仿宋" w:eastAsia="仿宋" w:hAnsi="仿宋" w:cs="Arial"/>
                <w:b/>
                <w:color w:val="002854"/>
                <w:kern w:val="0"/>
                <w:sz w:val="20"/>
              </w:rPr>
            </w:pPr>
            <w:hyperlink r:id="rId11" w:tgtFrame="_blank" w:history="1">
              <w:r w:rsidR="008F0E69"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F0E69" w:rsidRPr="00CF32F9" w:rsidRDefault="008F0E69" w:rsidP="008F0E69">
            <w:pPr>
              <w:jc w:val="center"/>
            </w:pPr>
            <w:r w:rsidRPr="00CF32F9">
              <w:t>0.982</w:t>
            </w:r>
            <w:r w:rsidR="008F7C33">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0.982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-0.20%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rsidRPr="00CF32F9">
              <w:t>-1.80%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F0E69" w:rsidRPr="00CF32F9" w:rsidRDefault="008F0E69" w:rsidP="008F0E69">
            <w:pPr>
              <w:jc w:val="center"/>
            </w:pPr>
            <w:r>
              <w:t>--</w:t>
            </w:r>
          </w:p>
        </w:tc>
      </w:tr>
      <w:tr w:rsidR="008F0E69"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8F0E69" w:rsidRPr="00567F50" w:rsidRDefault="008F0E69" w:rsidP="008F0E69">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8F0E69" w:rsidRPr="00CF32F9" w:rsidRDefault="008F0E69" w:rsidP="008F0E69">
            <w:pPr>
              <w:jc w:val="center"/>
            </w:pPr>
            <w:r w:rsidRPr="00CF32F9">
              <w:t>0.982</w:t>
            </w:r>
            <w:r w:rsidR="008F7C33">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0.982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-0.20%</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Pr="00CF32F9" w:rsidRDefault="008F0E69" w:rsidP="008F0E69">
            <w:pPr>
              <w:jc w:val="center"/>
            </w:pPr>
            <w:r w:rsidRPr="00CF32F9">
              <w:t>-1.80%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8F0E69" w:rsidRDefault="008F0E69" w:rsidP="008F0E69">
            <w:pPr>
              <w:jc w:val="center"/>
            </w:pPr>
            <w:r>
              <w:t>--</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8F0E69"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8F0E69" w:rsidRPr="00567F50" w:rsidRDefault="008F0E69" w:rsidP="008F0E69">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8F0E69" w:rsidRPr="008F0E69" w:rsidRDefault="008F0E69" w:rsidP="008F0E69">
            <w:pPr>
              <w:jc w:val="center"/>
            </w:pPr>
            <w:r w:rsidRPr="008F0E69">
              <w:rPr>
                <w:rFonts w:hint="eastAsia"/>
              </w:rPr>
              <w:t xml:space="preserve">1.1846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8F0E69" w:rsidRPr="008F0E69" w:rsidRDefault="008F0E69" w:rsidP="008F0E69">
            <w:pPr>
              <w:jc w:val="center"/>
            </w:pPr>
            <w:r w:rsidRPr="008F0E69">
              <w:rPr>
                <w:rFonts w:hint="eastAsia"/>
              </w:rPr>
              <w:t>4.185 %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8F0E69" w:rsidRPr="009476C8" w:rsidRDefault="008F0E69" w:rsidP="008F0E69">
            <w:pPr>
              <w:jc w:val="center"/>
            </w:pPr>
            <w:r w:rsidRPr="002D0CC4">
              <w:rPr>
                <w:rFonts w:hint="eastAsia"/>
              </w:rPr>
              <w:t>--</w:t>
            </w:r>
          </w:p>
        </w:tc>
      </w:tr>
      <w:tr w:rsidR="008F0E69"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F0E69" w:rsidRPr="008F0E69" w:rsidRDefault="008F0E69" w:rsidP="008F0E69">
            <w:pPr>
              <w:jc w:val="center"/>
            </w:pPr>
            <w:r w:rsidRPr="008F0E69">
              <w:rPr>
                <w:rFonts w:hint="eastAsia"/>
              </w:rPr>
              <w:t xml:space="preserve">0.9308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8F0E69" w:rsidRPr="008F0E69" w:rsidRDefault="008F0E69" w:rsidP="008F0E69">
            <w:pPr>
              <w:jc w:val="center"/>
            </w:pPr>
            <w:r w:rsidRPr="008F0E69">
              <w:rPr>
                <w:rFonts w:hint="eastAsia"/>
              </w:rPr>
              <w:t>3.352 %</w:t>
            </w:r>
          </w:p>
        </w:tc>
        <w:tc>
          <w:tcPr>
            <w:tcW w:w="2428" w:type="dxa"/>
            <w:gridSpan w:val="3"/>
            <w:tcBorders>
              <w:top w:val="single" w:sz="2" w:space="0" w:color="001E3E"/>
              <w:left w:val="single" w:sz="4" w:space="0" w:color="AA9678"/>
              <w:bottom w:val="single" w:sz="4" w:space="0" w:color="AA9678"/>
            </w:tcBorders>
            <w:vAlign w:val="center"/>
          </w:tcPr>
          <w:p w:rsidR="008F0E69" w:rsidRPr="009476C8" w:rsidRDefault="008F0E69" w:rsidP="008F0E69">
            <w:pPr>
              <w:jc w:val="center"/>
            </w:pPr>
            <w:r w:rsidRPr="002D0CC4">
              <w:rPr>
                <w:rFonts w:hint="eastAsia"/>
              </w:rPr>
              <w:t>--</w:t>
            </w:r>
          </w:p>
        </w:tc>
      </w:tr>
      <w:tr w:rsidR="008F0E69"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F0E69" w:rsidRPr="008F0E69" w:rsidRDefault="008F0E69" w:rsidP="008F0E69">
            <w:pPr>
              <w:jc w:val="center"/>
            </w:pPr>
            <w:r w:rsidRPr="008F0E69">
              <w:rPr>
                <w:rFonts w:hint="eastAsia"/>
              </w:rPr>
              <w:t xml:space="preserve">0.9973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F0E69" w:rsidRPr="008F0E69" w:rsidRDefault="008F0E69" w:rsidP="008F0E69">
            <w:pPr>
              <w:jc w:val="center"/>
            </w:pPr>
            <w:r w:rsidRPr="008F0E69">
              <w:rPr>
                <w:rFonts w:hint="eastAsia"/>
              </w:rPr>
              <w:t>3.594 %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F0E69" w:rsidRPr="009476C8" w:rsidRDefault="008F0E69" w:rsidP="008F0E69">
            <w:pPr>
              <w:jc w:val="center"/>
            </w:pPr>
            <w:r w:rsidRPr="002D0CC4">
              <w:rPr>
                <w:rFonts w:hint="eastAsia"/>
              </w:rPr>
              <w:t>--</w:t>
            </w:r>
          </w:p>
        </w:tc>
      </w:tr>
      <w:tr w:rsidR="008F0E69"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F0E69" w:rsidRPr="008F0E69" w:rsidRDefault="008F0E69" w:rsidP="008F0E69">
            <w:pPr>
              <w:jc w:val="center"/>
            </w:pPr>
            <w:r w:rsidRPr="008F0E69">
              <w:rPr>
                <w:rFonts w:hint="eastAsia"/>
              </w:rPr>
              <w:t xml:space="preserve">0.7869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8F0E69" w:rsidRPr="008F0E69" w:rsidRDefault="008F0E69" w:rsidP="008F0E69">
            <w:pPr>
              <w:jc w:val="center"/>
            </w:pPr>
            <w:r w:rsidRPr="008F0E69">
              <w:rPr>
                <w:rFonts w:hint="eastAsia"/>
              </w:rPr>
              <w:t xml:space="preserve">3.099 % </w:t>
            </w:r>
          </w:p>
        </w:tc>
        <w:tc>
          <w:tcPr>
            <w:tcW w:w="2428" w:type="dxa"/>
            <w:gridSpan w:val="3"/>
            <w:tcBorders>
              <w:top w:val="single" w:sz="4" w:space="0" w:color="AA9678"/>
              <w:left w:val="single" w:sz="4" w:space="0" w:color="AA9678"/>
              <w:bottom w:val="single" w:sz="4" w:space="0" w:color="AA9678"/>
            </w:tcBorders>
            <w:vAlign w:val="center"/>
          </w:tcPr>
          <w:p w:rsidR="008F0E69" w:rsidRPr="008F0E69" w:rsidRDefault="008F0E69" w:rsidP="008F0E69">
            <w:pPr>
              <w:jc w:val="center"/>
            </w:pPr>
            <w:r w:rsidRPr="008F0E69">
              <w:rPr>
                <w:rFonts w:hint="eastAsia"/>
              </w:rPr>
              <w:t xml:space="preserve">3.174% </w:t>
            </w:r>
          </w:p>
        </w:tc>
      </w:tr>
      <w:tr w:rsidR="008F0E69"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F0E69" w:rsidRPr="008F0E69" w:rsidRDefault="008F0E69" w:rsidP="008F0E69">
            <w:pPr>
              <w:jc w:val="center"/>
            </w:pPr>
            <w:r w:rsidRPr="008F0E69">
              <w:rPr>
                <w:rFonts w:hint="eastAsia"/>
              </w:rPr>
              <w:t xml:space="preserve">0.8669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F0E69" w:rsidRPr="008F0E69" w:rsidRDefault="008F0E69" w:rsidP="008F0E69">
            <w:pPr>
              <w:jc w:val="center"/>
            </w:pPr>
            <w:r w:rsidRPr="008F0E69">
              <w:rPr>
                <w:rFonts w:hint="eastAsia"/>
              </w:rPr>
              <w:t xml:space="preserve">3.390 %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F0E69" w:rsidRPr="008F0E69" w:rsidRDefault="008F0E69" w:rsidP="008F0E69">
            <w:pPr>
              <w:jc w:val="center"/>
            </w:pPr>
            <w:r w:rsidRPr="008F0E69">
              <w:rPr>
                <w:rFonts w:hint="eastAsia"/>
              </w:rPr>
              <w:t xml:space="preserve">3.465% </w:t>
            </w:r>
          </w:p>
        </w:tc>
      </w:tr>
      <w:tr w:rsidR="008F0E69"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F0E69" w:rsidRPr="008F0E69" w:rsidRDefault="008F0E69" w:rsidP="008F0E69">
            <w:pPr>
              <w:jc w:val="center"/>
            </w:pPr>
            <w:r w:rsidRPr="008F0E69">
              <w:rPr>
                <w:rFonts w:hint="eastAsia"/>
              </w:rPr>
              <w:t xml:space="preserve">1.1113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8F0E69" w:rsidRPr="008F0E69" w:rsidRDefault="008F0E69" w:rsidP="008F0E69">
            <w:pPr>
              <w:jc w:val="center"/>
            </w:pPr>
            <w:r w:rsidRPr="008F0E69">
              <w:rPr>
                <w:rFonts w:hint="eastAsia"/>
              </w:rPr>
              <w:t xml:space="preserve">4.534 %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8F0E69" w:rsidRPr="008F0E69" w:rsidRDefault="008F0E69" w:rsidP="008F0E69">
            <w:pPr>
              <w:jc w:val="center"/>
            </w:pPr>
            <w:r w:rsidRPr="008F0E69">
              <w:rPr>
                <w:rFonts w:hint="eastAsia"/>
              </w:rPr>
              <w:t xml:space="preserve">4.651% </w:t>
            </w:r>
          </w:p>
        </w:tc>
      </w:tr>
      <w:tr w:rsidR="008F0E69"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F0E69" w:rsidRPr="00567F50" w:rsidRDefault="008F0E69" w:rsidP="008F0E6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F0E69" w:rsidRPr="008F0E69" w:rsidRDefault="008F0E69" w:rsidP="008F0E69">
            <w:pPr>
              <w:jc w:val="center"/>
            </w:pPr>
            <w:r w:rsidRPr="008F0E69">
              <w:rPr>
                <w:rFonts w:hint="eastAsia"/>
              </w:rPr>
              <w:t xml:space="preserve">1.1908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F0E69" w:rsidRPr="008F0E69" w:rsidRDefault="008F0E69" w:rsidP="008F0E69">
            <w:pPr>
              <w:jc w:val="center"/>
            </w:pPr>
            <w:r w:rsidRPr="008F0E69">
              <w:rPr>
                <w:rFonts w:hint="eastAsia"/>
              </w:rPr>
              <w:t xml:space="preserve">4.824 %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F0E69" w:rsidRPr="008F0E69" w:rsidRDefault="008F0E69" w:rsidP="008F0E69">
            <w:pPr>
              <w:jc w:val="center"/>
            </w:pPr>
            <w:r w:rsidRPr="008F0E69">
              <w:rPr>
                <w:rFonts w:hint="eastAsia"/>
              </w:rPr>
              <w:t xml:space="preserve">4.109%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w:t>
      </w:r>
      <w:proofErr w:type="gramStart"/>
      <w:r w:rsidRPr="00A94D2A">
        <w:rPr>
          <w:rFonts w:ascii="仿宋" w:eastAsia="仿宋" w:hAnsi="仿宋" w:hint="eastAsia"/>
          <w:color w:val="808080"/>
          <w:sz w:val="15"/>
          <w:szCs w:val="15"/>
        </w:rPr>
        <w:t>交银施罗</w:t>
      </w:r>
      <w:proofErr w:type="gramEnd"/>
      <w:r w:rsidRPr="00A94D2A">
        <w:rPr>
          <w:rFonts w:ascii="仿宋" w:eastAsia="仿宋" w:hAnsi="仿宋" w:hint="eastAsia"/>
          <w:color w:val="808080"/>
          <w:sz w:val="15"/>
          <w:szCs w:val="15"/>
        </w:rPr>
        <w:t>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D07EE2">
        <w:rPr>
          <w:rFonts w:ascii="仿宋" w:eastAsia="仿宋" w:hAnsi="仿宋" w:hint="eastAsia"/>
          <w:color w:val="808080"/>
          <w:sz w:val="15"/>
          <w:szCs w:val="15"/>
        </w:rPr>
        <w:t>2</w:t>
      </w:r>
      <w:r w:rsidRPr="00A94D2A">
        <w:rPr>
          <w:rFonts w:ascii="仿宋" w:eastAsia="仿宋" w:hAnsi="仿宋" w:hint="eastAsia"/>
          <w:color w:val="808080"/>
          <w:sz w:val="15"/>
          <w:szCs w:val="15"/>
        </w:rPr>
        <w:t>月</w:t>
      </w:r>
      <w:r w:rsidR="008F0E69">
        <w:rPr>
          <w:rFonts w:ascii="仿宋" w:eastAsia="仿宋" w:hAnsi="仿宋"/>
          <w:color w:val="808080"/>
          <w:sz w:val="15"/>
          <w:szCs w:val="15"/>
        </w:rPr>
        <w:t>31</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D07EE2">
        <w:rPr>
          <w:rFonts w:ascii="仿宋" w:eastAsia="仿宋" w:hAnsi="仿宋"/>
          <w:color w:val="808080"/>
          <w:sz w:val="15"/>
          <w:szCs w:val="15"/>
        </w:rPr>
        <w:t>2</w:t>
      </w:r>
      <w:r w:rsidR="000661EB" w:rsidRPr="00A94D2A">
        <w:rPr>
          <w:rFonts w:ascii="仿宋" w:eastAsia="仿宋" w:hAnsi="仿宋" w:hint="eastAsia"/>
          <w:color w:val="808080"/>
          <w:sz w:val="15"/>
          <w:szCs w:val="15"/>
        </w:rPr>
        <w:t>月</w:t>
      </w:r>
      <w:r w:rsidR="008F0E69">
        <w:rPr>
          <w:rFonts w:ascii="仿宋" w:eastAsia="仿宋" w:hAnsi="仿宋"/>
          <w:color w:val="808080"/>
          <w:sz w:val="15"/>
          <w:szCs w:val="15"/>
        </w:rPr>
        <w:t>30</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02" w:rsidRDefault="001E2402" w:rsidP="000E7112">
      <w:r>
        <w:separator/>
      </w:r>
    </w:p>
  </w:endnote>
  <w:endnote w:type="continuationSeparator" w:id="0">
    <w:p w:rsidR="001E2402" w:rsidRDefault="001E2402"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14" w:rsidRDefault="005E7914" w:rsidP="00210641">
    <w:pPr>
      <w:pStyle w:val="a3"/>
    </w:pPr>
  </w:p>
  <w:p w:rsidR="005E7914" w:rsidRDefault="005E7914"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E7914" w:rsidRDefault="005E7914"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B95302">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B95302">
      <w:rPr>
        <w:b/>
        <w:noProof/>
        <w:color w:val="7F7F7F"/>
      </w:rPr>
      <w:t>8</w:t>
    </w:r>
    <w:r w:rsidRPr="006A5CE8">
      <w:rPr>
        <w:b/>
        <w:color w:val="7F7F7F"/>
        <w:sz w:val="24"/>
        <w:szCs w:val="24"/>
      </w:rPr>
      <w:fldChar w:fldCharType="end"/>
    </w:r>
  </w:p>
  <w:p w:rsidR="005E7914" w:rsidRDefault="005E7914" w:rsidP="00210641">
    <w:pPr>
      <w:pStyle w:val="a3"/>
    </w:pPr>
  </w:p>
  <w:p w:rsidR="005E7914" w:rsidRDefault="005E7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02" w:rsidRDefault="001E2402" w:rsidP="000E7112">
      <w:r>
        <w:separator/>
      </w:r>
    </w:p>
  </w:footnote>
  <w:footnote w:type="continuationSeparator" w:id="0">
    <w:p w:rsidR="001E2402" w:rsidRDefault="001E2402"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14" w:rsidRDefault="005E7914"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E7914" w:rsidRPr="009830F8" w:rsidRDefault="005E7914">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4</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5E7914" w:rsidRPr="009830F8" w:rsidRDefault="005E7914">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4</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5E7914" w:rsidRDefault="005E7914" w:rsidP="00761FFD">
    <w:pPr>
      <w:pStyle w:val="a3"/>
      <w:ind w:rightChars="-857" w:right="-1800"/>
    </w:pPr>
  </w:p>
  <w:p w:rsidR="005E7914" w:rsidRDefault="005E7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14" w:rsidRDefault="005E7914" w:rsidP="00655522">
    <w:pPr>
      <w:pStyle w:val="a3"/>
      <w:ind w:rightChars="-857" w:right="-1800"/>
      <w:rPr>
        <w:noProof/>
      </w:rPr>
    </w:pPr>
  </w:p>
  <w:p w:rsidR="005E7914" w:rsidRDefault="005E7914"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E7914" w:rsidRPr="004F0FD3" w:rsidRDefault="005E7914"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4</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5E7914" w:rsidRPr="004F0FD3" w:rsidRDefault="005E7914"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4</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5E7914" w:rsidRDefault="005E79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1F4"/>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0E69"/>
    <w:rsid w:val="008F1175"/>
    <w:rsid w:val="008F20B3"/>
    <w:rsid w:val="008F334D"/>
    <w:rsid w:val="008F3BFB"/>
    <w:rsid w:val="008F3E51"/>
    <w:rsid w:val="008F448C"/>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5ABC-967D-4331-AF59-CEAC5B1D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1017</Words>
  <Characters>5803</Characters>
  <Application>Microsoft Office Word</Application>
  <DocSecurity>0</DocSecurity>
  <Lines>48</Lines>
  <Paragraphs>13</Paragraphs>
  <ScaleCrop>false</ScaleCrop>
  <Company>Microsoft</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7</cp:revision>
  <cp:lastPrinted>2015-01-05T07:11:00Z</cp:lastPrinted>
  <dcterms:created xsi:type="dcterms:W3CDTF">2015-01-05T06:14:00Z</dcterms:created>
  <dcterms:modified xsi:type="dcterms:W3CDTF">2015-01-05T07:14:00Z</dcterms:modified>
</cp:coreProperties>
</file>