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E8" w:rsidRDefault="006A5CE8">
      <w:pPr>
        <w:rPr>
          <w:rFonts w:ascii="仿宋" w:eastAsia="仿宋" w:hAnsi="仿宋"/>
        </w:rPr>
      </w:pPr>
    </w:p>
    <w:p w:rsidR="00A5656C" w:rsidRDefault="00A5656C">
      <w:pPr>
        <w:rPr>
          <w:rFonts w:ascii="仿宋" w:eastAsia="仿宋" w:hAnsi="仿宋"/>
        </w:rPr>
      </w:pPr>
    </w:p>
    <w:p w:rsidR="00A5656C" w:rsidRPr="00A64CAA" w:rsidRDefault="00A5656C">
      <w:pPr>
        <w:rPr>
          <w:rFonts w:ascii="仿宋" w:eastAsia="仿宋" w:hAnsi="仿宋"/>
        </w:rPr>
      </w:pPr>
    </w:p>
    <w:p w:rsidR="006A5CE8" w:rsidRPr="00A64CAA" w:rsidRDefault="006A5CE8">
      <w:pPr>
        <w:rPr>
          <w:rFonts w:ascii="仿宋" w:eastAsia="仿宋" w:hAnsi="仿宋"/>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5"/>
        <w:gridCol w:w="294"/>
        <w:gridCol w:w="295"/>
      </w:tblGrid>
      <w:tr w:rsidR="00B7035E" w:rsidRPr="00A64CAA" w:rsidTr="008C27B7">
        <w:trPr>
          <w:trHeight w:val="2955"/>
          <w:jc w:val="center"/>
        </w:trPr>
        <w:tc>
          <w:tcPr>
            <w:tcW w:w="9925" w:type="dxa"/>
            <w:tcBorders>
              <w:top w:val="single" w:sz="4" w:space="0" w:color="FFFFFF"/>
              <w:left w:val="single" w:sz="4" w:space="0" w:color="FFFFFF"/>
              <w:bottom w:val="single" w:sz="4" w:space="0" w:color="FFFFFF"/>
              <w:right w:val="single" w:sz="4" w:space="0" w:color="FFFFFF"/>
            </w:tcBorders>
            <w:shd w:val="clear" w:color="auto" w:fill="FFFFFF"/>
          </w:tcPr>
          <w:p w:rsidR="00B7035E" w:rsidRPr="00A64CAA" w:rsidRDefault="008C6BBF" w:rsidP="008C6BBF">
            <w:pPr>
              <w:tabs>
                <w:tab w:val="left" w:pos="6940"/>
              </w:tabs>
              <w:snapToGrid w:val="0"/>
              <w:ind w:leftChars="472" w:left="991" w:rightChars="20" w:right="42"/>
              <w:rPr>
                <w:rFonts w:ascii="仿宋" w:eastAsia="仿宋" w:hAnsi="仿宋"/>
                <w:b/>
                <w:color w:val="004186"/>
                <w:sz w:val="52"/>
                <w:szCs w:val="52"/>
              </w:rPr>
            </w:pPr>
            <w:r>
              <w:rPr>
                <w:rFonts w:ascii="仿宋" w:eastAsia="仿宋" w:hAnsi="仿宋"/>
                <w:b/>
                <w:color w:val="004186"/>
                <w:sz w:val="52"/>
                <w:szCs w:val="52"/>
              </w:rPr>
              <w:tab/>
            </w:r>
          </w:p>
          <w:p w:rsidR="00B4206A" w:rsidRPr="00044B1D" w:rsidRDefault="0000206D" w:rsidP="00044B1D">
            <w:pPr>
              <w:snapToGrid w:val="0"/>
              <w:ind w:rightChars="20" w:right="42"/>
              <w:jc w:val="right"/>
              <w:rPr>
                <w:rFonts w:ascii="仿宋" w:eastAsia="仿宋" w:hAnsi="仿宋"/>
                <w:b/>
                <w:bCs/>
                <w:color w:val="082F6B"/>
                <w:sz w:val="72"/>
                <w:szCs w:val="72"/>
              </w:rPr>
            </w:pPr>
            <w:r>
              <w:rPr>
                <w:rFonts w:ascii="仿宋" w:eastAsia="仿宋" w:hAnsi="仿宋"/>
                <w:b/>
                <w:color w:val="004186"/>
                <w:sz w:val="52"/>
                <w:szCs w:val="52"/>
              </w:rPr>
              <w:tab/>
            </w:r>
            <w:r w:rsidR="001B4D09" w:rsidRPr="001B4D09">
              <w:rPr>
                <w:rFonts w:ascii="仿宋" w:eastAsia="仿宋" w:hAnsi="仿宋" w:hint="eastAsia"/>
                <w:b/>
                <w:bCs/>
                <w:color w:val="082F6B"/>
                <w:sz w:val="56"/>
                <w:szCs w:val="72"/>
              </w:rPr>
              <w:t>2015</w:t>
            </w:r>
            <w:r w:rsidR="001B4D09">
              <w:rPr>
                <w:rFonts w:ascii="仿宋" w:eastAsia="仿宋" w:hAnsi="仿宋" w:hint="eastAsia"/>
                <w:b/>
                <w:bCs/>
                <w:color w:val="082F6B"/>
                <w:sz w:val="56"/>
                <w:szCs w:val="72"/>
              </w:rPr>
              <w:t>年度宏观策略展望</w:t>
            </w:r>
          </w:p>
          <w:p w:rsidR="00B7035E" w:rsidRPr="00B4206A" w:rsidRDefault="00B7035E" w:rsidP="0000206D">
            <w:pPr>
              <w:tabs>
                <w:tab w:val="left" w:pos="4608"/>
              </w:tabs>
              <w:snapToGrid w:val="0"/>
              <w:ind w:leftChars="472" w:left="991" w:rightChars="20" w:right="42"/>
              <w:rPr>
                <w:rFonts w:ascii="仿宋" w:eastAsia="仿宋" w:hAnsi="仿宋"/>
                <w:b/>
                <w:color w:val="004186"/>
                <w:sz w:val="52"/>
                <w:szCs w:val="52"/>
              </w:rPr>
            </w:pPr>
          </w:p>
          <w:p w:rsidR="004424BF" w:rsidRDefault="004424BF" w:rsidP="00274C7A">
            <w:pPr>
              <w:snapToGrid w:val="0"/>
              <w:ind w:rightChars="20" w:right="42"/>
              <w:jc w:val="right"/>
              <w:rPr>
                <w:rFonts w:ascii="仿宋" w:eastAsia="仿宋" w:hAnsi="仿宋"/>
                <w:b/>
                <w:color w:val="AA9678"/>
                <w:sz w:val="52"/>
                <w:szCs w:val="52"/>
              </w:rPr>
            </w:pPr>
          </w:p>
          <w:p w:rsidR="00C941BA" w:rsidRPr="00A64CAA" w:rsidRDefault="00C941BA" w:rsidP="00274C7A">
            <w:pPr>
              <w:snapToGrid w:val="0"/>
              <w:ind w:rightChars="20" w:right="42"/>
              <w:jc w:val="right"/>
              <w:rPr>
                <w:rFonts w:ascii="仿宋" w:eastAsia="仿宋" w:hAnsi="仿宋"/>
                <w:b/>
                <w:color w:val="AA9678"/>
                <w:sz w:val="52"/>
                <w:szCs w:val="52"/>
              </w:rPr>
            </w:pPr>
          </w:p>
          <w:p w:rsidR="00436881" w:rsidRDefault="00B7035E" w:rsidP="008C27B7">
            <w:pPr>
              <w:snapToGrid w:val="0"/>
              <w:spacing w:line="276" w:lineRule="auto"/>
              <w:ind w:leftChars="472" w:left="991" w:rightChars="20" w:right="42"/>
              <w:jc w:val="right"/>
              <w:rPr>
                <w:rFonts w:ascii="仿宋" w:eastAsia="仿宋" w:hAnsi="仿宋"/>
                <w:b/>
                <w:color w:val="082F6B"/>
                <w:sz w:val="52"/>
                <w:szCs w:val="52"/>
              </w:rPr>
            </w:pPr>
            <w:r w:rsidRPr="00A64CAA">
              <w:rPr>
                <w:rFonts w:ascii="仿宋" w:eastAsia="仿宋" w:hAnsi="仿宋" w:hint="eastAsia"/>
                <w:b/>
                <w:color w:val="082F6B"/>
                <w:sz w:val="52"/>
                <w:szCs w:val="52"/>
              </w:rPr>
              <w:t>股票市场运行周报</w:t>
            </w:r>
          </w:p>
          <w:p w:rsidR="00B7035E" w:rsidRPr="00A64CAA" w:rsidRDefault="00AF56D9" w:rsidP="00AF56D9">
            <w:pPr>
              <w:snapToGrid w:val="0"/>
              <w:spacing w:line="276" w:lineRule="auto"/>
              <w:ind w:leftChars="472" w:left="991" w:rightChars="20" w:right="42"/>
              <w:jc w:val="right"/>
              <w:rPr>
                <w:rFonts w:ascii="仿宋" w:eastAsia="仿宋" w:hAnsi="仿宋"/>
                <w:b/>
                <w:color w:val="4F81BD"/>
                <w:sz w:val="32"/>
                <w:szCs w:val="32"/>
              </w:rPr>
            </w:pPr>
            <w:r>
              <w:rPr>
                <w:rFonts w:ascii="仿宋" w:eastAsia="仿宋" w:hAnsi="仿宋" w:hint="eastAsia"/>
                <w:b/>
                <w:color w:val="082F6B"/>
                <w:sz w:val="52"/>
                <w:szCs w:val="52"/>
              </w:rPr>
              <w:t>宏观经济</w:t>
            </w:r>
            <w:r w:rsidR="00EA4F19">
              <w:rPr>
                <w:rFonts w:ascii="仿宋" w:eastAsia="仿宋" w:hAnsi="仿宋" w:hint="eastAsia"/>
                <w:b/>
                <w:color w:val="082F6B"/>
                <w:sz w:val="52"/>
                <w:szCs w:val="52"/>
              </w:rPr>
              <w:t>与</w:t>
            </w:r>
            <w:r w:rsidR="00EA4F19">
              <w:rPr>
                <w:rFonts w:ascii="仿宋" w:eastAsia="仿宋" w:hAnsi="仿宋"/>
                <w:b/>
                <w:color w:val="082F6B"/>
                <w:sz w:val="52"/>
                <w:szCs w:val="52"/>
              </w:rPr>
              <w:t>债券市场</w:t>
            </w:r>
            <w:r w:rsidR="00B7035E" w:rsidRPr="00A64CAA">
              <w:rPr>
                <w:rFonts w:ascii="仿宋" w:eastAsia="仿宋" w:hAnsi="仿宋" w:hint="eastAsia"/>
                <w:b/>
                <w:color w:val="082F6B"/>
                <w:sz w:val="52"/>
                <w:szCs w:val="52"/>
              </w:rPr>
              <w:br/>
              <w:t>旗下基金表现</w:t>
            </w:r>
          </w:p>
        </w:tc>
        <w:tc>
          <w:tcPr>
            <w:tcW w:w="294" w:type="dxa"/>
            <w:tcBorders>
              <w:top w:val="single" w:sz="4" w:space="0" w:color="FFFFFF"/>
              <w:left w:val="single" w:sz="4" w:space="0" w:color="FFFFFF"/>
              <w:bottom w:val="single" w:sz="4" w:space="0" w:color="FFFFFF"/>
              <w:right w:val="single" w:sz="36" w:space="0" w:color="0088CC"/>
            </w:tcBorders>
            <w:shd w:val="clear" w:color="auto" w:fill="FFFFFF"/>
          </w:tcPr>
          <w:p w:rsidR="00B7035E" w:rsidRPr="00A64CAA" w:rsidRDefault="00B7035E" w:rsidP="00EA6C53">
            <w:pPr>
              <w:snapToGrid w:val="0"/>
              <w:ind w:rightChars="20" w:right="42"/>
              <w:jc w:val="right"/>
              <w:rPr>
                <w:rFonts w:ascii="仿宋" w:eastAsia="仿宋" w:hAnsi="仿宋"/>
                <w:b/>
                <w:color w:val="000080"/>
                <w:sz w:val="32"/>
                <w:szCs w:val="32"/>
              </w:rPr>
            </w:pPr>
          </w:p>
        </w:tc>
        <w:tc>
          <w:tcPr>
            <w:tcW w:w="295" w:type="dxa"/>
            <w:tcBorders>
              <w:top w:val="single" w:sz="4" w:space="0" w:color="FFFFFF"/>
              <w:left w:val="single" w:sz="36" w:space="0" w:color="0088CC"/>
              <w:bottom w:val="single" w:sz="4" w:space="0" w:color="FFFFFF"/>
              <w:right w:val="single" w:sz="4" w:space="0" w:color="FFFFFF"/>
            </w:tcBorders>
            <w:shd w:val="clear" w:color="auto" w:fill="FFFFFF"/>
          </w:tcPr>
          <w:p w:rsidR="00B7035E" w:rsidRPr="00A64CAA" w:rsidRDefault="00B7035E" w:rsidP="00274C7A">
            <w:pPr>
              <w:ind w:rightChars="20" w:right="42"/>
              <w:jc w:val="right"/>
              <w:rPr>
                <w:rFonts w:ascii="仿宋" w:eastAsia="仿宋" w:hAnsi="仿宋"/>
                <w:b/>
                <w:color w:val="000080"/>
                <w:sz w:val="32"/>
                <w:szCs w:val="32"/>
              </w:rPr>
            </w:pPr>
          </w:p>
        </w:tc>
      </w:tr>
    </w:tbl>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31859" w:rsidRDefault="004211D0" w:rsidP="00D00874">
      <w:pPr>
        <w:spacing w:before="240"/>
        <w:ind w:leftChars="472" w:left="991" w:rightChars="404" w:right="848" w:firstLine="269"/>
        <w:jc w:val="left"/>
        <w:rPr>
          <w:rFonts w:ascii="仿宋" w:eastAsia="仿宋" w:hAnsi="仿宋"/>
          <w:b/>
          <w:noProof/>
          <w:color w:val="000080"/>
          <w:sz w:val="32"/>
          <w:szCs w:val="32"/>
        </w:rPr>
      </w:pPr>
      <w:r>
        <w:rPr>
          <w:rFonts w:ascii="仿宋" w:eastAsia="仿宋" w:hAnsi="仿宋"/>
          <w:b/>
          <w:noProof/>
          <w:color w:val="000080"/>
          <w:sz w:val="32"/>
          <w:szCs w:val="32"/>
        </w:rPr>
        <w:br w:type="page"/>
      </w:r>
    </w:p>
    <w:p w:rsidR="00A15EDE" w:rsidRPr="003C7E23" w:rsidRDefault="00C61E9D" w:rsidP="003C7E23">
      <w:pPr>
        <w:spacing w:before="240"/>
        <w:ind w:leftChars="472" w:left="991" w:rightChars="404" w:right="848" w:firstLine="269"/>
        <w:jc w:val="left"/>
        <w:rPr>
          <w:rFonts w:ascii="仿宋" w:eastAsia="仿宋" w:hAnsi="仿宋"/>
          <w:b/>
          <w:noProof/>
          <w:color w:val="000080"/>
          <w:sz w:val="32"/>
          <w:szCs w:val="32"/>
        </w:rPr>
      </w:pPr>
      <w:r>
        <w:rPr>
          <w:noProof/>
        </w:rPr>
        <w:lastRenderedPageBreak/>
        <w:drawing>
          <wp:anchor distT="0" distB="0" distL="114300" distR="114300" simplePos="0" relativeHeight="251657728" behindDoc="0" locked="0" layoutInCell="1" allowOverlap="1">
            <wp:simplePos x="0" y="0"/>
            <wp:positionH relativeFrom="column">
              <wp:posOffset>5374861</wp:posOffset>
            </wp:positionH>
            <wp:positionV relativeFrom="paragraph">
              <wp:posOffset>442</wp:posOffset>
            </wp:positionV>
            <wp:extent cx="1581150" cy="447675"/>
            <wp:effectExtent l="19050" t="0" r="0" b="0"/>
            <wp:wrapSquare wrapText="left"/>
            <wp:docPr id="9"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8"/>
                    <a:srcRect/>
                    <a:stretch>
                      <a:fillRect/>
                    </a:stretch>
                  </pic:blipFill>
                  <pic:spPr bwMode="auto">
                    <a:xfrm>
                      <a:off x="0" y="0"/>
                      <a:ext cx="1581150" cy="447675"/>
                    </a:xfrm>
                    <a:prstGeom prst="rect">
                      <a:avLst/>
                    </a:prstGeom>
                    <a:noFill/>
                    <a:ln w="9525">
                      <a:noFill/>
                      <a:miter lim="800000"/>
                      <a:headEnd/>
                      <a:tailEnd/>
                    </a:ln>
                  </pic:spPr>
                </pic:pic>
              </a:graphicData>
            </a:graphic>
          </wp:anchor>
        </w:drawing>
      </w:r>
    </w:p>
    <w:p w:rsidR="001B4D09" w:rsidRDefault="001B4D09" w:rsidP="000B465D">
      <w:pPr>
        <w:spacing w:before="240" w:line="324" w:lineRule="auto"/>
        <w:ind w:leftChars="1080" w:left="2268" w:rightChars="471" w:right="989"/>
        <w:jc w:val="left"/>
        <w:rPr>
          <w:rFonts w:ascii="仿宋" w:eastAsia="仿宋" w:hAnsi="仿宋"/>
          <w:b/>
          <w:color w:val="082F6B"/>
          <w:sz w:val="44"/>
          <w:szCs w:val="44"/>
        </w:rPr>
      </w:pPr>
    </w:p>
    <w:p w:rsidR="00B4206A" w:rsidRPr="000B465D" w:rsidRDefault="001B4D09" w:rsidP="001B4D09">
      <w:pPr>
        <w:spacing w:before="240" w:afterLines="50" w:after="156" w:line="324" w:lineRule="auto"/>
        <w:ind w:leftChars="1080" w:left="2268" w:rightChars="471" w:right="989"/>
        <w:jc w:val="left"/>
        <w:rPr>
          <w:rFonts w:ascii="仿宋" w:eastAsia="仿宋" w:hAnsi="仿宋"/>
          <w:b/>
          <w:color w:val="082F6B"/>
          <w:sz w:val="44"/>
          <w:szCs w:val="44"/>
        </w:rPr>
      </w:pPr>
      <w:r w:rsidRPr="001B4D09">
        <w:rPr>
          <w:rFonts w:ascii="仿宋" w:eastAsia="仿宋" w:hAnsi="仿宋" w:hint="eastAsia"/>
          <w:b/>
          <w:color w:val="082F6B"/>
          <w:sz w:val="44"/>
          <w:szCs w:val="44"/>
        </w:rPr>
        <w:t>2015</w:t>
      </w:r>
      <w:r>
        <w:rPr>
          <w:rFonts w:ascii="仿宋" w:eastAsia="仿宋" w:hAnsi="仿宋" w:hint="eastAsia"/>
          <w:b/>
          <w:color w:val="082F6B"/>
          <w:sz w:val="44"/>
          <w:szCs w:val="44"/>
        </w:rPr>
        <w:t>年度宏观策略展望</w:t>
      </w:r>
    </w:p>
    <w:p w:rsidR="001B4D09" w:rsidRPr="001B4D09" w:rsidRDefault="001B4D09" w:rsidP="001B4D09">
      <w:pPr>
        <w:adjustRightInd w:val="0"/>
        <w:snapToGrid w:val="0"/>
        <w:spacing w:line="324" w:lineRule="auto"/>
        <w:ind w:leftChars="1080" w:left="2268" w:rightChars="471" w:right="989"/>
        <w:jc w:val="left"/>
        <w:rPr>
          <w:rFonts w:ascii="仿宋" w:eastAsia="仿宋" w:hAnsi="仿宋" w:hint="eastAsia"/>
          <w:b/>
          <w:color w:val="082F6B"/>
          <w:sz w:val="24"/>
          <w:szCs w:val="44"/>
        </w:rPr>
      </w:pPr>
      <w:r w:rsidRPr="001B4D09">
        <w:rPr>
          <w:rFonts w:ascii="仿宋" w:eastAsia="仿宋" w:hAnsi="仿宋" w:hint="eastAsia"/>
          <w:b/>
          <w:color w:val="082F6B"/>
          <w:sz w:val="24"/>
          <w:szCs w:val="44"/>
        </w:rPr>
        <w:t>国内经济与流动性展望</w:t>
      </w:r>
    </w:p>
    <w:p w:rsidR="001B4D09" w:rsidRPr="001B4D09" w:rsidRDefault="001B4D09" w:rsidP="001B4D09">
      <w:pPr>
        <w:pStyle w:val="ae"/>
        <w:numPr>
          <w:ilvl w:val="0"/>
          <w:numId w:val="18"/>
        </w:numPr>
        <w:adjustRightInd w:val="0"/>
        <w:snapToGrid w:val="0"/>
        <w:spacing w:line="324" w:lineRule="auto"/>
        <w:ind w:rightChars="471" w:right="989" w:firstLineChars="0"/>
        <w:jc w:val="left"/>
        <w:rPr>
          <w:rFonts w:ascii="仿宋" w:eastAsia="仿宋" w:hAnsi="仿宋"/>
          <w:sz w:val="24"/>
          <w:szCs w:val="24"/>
        </w:rPr>
      </w:pPr>
      <w:r w:rsidRPr="001B4D09">
        <w:rPr>
          <w:rFonts w:ascii="仿宋" w:eastAsia="仿宋" w:hAnsi="仿宋" w:hint="eastAsia"/>
          <w:b/>
          <w:sz w:val="24"/>
          <w:szCs w:val="24"/>
        </w:rPr>
        <w:t>综述：</w:t>
      </w:r>
      <w:r w:rsidRPr="001B4D09">
        <w:rPr>
          <w:rFonts w:ascii="仿宋" w:eastAsia="仿宋" w:hAnsi="仿宋" w:hint="eastAsia"/>
          <w:sz w:val="24"/>
          <w:szCs w:val="24"/>
        </w:rPr>
        <w:t>政策市预计依然是</w:t>
      </w:r>
      <w:r w:rsidRPr="001B4D09">
        <w:rPr>
          <w:rFonts w:ascii="仿宋" w:eastAsia="仿宋" w:hAnsi="仿宋"/>
          <w:sz w:val="24"/>
          <w:szCs w:val="24"/>
        </w:rPr>
        <w:t>2015</w:t>
      </w:r>
      <w:r w:rsidRPr="001B4D09">
        <w:rPr>
          <w:rFonts w:ascii="仿宋" w:eastAsia="仿宋" w:hAnsi="仿宋" w:hint="eastAsia"/>
          <w:sz w:val="24"/>
          <w:szCs w:val="24"/>
        </w:rPr>
        <w:t>年中国经济增长的主要模式。</w:t>
      </w:r>
    </w:p>
    <w:p w:rsidR="001B4D09" w:rsidRPr="001B4D09" w:rsidRDefault="001B4D09" w:rsidP="001B4D09">
      <w:pPr>
        <w:pStyle w:val="ae"/>
        <w:numPr>
          <w:ilvl w:val="0"/>
          <w:numId w:val="18"/>
        </w:numPr>
        <w:adjustRightInd w:val="0"/>
        <w:snapToGrid w:val="0"/>
        <w:spacing w:line="324" w:lineRule="auto"/>
        <w:ind w:rightChars="471" w:right="989" w:firstLineChars="0"/>
        <w:jc w:val="left"/>
        <w:rPr>
          <w:rFonts w:ascii="仿宋" w:eastAsia="仿宋" w:hAnsi="仿宋"/>
          <w:sz w:val="24"/>
          <w:szCs w:val="24"/>
        </w:rPr>
      </w:pPr>
      <w:r w:rsidRPr="001B4D09">
        <w:rPr>
          <w:rFonts w:ascii="仿宋" w:eastAsia="仿宋" w:hAnsi="仿宋" w:hint="eastAsia"/>
          <w:b/>
          <w:sz w:val="24"/>
          <w:szCs w:val="24"/>
        </w:rPr>
        <w:t>宏观调控政策：</w:t>
      </w:r>
      <w:r w:rsidRPr="001B4D09">
        <w:rPr>
          <w:rFonts w:ascii="仿宋" w:eastAsia="仿宋" w:hAnsi="仿宋" w:hint="eastAsia"/>
          <w:sz w:val="24"/>
          <w:szCs w:val="24"/>
        </w:rPr>
        <w:t>货币政策以及财政政策的宽松是明年经济增长的主要看点。</w:t>
      </w:r>
    </w:p>
    <w:p w:rsidR="001B4D09" w:rsidRPr="001B4D09" w:rsidRDefault="001B4D09" w:rsidP="001B4D09">
      <w:pPr>
        <w:pStyle w:val="ae"/>
        <w:numPr>
          <w:ilvl w:val="0"/>
          <w:numId w:val="18"/>
        </w:numPr>
        <w:adjustRightInd w:val="0"/>
        <w:snapToGrid w:val="0"/>
        <w:spacing w:line="324" w:lineRule="auto"/>
        <w:ind w:rightChars="471" w:right="989" w:firstLineChars="0"/>
        <w:jc w:val="left"/>
        <w:rPr>
          <w:rFonts w:ascii="仿宋" w:eastAsia="仿宋" w:hAnsi="仿宋"/>
          <w:sz w:val="24"/>
          <w:szCs w:val="24"/>
        </w:rPr>
      </w:pPr>
      <w:r w:rsidRPr="001B4D09">
        <w:rPr>
          <w:rFonts w:ascii="仿宋" w:eastAsia="仿宋" w:hAnsi="仿宋" w:hint="eastAsia"/>
          <w:b/>
          <w:sz w:val="24"/>
          <w:szCs w:val="24"/>
        </w:rPr>
        <w:t>通胀与货币数据预测：</w:t>
      </w:r>
      <w:r w:rsidRPr="001B4D09">
        <w:rPr>
          <w:rFonts w:ascii="仿宋" w:eastAsia="仿宋" w:hAnsi="仿宋" w:hint="eastAsia"/>
          <w:sz w:val="24"/>
          <w:szCs w:val="24"/>
        </w:rPr>
        <w:t>预计</w:t>
      </w:r>
      <w:r w:rsidRPr="001B4D09">
        <w:rPr>
          <w:rFonts w:ascii="仿宋" w:eastAsia="仿宋" w:hAnsi="仿宋"/>
          <w:sz w:val="24"/>
          <w:szCs w:val="24"/>
        </w:rPr>
        <w:t>CPI2.2%</w:t>
      </w:r>
      <w:r w:rsidRPr="001B4D09">
        <w:rPr>
          <w:rFonts w:ascii="仿宋" w:eastAsia="仿宋" w:hAnsi="仿宋" w:hint="eastAsia"/>
          <w:sz w:val="24"/>
          <w:szCs w:val="24"/>
        </w:rPr>
        <w:t>左右，</w:t>
      </w:r>
      <w:r w:rsidRPr="001B4D09">
        <w:rPr>
          <w:rFonts w:ascii="仿宋" w:eastAsia="仿宋" w:hAnsi="仿宋"/>
          <w:sz w:val="24"/>
          <w:szCs w:val="24"/>
        </w:rPr>
        <w:t>M2</w:t>
      </w:r>
      <w:r w:rsidRPr="001B4D09">
        <w:rPr>
          <w:rFonts w:ascii="仿宋" w:eastAsia="仿宋" w:hAnsi="仿宋" w:hint="eastAsia"/>
          <w:sz w:val="24"/>
          <w:szCs w:val="24"/>
        </w:rPr>
        <w:t>同比增速或维持在</w:t>
      </w:r>
      <w:r w:rsidRPr="001B4D09">
        <w:rPr>
          <w:rFonts w:ascii="仿宋" w:eastAsia="仿宋" w:hAnsi="仿宋"/>
          <w:sz w:val="24"/>
          <w:szCs w:val="24"/>
        </w:rPr>
        <w:t>13%</w:t>
      </w:r>
      <w:r w:rsidRPr="001B4D09">
        <w:rPr>
          <w:rFonts w:ascii="仿宋" w:eastAsia="仿宋" w:hAnsi="仿宋" w:hint="eastAsia"/>
          <w:sz w:val="24"/>
          <w:szCs w:val="24"/>
        </w:rPr>
        <w:t>附近。</w:t>
      </w:r>
    </w:p>
    <w:p w:rsidR="001B4D09" w:rsidRPr="001B4D09" w:rsidRDefault="001B4D09" w:rsidP="001B4D09">
      <w:pPr>
        <w:pStyle w:val="ae"/>
        <w:numPr>
          <w:ilvl w:val="0"/>
          <w:numId w:val="18"/>
        </w:numPr>
        <w:adjustRightInd w:val="0"/>
        <w:snapToGrid w:val="0"/>
        <w:spacing w:line="324" w:lineRule="auto"/>
        <w:ind w:rightChars="471" w:right="989" w:firstLineChars="0"/>
        <w:jc w:val="left"/>
        <w:rPr>
          <w:rFonts w:ascii="仿宋" w:eastAsia="仿宋" w:hAnsi="仿宋"/>
          <w:sz w:val="24"/>
          <w:szCs w:val="24"/>
        </w:rPr>
      </w:pPr>
      <w:r w:rsidRPr="001B4D09">
        <w:rPr>
          <w:rFonts w:ascii="仿宋" w:eastAsia="仿宋" w:hAnsi="仿宋" w:hint="eastAsia"/>
          <w:b/>
          <w:sz w:val="24"/>
          <w:szCs w:val="24"/>
        </w:rPr>
        <w:t>流动性及改革：</w:t>
      </w:r>
      <w:r w:rsidRPr="001B4D09">
        <w:rPr>
          <w:rFonts w:ascii="仿宋" w:eastAsia="仿宋" w:hAnsi="仿宋" w:hint="eastAsia"/>
          <w:sz w:val="24"/>
          <w:szCs w:val="24"/>
        </w:rPr>
        <w:t>在宽松的政策环境下，流动性收紧风险主要来自于人民币的贬值预期，国企改革将是明年改革的主旋律。</w:t>
      </w:r>
    </w:p>
    <w:p w:rsidR="001B4D09" w:rsidRPr="001B4D09" w:rsidRDefault="001B4D09" w:rsidP="001B4D09">
      <w:pPr>
        <w:adjustRightInd w:val="0"/>
        <w:snapToGrid w:val="0"/>
        <w:spacing w:line="324" w:lineRule="auto"/>
        <w:ind w:leftChars="1080" w:left="2268" w:rightChars="471" w:right="989"/>
        <w:jc w:val="left"/>
        <w:rPr>
          <w:rFonts w:ascii="仿宋" w:eastAsia="仿宋" w:hAnsi="仿宋" w:hint="eastAsia"/>
          <w:b/>
          <w:color w:val="082F6B"/>
          <w:sz w:val="24"/>
          <w:szCs w:val="44"/>
        </w:rPr>
      </w:pPr>
      <w:r w:rsidRPr="001B4D09">
        <w:rPr>
          <w:rFonts w:ascii="仿宋" w:eastAsia="仿宋" w:hAnsi="仿宋" w:hint="eastAsia"/>
          <w:b/>
          <w:color w:val="082F6B"/>
          <w:sz w:val="24"/>
          <w:szCs w:val="44"/>
        </w:rPr>
        <w:t>海外市场展望</w:t>
      </w:r>
    </w:p>
    <w:p w:rsidR="001B4D09" w:rsidRPr="001B4D09" w:rsidRDefault="001B4D09" w:rsidP="001B4D09">
      <w:pPr>
        <w:pStyle w:val="ae"/>
        <w:numPr>
          <w:ilvl w:val="0"/>
          <w:numId w:val="19"/>
        </w:numPr>
        <w:adjustRightInd w:val="0"/>
        <w:snapToGrid w:val="0"/>
        <w:spacing w:line="324" w:lineRule="auto"/>
        <w:ind w:rightChars="471" w:right="989" w:firstLineChars="0"/>
        <w:jc w:val="left"/>
        <w:rPr>
          <w:rFonts w:ascii="仿宋" w:eastAsia="仿宋" w:hAnsi="仿宋"/>
          <w:sz w:val="24"/>
          <w:szCs w:val="24"/>
        </w:rPr>
      </w:pPr>
      <w:r w:rsidRPr="001B4D09">
        <w:rPr>
          <w:rFonts w:ascii="仿宋" w:eastAsia="仿宋" w:hAnsi="仿宋" w:hint="eastAsia"/>
          <w:b/>
          <w:sz w:val="24"/>
          <w:szCs w:val="24"/>
        </w:rPr>
        <w:t>全球宏观经济展望：</w:t>
      </w:r>
      <w:r w:rsidRPr="001B4D09">
        <w:rPr>
          <w:rFonts w:ascii="仿宋" w:eastAsia="仿宋" w:hAnsi="仿宋"/>
          <w:sz w:val="24"/>
          <w:szCs w:val="24"/>
        </w:rPr>
        <w:t>2015</w:t>
      </w:r>
      <w:r w:rsidRPr="001B4D09">
        <w:rPr>
          <w:rFonts w:ascii="仿宋" w:eastAsia="仿宋" w:hAnsi="仿宋" w:hint="eastAsia"/>
          <w:sz w:val="24"/>
          <w:szCs w:val="24"/>
        </w:rPr>
        <w:t>年全球宏观经济突出的特点可用“分化”二字概括，其不仅代表了经济基本面的分化，也代表了央行货币政策出现的分化，其对资产价格的影响可能是不确定性上升，资产波动率加大。</w:t>
      </w:r>
    </w:p>
    <w:p w:rsidR="001B4D09" w:rsidRPr="001B4D09" w:rsidRDefault="001B4D09" w:rsidP="001B4D09">
      <w:pPr>
        <w:pStyle w:val="ae"/>
        <w:numPr>
          <w:ilvl w:val="0"/>
          <w:numId w:val="19"/>
        </w:numPr>
        <w:adjustRightInd w:val="0"/>
        <w:snapToGrid w:val="0"/>
        <w:spacing w:line="324" w:lineRule="auto"/>
        <w:ind w:rightChars="471" w:right="989" w:firstLineChars="0"/>
        <w:jc w:val="left"/>
        <w:rPr>
          <w:rFonts w:ascii="仿宋" w:eastAsia="仿宋" w:hAnsi="仿宋"/>
          <w:sz w:val="24"/>
          <w:szCs w:val="24"/>
        </w:rPr>
      </w:pPr>
      <w:r w:rsidRPr="001B4D09">
        <w:rPr>
          <w:rFonts w:ascii="仿宋" w:eastAsia="仿宋" w:hAnsi="仿宋" w:hint="eastAsia"/>
          <w:b/>
          <w:sz w:val="24"/>
          <w:szCs w:val="24"/>
        </w:rPr>
        <w:t>全球市场展望：</w:t>
      </w:r>
      <w:r w:rsidRPr="001B4D09">
        <w:rPr>
          <w:rFonts w:ascii="仿宋" w:eastAsia="仿宋" w:hAnsi="仿宋" w:hint="eastAsia"/>
          <w:sz w:val="24"/>
          <w:szCs w:val="24"/>
        </w:rPr>
        <w:t>居民消费温和回升带动美国经济缓慢复苏；欧元区经济关键看货币政策传导是否顺畅；日本经济关键在于长期经济增长潜力能否恢复。</w:t>
      </w:r>
    </w:p>
    <w:p w:rsidR="001B4D09" w:rsidRPr="001B4D09" w:rsidRDefault="001B4D09" w:rsidP="001B4D09">
      <w:pPr>
        <w:adjustRightInd w:val="0"/>
        <w:snapToGrid w:val="0"/>
        <w:spacing w:line="324" w:lineRule="auto"/>
        <w:ind w:leftChars="1080" w:left="2268" w:rightChars="471" w:right="989"/>
        <w:jc w:val="left"/>
        <w:rPr>
          <w:rFonts w:ascii="仿宋" w:eastAsia="仿宋" w:hAnsi="仿宋" w:hint="eastAsia"/>
          <w:b/>
          <w:color w:val="082F6B"/>
          <w:sz w:val="24"/>
          <w:szCs w:val="44"/>
        </w:rPr>
      </w:pPr>
      <w:r w:rsidRPr="001B4D09">
        <w:rPr>
          <w:rFonts w:ascii="仿宋" w:eastAsia="仿宋" w:hAnsi="仿宋" w:hint="eastAsia"/>
          <w:b/>
          <w:color w:val="082F6B"/>
          <w:sz w:val="24"/>
          <w:szCs w:val="44"/>
        </w:rPr>
        <w:t>中国股票市场展望及配置建议</w:t>
      </w:r>
    </w:p>
    <w:p w:rsidR="001B4D09" w:rsidRPr="001B4D09" w:rsidRDefault="001B4D09" w:rsidP="001B4D09">
      <w:pPr>
        <w:pStyle w:val="ae"/>
        <w:numPr>
          <w:ilvl w:val="0"/>
          <w:numId w:val="20"/>
        </w:numPr>
        <w:adjustRightInd w:val="0"/>
        <w:snapToGrid w:val="0"/>
        <w:spacing w:line="324" w:lineRule="auto"/>
        <w:ind w:rightChars="471" w:right="989" w:firstLineChars="0"/>
        <w:jc w:val="left"/>
        <w:rPr>
          <w:rFonts w:ascii="仿宋" w:eastAsia="仿宋" w:hAnsi="仿宋"/>
          <w:sz w:val="24"/>
          <w:szCs w:val="24"/>
        </w:rPr>
      </w:pPr>
      <w:r w:rsidRPr="001B4D09">
        <w:rPr>
          <w:rFonts w:ascii="仿宋" w:eastAsia="仿宋" w:hAnsi="仿宋" w:hint="eastAsia"/>
          <w:b/>
          <w:sz w:val="24"/>
          <w:szCs w:val="24"/>
        </w:rPr>
        <w:t>市场整体判断：</w:t>
      </w:r>
      <w:r w:rsidRPr="001B4D09">
        <w:rPr>
          <w:rFonts w:ascii="仿宋" w:eastAsia="仿宋" w:hAnsi="仿宋"/>
          <w:sz w:val="24"/>
          <w:szCs w:val="24"/>
        </w:rPr>
        <w:t>2015</w:t>
      </w:r>
      <w:r w:rsidRPr="001B4D09">
        <w:rPr>
          <w:rFonts w:ascii="仿宋" w:eastAsia="仿宋" w:hAnsi="仿宋" w:hint="eastAsia"/>
          <w:sz w:val="24"/>
          <w:szCs w:val="24"/>
        </w:rPr>
        <w:t>年国内</w:t>
      </w:r>
      <w:r w:rsidRPr="001B4D09">
        <w:rPr>
          <w:rFonts w:ascii="仿宋" w:eastAsia="仿宋" w:hAnsi="仿宋"/>
          <w:sz w:val="24"/>
          <w:szCs w:val="24"/>
        </w:rPr>
        <w:t>A</w:t>
      </w:r>
      <w:r w:rsidRPr="001B4D09">
        <w:rPr>
          <w:rFonts w:ascii="仿宋" w:eastAsia="仿宋" w:hAnsi="仿宋" w:hint="eastAsia"/>
          <w:sz w:val="24"/>
          <w:szCs w:val="24"/>
        </w:rPr>
        <w:t>股市场或将呈现慢牛格局，但其中可能会有较大波动而并非</w:t>
      </w:r>
      <w:r w:rsidRPr="001B4D09">
        <w:rPr>
          <w:rFonts w:ascii="仿宋" w:eastAsia="仿宋" w:hAnsi="仿宋"/>
          <w:sz w:val="24"/>
          <w:szCs w:val="24"/>
        </w:rPr>
        <w:t>07</w:t>
      </w:r>
      <w:r w:rsidRPr="001B4D09">
        <w:rPr>
          <w:rFonts w:ascii="仿宋" w:eastAsia="仿宋" w:hAnsi="仿宋" w:hint="eastAsia"/>
          <w:sz w:val="24"/>
          <w:szCs w:val="24"/>
        </w:rPr>
        <w:t>年的单边行情。</w:t>
      </w:r>
    </w:p>
    <w:p w:rsidR="001B4D09" w:rsidRPr="001B4D09" w:rsidRDefault="001B4D09" w:rsidP="001B4D09">
      <w:pPr>
        <w:pStyle w:val="ae"/>
        <w:numPr>
          <w:ilvl w:val="0"/>
          <w:numId w:val="20"/>
        </w:numPr>
        <w:adjustRightInd w:val="0"/>
        <w:snapToGrid w:val="0"/>
        <w:spacing w:line="324" w:lineRule="auto"/>
        <w:ind w:rightChars="471" w:right="989" w:firstLineChars="0"/>
        <w:jc w:val="left"/>
        <w:rPr>
          <w:rFonts w:ascii="仿宋" w:eastAsia="仿宋" w:hAnsi="仿宋"/>
          <w:sz w:val="24"/>
          <w:szCs w:val="24"/>
        </w:rPr>
      </w:pPr>
      <w:r w:rsidRPr="001B4D09">
        <w:rPr>
          <w:rFonts w:ascii="仿宋" w:eastAsia="仿宋" w:hAnsi="仿宋" w:hint="eastAsia"/>
          <w:b/>
          <w:sz w:val="24"/>
          <w:szCs w:val="24"/>
        </w:rPr>
        <w:t>风格及配置建议：</w:t>
      </w:r>
      <w:r w:rsidRPr="001B4D09">
        <w:rPr>
          <w:rFonts w:ascii="仿宋" w:eastAsia="仿宋" w:hAnsi="仿宋" w:hint="eastAsia"/>
          <w:sz w:val="24"/>
          <w:szCs w:val="24"/>
        </w:rPr>
        <w:t>重点挖掘大</w:t>
      </w:r>
      <w:proofErr w:type="gramStart"/>
      <w:r w:rsidRPr="001B4D09">
        <w:rPr>
          <w:rFonts w:ascii="仿宋" w:eastAsia="仿宋" w:hAnsi="仿宋" w:hint="eastAsia"/>
          <w:sz w:val="24"/>
          <w:szCs w:val="24"/>
        </w:rPr>
        <w:t>市值但</w:t>
      </w:r>
      <w:proofErr w:type="gramEnd"/>
      <w:r w:rsidRPr="001B4D09">
        <w:rPr>
          <w:rFonts w:ascii="仿宋" w:eastAsia="仿宋" w:hAnsi="仿宋" w:hint="eastAsia"/>
          <w:sz w:val="24"/>
          <w:szCs w:val="24"/>
        </w:rPr>
        <w:t>长期受制经济预期低迷的低估值蓝筹龙头品种；中游行业面临较大的投资机遇；主题投资、政策受益的相关产业值得关注。</w:t>
      </w:r>
    </w:p>
    <w:p w:rsidR="001B4D09" w:rsidRPr="001B4D09" w:rsidRDefault="001B4D09" w:rsidP="001B4D09">
      <w:pPr>
        <w:adjustRightInd w:val="0"/>
        <w:snapToGrid w:val="0"/>
        <w:spacing w:line="324" w:lineRule="auto"/>
        <w:ind w:leftChars="1080" w:left="2268" w:rightChars="471" w:right="989"/>
        <w:jc w:val="left"/>
        <w:rPr>
          <w:rFonts w:ascii="仿宋" w:eastAsia="仿宋" w:hAnsi="仿宋" w:hint="eastAsia"/>
          <w:b/>
          <w:color w:val="082F6B"/>
          <w:sz w:val="24"/>
          <w:szCs w:val="44"/>
        </w:rPr>
      </w:pPr>
      <w:r w:rsidRPr="001B4D09">
        <w:rPr>
          <w:rFonts w:ascii="仿宋" w:eastAsia="仿宋" w:hAnsi="仿宋" w:hint="eastAsia"/>
          <w:b/>
          <w:color w:val="082F6B"/>
          <w:sz w:val="24"/>
          <w:szCs w:val="44"/>
        </w:rPr>
        <w:t>中国债券市场展望及配置建议</w:t>
      </w:r>
    </w:p>
    <w:p w:rsidR="001B4D09" w:rsidRPr="001B4D09" w:rsidRDefault="001B4D09" w:rsidP="001B4D09">
      <w:pPr>
        <w:pStyle w:val="ae"/>
        <w:numPr>
          <w:ilvl w:val="0"/>
          <w:numId w:val="21"/>
        </w:numPr>
        <w:adjustRightInd w:val="0"/>
        <w:snapToGrid w:val="0"/>
        <w:spacing w:line="324" w:lineRule="auto"/>
        <w:ind w:rightChars="471" w:right="989" w:firstLineChars="0"/>
        <w:jc w:val="left"/>
        <w:rPr>
          <w:rFonts w:ascii="仿宋" w:eastAsia="仿宋" w:hAnsi="仿宋"/>
          <w:sz w:val="24"/>
          <w:szCs w:val="24"/>
        </w:rPr>
      </w:pPr>
      <w:r w:rsidRPr="001B4D09">
        <w:rPr>
          <w:rFonts w:ascii="仿宋" w:eastAsia="仿宋" w:hAnsi="仿宋" w:hint="eastAsia"/>
          <w:b/>
          <w:sz w:val="24"/>
          <w:szCs w:val="24"/>
        </w:rPr>
        <w:t>债券市场展望：</w:t>
      </w:r>
      <w:r w:rsidRPr="001B4D09">
        <w:rPr>
          <w:rFonts w:ascii="仿宋" w:eastAsia="仿宋" w:hAnsi="仿宋" w:hint="eastAsia"/>
          <w:sz w:val="24"/>
          <w:szCs w:val="24"/>
        </w:rPr>
        <w:t>预期经济增长短期内有所反弹，但长期压力依然存在。</w:t>
      </w:r>
    </w:p>
    <w:p w:rsidR="00EA4F19" w:rsidRPr="001B4D09" w:rsidRDefault="001B4D09" w:rsidP="001B4D09">
      <w:pPr>
        <w:pStyle w:val="ae"/>
        <w:numPr>
          <w:ilvl w:val="0"/>
          <w:numId w:val="21"/>
        </w:numPr>
        <w:adjustRightInd w:val="0"/>
        <w:snapToGrid w:val="0"/>
        <w:spacing w:line="324" w:lineRule="auto"/>
        <w:ind w:rightChars="471" w:right="989" w:firstLineChars="0"/>
        <w:jc w:val="left"/>
        <w:rPr>
          <w:rFonts w:ascii="仿宋" w:eastAsia="仿宋" w:hAnsi="仿宋"/>
          <w:sz w:val="24"/>
          <w:szCs w:val="24"/>
        </w:rPr>
      </w:pPr>
      <w:r w:rsidRPr="001B4D09">
        <w:rPr>
          <w:rFonts w:ascii="仿宋" w:eastAsia="仿宋" w:hAnsi="仿宋" w:hint="eastAsia"/>
          <w:b/>
          <w:sz w:val="24"/>
          <w:szCs w:val="24"/>
        </w:rPr>
        <w:t>配置建议：</w:t>
      </w:r>
      <w:r w:rsidRPr="001B4D09">
        <w:rPr>
          <w:rFonts w:ascii="仿宋" w:eastAsia="仿宋" w:hAnsi="仿宋" w:hint="eastAsia"/>
          <w:sz w:val="24"/>
          <w:szCs w:val="24"/>
        </w:rPr>
        <w:t>重视安全资产、规避信用风险。</w:t>
      </w:r>
    </w:p>
    <w:p w:rsidR="000144FB" w:rsidRPr="00E72357" w:rsidRDefault="005A3BF6" w:rsidP="00F22930">
      <w:pPr>
        <w:widowControl/>
        <w:ind w:firstLineChars="500" w:firstLine="2209"/>
        <w:jc w:val="left"/>
        <w:rPr>
          <w:rFonts w:ascii="仿宋" w:eastAsia="仿宋" w:hAnsi="仿宋"/>
          <w:b/>
          <w:color w:val="082F6B"/>
          <w:sz w:val="44"/>
          <w:szCs w:val="44"/>
        </w:rPr>
      </w:pPr>
      <w:r>
        <w:rPr>
          <w:rFonts w:ascii="仿宋" w:eastAsia="仿宋" w:hAnsi="仿宋"/>
          <w:b/>
          <w:color w:val="082F6B"/>
          <w:sz w:val="44"/>
          <w:szCs w:val="44"/>
        </w:rPr>
        <w:br w:type="page"/>
      </w:r>
      <w:r w:rsidR="00F22930" w:rsidRPr="00F22930">
        <w:rPr>
          <w:rFonts w:ascii="仿宋" w:eastAsia="仿宋" w:hAnsi="仿宋" w:hint="eastAsia"/>
          <w:b/>
          <w:color w:val="082F6B"/>
          <w:sz w:val="44"/>
          <w:szCs w:val="44"/>
        </w:rPr>
        <w:lastRenderedPageBreak/>
        <w:t>2015年度宏观策略展望</w:t>
      </w:r>
    </w:p>
    <w:p w:rsidR="00F22930" w:rsidRPr="00F22930" w:rsidRDefault="00F22930" w:rsidP="00F22930">
      <w:pPr>
        <w:tabs>
          <w:tab w:val="left" w:pos="7162"/>
        </w:tabs>
        <w:spacing w:before="240" w:line="324" w:lineRule="auto"/>
        <w:ind w:leftChars="1080" w:left="2268" w:rightChars="471" w:right="989"/>
        <w:jc w:val="left"/>
        <w:rPr>
          <w:rFonts w:ascii="仿宋" w:eastAsia="仿宋" w:hAnsi="仿宋" w:hint="eastAsia"/>
          <w:b/>
          <w:color w:val="082F6B"/>
          <w:sz w:val="24"/>
          <w:szCs w:val="44"/>
        </w:rPr>
      </w:pPr>
      <w:r w:rsidRPr="00F22930">
        <w:rPr>
          <w:rFonts w:ascii="仿宋" w:eastAsia="仿宋" w:hAnsi="仿宋" w:hint="eastAsia"/>
          <w:b/>
          <w:color w:val="082F6B"/>
          <w:sz w:val="24"/>
          <w:szCs w:val="44"/>
        </w:rPr>
        <w:t>国内经济与流动性展望</w:t>
      </w:r>
      <w:r w:rsidRPr="00F22930">
        <w:rPr>
          <w:rFonts w:ascii="仿宋" w:eastAsia="仿宋" w:hAnsi="仿宋"/>
          <w:b/>
          <w:color w:val="082F6B"/>
          <w:sz w:val="24"/>
          <w:szCs w:val="44"/>
        </w:rPr>
        <w:tab/>
      </w:r>
    </w:p>
    <w:p w:rsidR="00F22930" w:rsidRPr="00F22930" w:rsidRDefault="00F22930" w:rsidP="00F22930">
      <w:pPr>
        <w:pStyle w:val="ae"/>
        <w:numPr>
          <w:ilvl w:val="0"/>
          <w:numId w:val="22"/>
        </w:numPr>
        <w:spacing w:line="324" w:lineRule="auto"/>
        <w:ind w:rightChars="471" w:right="989" w:firstLineChars="0"/>
        <w:jc w:val="left"/>
        <w:rPr>
          <w:rFonts w:ascii="仿宋" w:eastAsia="仿宋" w:hAnsi="仿宋"/>
          <w:b/>
          <w:sz w:val="24"/>
          <w:szCs w:val="24"/>
        </w:rPr>
      </w:pPr>
      <w:r w:rsidRPr="00F22930">
        <w:rPr>
          <w:rFonts w:ascii="仿宋" w:eastAsia="仿宋" w:hAnsi="仿宋" w:hint="eastAsia"/>
          <w:b/>
          <w:sz w:val="24"/>
          <w:szCs w:val="24"/>
        </w:rPr>
        <w:t>综述：政策市预计依然是</w:t>
      </w:r>
      <w:r w:rsidRPr="00F22930">
        <w:rPr>
          <w:rFonts w:ascii="仿宋" w:eastAsia="仿宋" w:hAnsi="仿宋"/>
          <w:b/>
          <w:sz w:val="24"/>
          <w:szCs w:val="24"/>
        </w:rPr>
        <w:t>2015</w:t>
      </w:r>
      <w:r w:rsidRPr="00F22930">
        <w:rPr>
          <w:rFonts w:ascii="仿宋" w:eastAsia="仿宋" w:hAnsi="仿宋" w:hint="eastAsia"/>
          <w:b/>
          <w:sz w:val="24"/>
          <w:szCs w:val="24"/>
        </w:rPr>
        <w:t>年中国经济增长的主要模式。</w:t>
      </w:r>
    </w:p>
    <w:p w:rsid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美国</w:t>
      </w:r>
      <w:proofErr w:type="gramStart"/>
      <w:r w:rsidRPr="00F22930">
        <w:rPr>
          <w:rFonts w:ascii="仿宋" w:eastAsia="仿宋" w:hAnsi="仿宋" w:hint="eastAsia"/>
          <w:sz w:val="24"/>
          <w:szCs w:val="24"/>
        </w:rPr>
        <w:t>次贷</w:t>
      </w:r>
      <w:proofErr w:type="gramEnd"/>
      <w:r w:rsidRPr="00F22930">
        <w:rPr>
          <w:rFonts w:ascii="仿宋" w:eastAsia="仿宋" w:hAnsi="仿宋" w:hint="eastAsia"/>
          <w:sz w:val="24"/>
          <w:szCs w:val="24"/>
        </w:rPr>
        <w:t>危机是中国经济的一个分水岭，</w:t>
      </w:r>
      <w:proofErr w:type="gramStart"/>
      <w:r w:rsidRPr="00F22930">
        <w:rPr>
          <w:rFonts w:ascii="仿宋" w:eastAsia="仿宋" w:hAnsi="仿宋" w:hint="eastAsia"/>
          <w:sz w:val="24"/>
          <w:szCs w:val="24"/>
        </w:rPr>
        <w:t>次贷</w:t>
      </w:r>
      <w:proofErr w:type="gramEnd"/>
      <w:r w:rsidRPr="00F22930">
        <w:rPr>
          <w:rFonts w:ascii="仿宋" w:eastAsia="仿宋" w:hAnsi="仿宋" w:hint="eastAsia"/>
          <w:sz w:val="24"/>
          <w:szCs w:val="24"/>
        </w:rPr>
        <w:t>危机后，中国经济增长的主要决定因素由外需切换为政策。政策市中，在结构改革没有明显见效前，中国经济可能将面临长期下行的风险，政策的收放决定短期经济波动。明年经济的分析框架依然以政策为主导性变量，预计</w:t>
      </w:r>
      <w:proofErr w:type="gramStart"/>
      <w:r w:rsidRPr="00F22930">
        <w:rPr>
          <w:rFonts w:ascii="仿宋" w:eastAsia="仿宋" w:hAnsi="仿宋" w:hint="eastAsia"/>
          <w:sz w:val="24"/>
          <w:szCs w:val="24"/>
        </w:rPr>
        <w:t>稳增长</w:t>
      </w:r>
      <w:proofErr w:type="gramEnd"/>
      <w:r w:rsidRPr="00F22930">
        <w:rPr>
          <w:rFonts w:ascii="仿宋" w:eastAsia="仿宋" w:hAnsi="仿宋" w:hint="eastAsia"/>
          <w:sz w:val="24"/>
          <w:szCs w:val="24"/>
        </w:rPr>
        <w:t>是政府的首要目标，政策将继续托底经济，</w:t>
      </w:r>
      <w:r w:rsidRPr="00F22930">
        <w:rPr>
          <w:rFonts w:ascii="仿宋" w:eastAsia="仿宋" w:hAnsi="仿宋"/>
          <w:sz w:val="24"/>
          <w:szCs w:val="24"/>
        </w:rPr>
        <w:t>2015</w:t>
      </w:r>
      <w:r w:rsidRPr="00F22930">
        <w:rPr>
          <w:rFonts w:ascii="仿宋" w:eastAsia="仿宋" w:hAnsi="仿宋" w:hint="eastAsia"/>
          <w:sz w:val="24"/>
          <w:szCs w:val="24"/>
        </w:rPr>
        <w:t>年全年经济增速下滑风险不大。稳定增长的核心在稳定预期，今年以来房地产市场的疲弱，地产投资仍然在缓慢修复，市场对于经济增长预期已然下调。我们预计</w:t>
      </w:r>
      <w:r w:rsidRPr="00F22930">
        <w:rPr>
          <w:rFonts w:ascii="仿宋" w:eastAsia="仿宋" w:hAnsi="仿宋"/>
          <w:sz w:val="24"/>
          <w:szCs w:val="24"/>
        </w:rPr>
        <w:t>2015</w:t>
      </w:r>
      <w:r w:rsidRPr="00F22930">
        <w:rPr>
          <w:rFonts w:ascii="仿宋" w:eastAsia="仿宋" w:hAnsi="仿宋" w:hint="eastAsia"/>
          <w:sz w:val="24"/>
          <w:szCs w:val="24"/>
        </w:rPr>
        <w:t>年政府制定的全年经济增长目标为</w:t>
      </w:r>
      <w:r w:rsidRPr="00F22930">
        <w:rPr>
          <w:rFonts w:ascii="仿宋" w:eastAsia="仿宋" w:hAnsi="仿宋"/>
          <w:sz w:val="24"/>
          <w:szCs w:val="24"/>
        </w:rPr>
        <w:t>7%</w:t>
      </w:r>
      <w:r w:rsidRPr="00F22930">
        <w:rPr>
          <w:rFonts w:ascii="仿宋" w:eastAsia="仿宋" w:hAnsi="仿宋" w:hint="eastAsia"/>
          <w:sz w:val="24"/>
          <w:szCs w:val="24"/>
        </w:rPr>
        <w:t>，实际增速大概率略高于</w:t>
      </w:r>
      <w:r w:rsidRPr="00F22930">
        <w:rPr>
          <w:rFonts w:ascii="仿宋" w:eastAsia="仿宋" w:hAnsi="仿宋"/>
          <w:sz w:val="24"/>
          <w:szCs w:val="24"/>
        </w:rPr>
        <w:t>7%</w:t>
      </w:r>
      <w:r w:rsidRPr="00F22930">
        <w:rPr>
          <w:rFonts w:ascii="仿宋" w:eastAsia="仿宋" w:hAnsi="仿宋" w:hint="eastAsia"/>
          <w:sz w:val="24"/>
          <w:szCs w:val="24"/>
        </w:rPr>
        <w:t>。</w:t>
      </w:r>
    </w:p>
    <w:p w:rsidR="00F22930" w:rsidRPr="00F22930" w:rsidRDefault="00F22930" w:rsidP="00D15D66">
      <w:pPr>
        <w:spacing w:line="324" w:lineRule="auto"/>
        <w:ind w:leftChars="1080" w:left="2268" w:rightChars="471" w:right="989" w:firstLineChars="200" w:firstLine="480"/>
        <w:jc w:val="left"/>
        <w:rPr>
          <w:rFonts w:ascii="仿宋" w:eastAsia="仿宋" w:hAnsi="仿宋" w:hint="eastAsia"/>
          <w:sz w:val="24"/>
          <w:szCs w:val="24"/>
        </w:rPr>
      </w:pPr>
    </w:p>
    <w:p w:rsidR="00F22930" w:rsidRPr="00F22930" w:rsidRDefault="00F22930" w:rsidP="00F22930">
      <w:pPr>
        <w:pStyle w:val="ae"/>
        <w:numPr>
          <w:ilvl w:val="0"/>
          <w:numId w:val="22"/>
        </w:numPr>
        <w:spacing w:line="324" w:lineRule="auto"/>
        <w:ind w:rightChars="471" w:right="989" w:firstLineChars="0"/>
        <w:jc w:val="left"/>
        <w:rPr>
          <w:rFonts w:ascii="仿宋" w:eastAsia="仿宋" w:hAnsi="仿宋"/>
          <w:b/>
          <w:sz w:val="24"/>
          <w:szCs w:val="24"/>
        </w:rPr>
      </w:pPr>
      <w:r w:rsidRPr="00F22930">
        <w:rPr>
          <w:rFonts w:ascii="仿宋" w:eastAsia="仿宋" w:hAnsi="仿宋" w:hint="eastAsia"/>
          <w:b/>
          <w:sz w:val="24"/>
          <w:szCs w:val="24"/>
        </w:rPr>
        <w:t>宏观调控政策：货币政策以及财政政策的宽松是明年经济增长的主要看点。</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国内经济方面，基建投资和地产投资将是经济增长的主要抓手，其主要取决于房地产政策的松绑、以及资金的支撑。因此，货币政策以及财政政策的宽松是明年经济增长的主要看点。</w:t>
      </w:r>
    </w:p>
    <w:p w:rsidR="00F22930" w:rsidRPr="00F22930" w:rsidRDefault="00F22930" w:rsidP="00D15D66">
      <w:pPr>
        <w:spacing w:line="324" w:lineRule="auto"/>
        <w:ind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货币政策在</w:t>
      </w:r>
      <w:r w:rsidRPr="00F22930">
        <w:rPr>
          <w:rFonts w:ascii="仿宋" w:eastAsia="仿宋" w:hAnsi="仿宋"/>
          <w:sz w:val="24"/>
          <w:szCs w:val="24"/>
        </w:rPr>
        <w:t>2014</w:t>
      </w:r>
      <w:r w:rsidRPr="00F22930">
        <w:rPr>
          <w:rFonts w:ascii="仿宋" w:eastAsia="仿宋" w:hAnsi="仿宋" w:hint="eastAsia"/>
          <w:sz w:val="24"/>
          <w:szCs w:val="24"/>
        </w:rPr>
        <w:t>年保持中性趋宽，体现为量</w:t>
      </w:r>
      <w:proofErr w:type="gramStart"/>
      <w:r w:rsidRPr="00F22930">
        <w:rPr>
          <w:rFonts w:ascii="仿宋" w:eastAsia="仿宋" w:hAnsi="仿宋" w:hint="eastAsia"/>
          <w:sz w:val="24"/>
          <w:szCs w:val="24"/>
        </w:rPr>
        <w:t>和价两方面</w:t>
      </w:r>
      <w:proofErr w:type="gramEnd"/>
      <w:r w:rsidRPr="00F22930">
        <w:rPr>
          <w:rFonts w:ascii="仿宋" w:eastAsia="仿宋" w:hAnsi="仿宋" w:hint="eastAsia"/>
          <w:sz w:val="24"/>
          <w:szCs w:val="24"/>
        </w:rPr>
        <w:t>的放松。量上主要表现为包括</w:t>
      </w:r>
      <w:r w:rsidRPr="00F22930">
        <w:rPr>
          <w:rFonts w:ascii="仿宋" w:eastAsia="仿宋" w:hAnsi="仿宋"/>
          <w:sz w:val="24"/>
          <w:szCs w:val="24"/>
        </w:rPr>
        <w:t>PSL</w:t>
      </w:r>
      <w:r w:rsidRPr="00F22930">
        <w:rPr>
          <w:rFonts w:ascii="仿宋" w:eastAsia="仿宋" w:hAnsi="仿宋" w:hint="eastAsia"/>
          <w:sz w:val="24"/>
          <w:szCs w:val="24"/>
        </w:rPr>
        <w:t>、</w:t>
      </w:r>
      <w:r w:rsidRPr="00F22930">
        <w:rPr>
          <w:rFonts w:ascii="仿宋" w:eastAsia="仿宋" w:hAnsi="仿宋"/>
          <w:sz w:val="24"/>
          <w:szCs w:val="24"/>
        </w:rPr>
        <w:t>SLF</w:t>
      </w:r>
      <w:r w:rsidRPr="00F22930">
        <w:rPr>
          <w:rFonts w:ascii="仿宋" w:eastAsia="仿宋" w:hAnsi="仿宋" w:hint="eastAsia"/>
          <w:sz w:val="24"/>
          <w:szCs w:val="24"/>
        </w:rPr>
        <w:t>、</w:t>
      </w:r>
      <w:r w:rsidRPr="00F22930">
        <w:rPr>
          <w:rFonts w:ascii="仿宋" w:eastAsia="仿宋" w:hAnsi="仿宋"/>
          <w:sz w:val="24"/>
          <w:szCs w:val="24"/>
        </w:rPr>
        <w:t>MLF</w:t>
      </w:r>
      <w:r w:rsidRPr="00F22930">
        <w:rPr>
          <w:rFonts w:ascii="仿宋" w:eastAsia="仿宋" w:hAnsi="仿宋" w:hint="eastAsia"/>
          <w:sz w:val="24"/>
          <w:szCs w:val="24"/>
        </w:rPr>
        <w:t>等定向流动性投放；价上则主要表现为正回购利率的下调，以及</w:t>
      </w:r>
      <w:r w:rsidRPr="00F22930">
        <w:rPr>
          <w:rFonts w:ascii="仿宋" w:eastAsia="仿宋" w:hAnsi="仿宋"/>
          <w:sz w:val="24"/>
          <w:szCs w:val="24"/>
        </w:rPr>
        <w:t>11</w:t>
      </w:r>
      <w:r w:rsidRPr="00F22930">
        <w:rPr>
          <w:rFonts w:ascii="仿宋" w:eastAsia="仿宋" w:hAnsi="仿宋" w:hint="eastAsia"/>
          <w:sz w:val="24"/>
          <w:szCs w:val="24"/>
        </w:rPr>
        <w:t>月的非对称降息等。非对称降息举措打开了此前央行定向宽松的想象空间，在经济不达预期的情况下，预计未来央行可能将会通过全面宽松政策刺激实体经济。</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在房地产政策松绑方面，除地方政府放松限购条件外，银行放松认</w:t>
      </w:r>
      <w:proofErr w:type="gramStart"/>
      <w:r w:rsidRPr="00F22930">
        <w:rPr>
          <w:rFonts w:ascii="仿宋" w:eastAsia="仿宋" w:hAnsi="仿宋" w:hint="eastAsia"/>
          <w:sz w:val="24"/>
          <w:szCs w:val="24"/>
        </w:rPr>
        <w:t>房认贷标准</w:t>
      </w:r>
      <w:proofErr w:type="gramEnd"/>
      <w:r w:rsidRPr="00F22930">
        <w:rPr>
          <w:rFonts w:ascii="仿宋" w:eastAsia="仿宋" w:hAnsi="仿宋" w:hint="eastAsia"/>
          <w:sz w:val="24"/>
          <w:szCs w:val="24"/>
        </w:rPr>
        <w:t>也是改善房地产需求的重要举措。从近期房地产市场的表现看，地产销售数据由此前的负增长接近零增速，地产投资增速已然抬头，但是，房地产开发商投资意愿尚不足够，地产投资自筹资金增速</w:t>
      </w:r>
      <w:r w:rsidRPr="00F22930">
        <w:rPr>
          <w:rFonts w:ascii="仿宋" w:eastAsia="仿宋" w:hAnsi="仿宋"/>
          <w:sz w:val="24"/>
          <w:szCs w:val="24"/>
        </w:rPr>
        <w:t>11</w:t>
      </w:r>
      <w:r w:rsidRPr="00F22930">
        <w:rPr>
          <w:rFonts w:ascii="仿宋" w:eastAsia="仿宋" w:hAnsi="仿宋" w:hint="eastAsia"/>
          <w:sz w:val="24"/>
          <w:szCs w:val="24"/>
        </w:rPr>
        <w:t>月处于低位。我们预计在</w:t>
      </w:r>
      <w:r w:rsidRPr="00F22930">
        <w:rPr>
          <w:rFonts w:ascii="仿宋" w:eastAsia="仿宋" w:hAnsi="仿宋"/>
          <w:sz w:val="24"/>
          <w:szCs w:val="24"/>
        </w:rPr>
        <w:t>2015</w:t>
      </w:r>
      <w:r w:rsidRPr="00F22930">
        <w:rPr>
          <w:rFonts w:ascii="仿宋" w:eastAsia="仿宋" w:hAnsi="仿宋" w:hint="eastAsia"/>
          <w:sz w:val="24"/>
          <w:szCs w:val="24"/>
        </w:rPr>
        <w:t>年，央行将通过刺激地产开发贷等方式进一步支撑房地产行业。</w:t>
      </w:r>
    </w:p>
    <w:p w:rsidR="00F22930" w:rsidRPr="00F22930" w:rsidRDefault="00F22930" w:rsidP="00F22930">
      <w:pPr>
        <w:spacing w:line="324" w:lineRule="auto"/>
        <w:ind w:leftChars="1080" w:left="2268" w:rightChars="471" w:right="989"/>
        <w:jc w:val="left"/>
        <w:rPr>
          <w:rFonts w:ascii="仿宋" w:eastAsia="仿宋" w:hAnsi="仿宋"/>
          <w:sz w:val="24"/>
          <w:szCs w:val="24"/>
        </w:rPr>
      </w:pPr>
      <w:r w:rsidRPr="00F22930">
        <w:rPr>
          <w:rFonts w:ascii="仿宋" w:eastAsia="仿宋" w:hAnsi="仿宋" w:hint="eastAsia"/>
          <w:sz w:val="24"/>
          <w:szCs w:val="24"/>
        </w:rPr>
        <w:t>财政政策方面，</w:t>
      </w:r>
      <w:r w:rsidRPr="00F22930">
        <w:rPr>
          <w:rFonts w:ascii="仿宋" w:eastAsia="仿宋" w:hAnsi="仿宋"/>
          <w:sz w:val="24"/>
          <w:szCs w:val="24"/>
        </w:rPr>
        <w:t>2015</w:t>
      </w:r>
      <w:r w:rsidRPr="00F22930">
        <w:rPr>
          <w:rFonts w:ascii="仿宋" w:eastAsia="仿宋" w:hAnsi="仿宋" w:hint="eastAsia"/>
          <w:sz w:val="24"/>
          <w:szCs w:val="24"/>
        </w:rPr>
        <w:t>年财政赤字将较</w:t>
      </w:r>
      <w:r w:rsidRPr="00F22930">
        <w:rPr>
          <w:rFonts w:ascii="仿宋" w:eastAsia="仿宋" w:hAnsi="仿宋"/>
          <w:sz w:val="24"/>
          <w:szCs w:val="24"/>
        </w:rPr>
        <w:t>2014</w:t>
      </w:r>
      <w:r w:rsidRPr="00F22930">
        <w:rPr>
          <w:rFonts w:ascii="仿宋" w:eastAsia="仿宋" w:hAnsi="仿宋" w:hint="eastAsia"/>
          <w:sz w:val="24"/>
          <w:szCs w:val="24"/>
        </w:rPr>
        <w:t>年有所扩大，并且税收改革举措将逐步落地，减轻企业经营负担。</w:t>
      </w:r>
    </w:p>
    <w:p w:rsidR="00F22930" w:rsidRPr="00F22930" w:rsidRDefault="00F22930" w:rsidP="00F22930">
      <w:pPr>
        <w:pStyle w:val="ae"/>
        <w:numPr>
          <w:ilvl w:val="0"/>
          <w:numId w:val="22"/>
        </w:numPr>
        <w:spacing w:line="324" w:lineRule="auto"/>
        <w:ind w:rightChars="471" w:right="989" w:firstLineChars="0"/>
        <w:jc w:val="left"/>
        <w:rPr>
          <w:rFonts w:ascii="仿宋" w:eastAsia="仿宋" w:hAnsi="仿宋"/>
          <w:b/>
          <w:sz w:val="24"/>
          <w:szCs w:val="24"/>
        </w:rPr>
      </w:pPr>
      <w:r w:rsidRPr="00F22930">
        <w:rPr>
          <w:rFonts w:ascii="仿宋" w:eastAsia="仿宋" w:hAnsi="仿宋" w:hint="eastAsia"/>
          <w:b/>
          <w:sz w:val="24"/>
          <w:szCs w:val="24"/>
        </w:rPr>
        <w:lastRenderedPageBreak/>
        <w:t>通胀与货币数据预测：预计</w:t>
      </w:r>
      <w:r w:rsidRPr="00F22930">
        <w:rPr>
          <w:rFonts w:ascii="仿宋" w:eastAsia="仿宋" w:hAnsi="仿宋"/>
          <w:b/>
          <w:sz w:val="24"/>
          <w:szCs w:val="24"/>
        </w:rPr>
        <w:t>CPI</w:t>
      </w:r>
      <w:r w:rsidRPr="00F22930">
        <w:rPr>
          <w:rFonts w:ascii="仿宋" w:eastAsia="仿宋" w:hAnsi="仿宋" w:hint="eastAsia"/>
          <w:b/>
          <w:sz w:val="24"/>
          <w:szCs w:val="24"/>
        </w:rPr>
        <w:t>在</w:t>
      </w:r>
      <w:r w:rsidRPr="00F22930">
        <w:rPr>
          <w:rFonts w:ascii="仿宋" w:eastAsia="仿宋" w:hAnsi="仿宋"/>
          <w:b/>
          <w:sz w:val="24"/>
          <w:szCs w:val="24"/>
        </w:rPr>
        <w:t>2.2%</w:t>
      </w:r>
      <w:r w:rsidRPr="00F22930">
        <w:rPr>
          <w:rFonts w:ascii="仿宋" w:eastAsia="仿宋" w:hAnsi="仿宋" w:hint="eastAsia"/>
          <w:b/>
          <w:sz w:val="24"/>
          <w:szCs w:val="24"/>
        </w:rPr>
        <w:t>左右，</w:t>
      </w:r>
      <w:r w:rsidRPr="00F22930">
        <w:rPr>
          <w:rFonts w:ascii="仿宋" w:eastAsia="仿宋" w:hAnsi="仿宋"/>
          <w:b/>
          <w:sz w:val="24"/>
          <w:szCs w:val="24"/>
        </w:rPr>
        <w:t>M2</w:t>
      </w:r>
      <w:r w:rsidRPr="00F22930">
        <w:rPr>
          <w:rFonts w:ascii="仿宋" w:eastAsia="仿宋" w:hAnsi="仿宋" w:hint="eastAsia"/>
          <w:b/>
          <w:sz w:val="24"/>
          <w:szCs w:val="24"/>
        </w:rPr>
        <w:t>同比增速或维持在</w:t>
      </w:r>
      <w:r w:rsidRPr="00F22930">
        <w:rPr>
          <w:rFonts w:ascii="仿宋" w:eastAsia="仿宋" w:hAnsi="仿宋"/>
          <w:b/>
          <w:sz w:val="24"/>
          <w:szCs w:val="24"/>
        </w:rPr>
        <w:t>13%</w:t>
      </w:r>
      <w:r w:rsidRPr="00F22930">
        <w:rPr>
          <w:rFonts w:ascii="仿宋" w:eastAsia="仿宋" w:hAnsi="仿宋" w:hint="eastAsia"/>
          <w:b/>
          <w:sz w:val="24"/>
          <w:szCs w:val="24"/>
        </w:rPr>
        <w:t>附近。</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通胀方面，在内需疲弱，海外石油价格下行，美元指数令大宗商品普遍承压的背景下，</w:t>
      </w:r>
      <w:r w:rsidRPr="00F22930">
        <w:rPr>
          <w:rFonts w:ascii="仿宋" w:eastAsia="仿宋" w:hAnsi="仿宋"/>
          <w:sz w:val="24"/>
          <w:szCs w:val="24"/>
        </w:rPr>
        <w:t>2015</w:t>
      </w:r>
      <w:r w:rsidRPr="00F22930">
        <w:rPr>
          <w:rFonts w:ascii="仿宋" w:eastAsia="仿宋" w:hAnsi="仿宋" w:hint="eastAsia"/>
          <w:sz w:val="24"/>
          <w:szCs w:val="24"/>
        </w:rPr>
        <w:t>年通胀将继续维持低位。我们预计</w:t>
      </w:r>
      <w:r w:rsidRPr="00F22930">
        <w:rPr>
          <w:rFonts w:ascii="仿宋" w:eastAsia="仿宋" w:hAnsi="仿宋"/>
          <w:sz w:val="24"/>
          <w:szCs w:val="24"/>
        </w:rPr>
        <w:t>CPI</w:t>
      </w:r>
      <w:r w:rsidRPr="00F22930">
        <w:rPr>
          <w:rFonts w:ascii="仿宋" w:eastAsia="仿宋" w:hAnsi="仿宋" w:hint="eastAsia"/>
          <w:sz w:val="24"/>
          <w:szCs w:val="24"/>
        </w:rPr>
        <w:t>在</w:t>
      </w:r>
      <w:r w:rsidRPr="00F22930">
        <w:rPr>
          <w:rFonts w:ascii="仿宋" w:eastAsia="仿宋" w:hAnsi="仿宋"/>
          <w:sz w:val="24"/>
          <w:szCs w:val="24"/>
        </w:rPr>
        <w:t>2.2%</w:t>
      </w:r>
      <w:r w:rsidRPr="00F22930">
        <w:rPr>
          <w:rFonts w:ascii="仿宋" w:eastAsia="仿宋" w:hAnsi="仿宋" w:hint="eastAsia"/>
          <w:sz w:val="24"/>
          <w:szCs w:val="24"/>
        </w:rPr>
        <w:t>左右，</w:t>
      </w:r>
      <w:r w:rsidRPr="00F22930">
        <w:rPr>
          <w:rFonts w:ascii="仿宋" w:eastAsia="仿宋" w:hAnsi="仿宋"/>
          <w:sz w:val="24"/>
          <w:szCs w:val="24"/>
        </w:rPr>
        <w:t>PPI</w:t>
      </w:r>
      <w:r w:rsidRPr="00F22930">
        <w:rPr>
          <w:rFonts w:ascii="仿宋" w:eastAsia="仿宋" w:hAnsi="仿宋" w:hint="eastAsia"/>
          <w:sz w:val="24"/>
          <w:szCs w:val="24"/>
        </w:rPr>
        <w:t>维持负增长，预计在</w:t>
      </w:r>
      <w:r w:rsidRPr="00F22930">
        <w:rPr>
          <w:rFonts w:ascii="仿宋" w:eastAsia="仿宋" w:hAnsi="仿宋"/>
          <w:sz w:val="24"/>
          <w:szCs w:val="24"/>
        </w:rPr>
        <w:t>-1.5%</w:t>
      </w:r>
      <w:r w:rsidRPr="00F22930">
        <w:rPr>
          <w:rFonts w:ascii="仿宋" w:eastAsia="仿宋" w:hAnsi="仿宋" w:hint="eastAsia"/>
          <w:sz w:val="24"/>
          <w:szCs w:val="24"/>
        </w:rPr>
        <w:t>左右。猪价、以及价格改革可能是上行风险，但预计通胀高企的概率较小。较低的通胀水平也为</w:t>
      </w:r>
      <w:r w:rsidRPr="00F22930">
        <w:rPr>
          <w:rFonts w:ascii="仿宋" w:eastAsia="仿宋" w:hAnsi="仿宋"/>
          <w:sz w:val="24"/>
          <w:szCs w:val="24"/>
        </w:rPr>
        <w:t>2015</w:t>
      </w:r>
      <w:r w:rsidRPr="00F22930">
        <w:rPr>
          <w:rFonts w:ascii="仿宋" w:eastAsia="仿宋" w:hAnsi="仿宋" w:hint="eastAsia"/>
          <w:sz w:val="24"/>
          <w:szCs w:val="24"/>
        </w:rPr>
        <w:t>年宽松政策留出了空间。</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预计</w:t>
      </w:r>
      <w:r w:rsidRPr="00F22930">
        <w:rPr>
          <w:rFonts w:ascii="仿宋" w:eastAsia="仿宋" w:hAnsi="仿宋"/>
          <w:sz w:val="24"/>
          <w:szCs w:val="24"/>
        </w:rPr>
        <w:t>M2</w:t>
      </w:r>
      <w:r w:rsidRPr="00F22930">
        <w:rPr>
          <w:rFonts w:ascii="仿宋" w:eastAsia="仿宋" w:hAnsi="仿宋" w:hint="eastAsia"/>
          <w:sz w:val="24"/>
          <w:szCs w:val="24"/>
        </w:rPr>
        <w:t>同比增速或维持在</w:t>
      </w:r>
      <w:r w:rsidRPr="00F22930">
        <w:rPr>
          <w:rFonts w:ascii="仿宋" w:eastAsia="仿宋" w:hAnsi="仿宋"/>
          <w:sz w:val="24"/>
          <w:szCs w:val="24"/>
        </w:rPr>
        <w:t>13%</w:t>
      </w:r>
      <w:r w:rsidRPr="00F22930">
        <w:rPr>
          <w:rFonts w:ascii="仿宋" w:eastAsia="仿宋" w:hAnsi="仿宋" w:hint="eastAsia"/>
          <w:sz w:val="24"/>
          <w:szCs w:val="24"/>
        </w:rPr>
        <w:t>附近，社会融资总量余额的增速可能</w:t>
      </w:r>
      <w:proofErr w:type="gramStart"/>
      <w:r w:rsidRPr="00F22930">
        <w:rPr>
          <w:rFonts w:ascii="仿宋" w:eastAsia="仿宋" w:hAnsi="仿宋" w:hint="eastAsia"/>
          <w:sz w:val="24"/>
          <w:szCs w:val="24"/>
        </w:rPr>
        <w:t>较当前</w:t>
      </w:r>
      <w:proofErr w:type="gramEnd"/>
      <w:r w:rsidRPr="00F22930">
        <w:rPr>
          <w:rFonts w:ascii="仿宋" w:eastAsia="仿宋" w:hAnsi="仿宋" w:hint="eastAsia"/>
          <w:sz w:val="24"/>
          <w:szCs w:val="24"/>
        </w:rPr>
        <w:t>水平有明显上升。银行间资金面或将维持较为宽松的局面，银行间</w:t>
      </w:r>
      <w:r w:rsidRPr="00F22930">
        <w:rPr>
          <w:rFonts w:ascii="仿宋" w:eastAsia="仿宋" w:hAnsi="仿宋"/>
          <w:sz w:val="24"/>
          <w:szCs w:val="24"/>
        </w:rPr>
        <w:t>7</w:t>
      </w:r>
      <w:r w:rsidRPr="00F22930">
        <w:rPr>
          <w:rFonts w:ascii="仿宋" w:eastAsia="仿宋" w:hAnsi="仿宋" w:hint="eastAsia"/>
          <w:sz w:val="24"/>
          <w:szCs w:val="24"/>
        </w:rPr>
        <w:t>天回购利率预计维持在</w:t>
      </w:r>
      <w:r w:rsidRPr="00F22930">
        <w:rPr>
          <w:rFonts w:ascii="仿宋" w:eastAsia="仿宋" w:hAnsi="仿宋"/>
          <w:sz w:val="24"/>
          <w:szCs w:val="24"/>
        </w:rPr>
        <w:t>3%~3.5%</w:t>
      </w:r>
      <w:r w:rsidRPr="00F22930">
        <w:rPr>
          <w:rFonts w:ascii="仿宋" w:eastAsia="仿宋" w:hAnsi="仿宋" w:hint="eastAsia"/>
          <w:sz w:val="24"/>
          <w:szCs w:val="24"/>
        </w:rPr>
        <w:t>左右的水平。宽松的货币政策对</w:t>
      </w:r>
      <w:r w:rsidRPr="00F22930">
        <w:rPr>
          <w:rFonts w:ascii="仿宋" w:eastAsia="仿宋" w:hAnsi="仿宋"/>
          <w:sz w:val="24"/>
          <w:szCs w:val="24"/>
        </w:rPr>
        <w:t>2015</w:t>
      </w:r>
      <w:r w:rsidRPr="00F22930">
        <w:rPr>
          <w:rFonts w:ascii="仿宋" w:eastAsia="仿宋" w:hAnsi="仿宋" w:hint="eastAsia"/>
          <w:sz w:val="24"/>
          <w:szCs w:val="24"/>
        </w:rPr>
        <w:t>年的经济增长形成托底作用，预计全年</w:t>
      </w:r>
      <w:r w:rsidRPr="00F22930">
        <w:rPr>
          <w:rFonts w:ascii="仿宋" w:eastAsia="仿宋" w:hAnsi="仿宋"/>
          <w:sz w:val="24"/>
          <w:szCs w:val="24"/>
        </w:rPr>
        <w:t>GDP</w:t>
      </w:r>
      <w:r w:rsidRPr="00F22930">
        <w:rPr>
          <w:rFonts w:ascii="仿宋" w:eastAsia="仿宋" w:hAnsi="仿宋" w:hint="eastAsia"/>
          <w:sz w:val="24"/>
          <w:szCs w:val="24"/>
        </w:rPr>
        <w:t>增速可能在</w:t>
      </w:r>
      <w:r w:rsidRPr="00F22930">
        <w:rPr>
          <w:rFonts w:ascii="仿宋" w:eastAsia="仿宋" w:hAnsi="仿宋"/>
          <w:sz w:val="24"/>
          <w:szCs w:val="24"/>
        </w:rPr>
        <w:t>7%-7.5%</w:t>
      </w:r>
      <w:r w:rsidRPr="00F22930">
        <w:rPr>
          <w:rFonts w:ascii="仿宋" w:eastAsia="仿宋" w:hAnsi="仿宋" w:hint="eastAsia"/>
          <w:sz w:val="24"/>
          <w:szCs w:val="24"/>
        </w:rPr>
        <w:t>区间。</w:t>
      </w:r>
    </w:p>
    <w:p w:rsidR="00F22930" w:rsidRPr="00F22930" w:rsidRDefault="00F22930" w:rsidP="00F22930">
      <w:pPr>
        <w:spacing w:line="324" w:lineRule="auto"/>
        <w:ind w:leftChars="1080" w:left="2268" w:rightChars="471" w:right="989"/>
        <w:jc w:val="left"/>
        <w:rPr>
          <w:rFonts w:ascii="仿宋" w:eastAsia="仿宋" w:hAnsi="仿宋"/>
          <w:sz w:val="24"/>
          <w:szCs w:val="24"/>
        </w:rPr>
      </w:pPr>
    </w:p>
    <w:p w:rsidR="00F22930" w:rsidRPr="00F22930" w:rsidRDefault="00F22930" w:rsidP="00F22930">
      <w:pPr>
        <w:pStyle w:val="ae"/>
        <w:numPr>
          <w:ilvl w:val="0"/>
          <w:numId w:val="22"/>
        </w:numPr>
        <w:spacing w:line="324" w:lineRule="auto"/>
        <w:ind w:rightChars="471" w:right="989" w:firstLineChars="0"/>
        <w:jc w:val="left"/>
        <w:rPr>
          <w:rFonts w:ascii="仿宋" w:eastAsia="仿宋" w:hAnsi="仿宋"/>
          <w:b/>
          <w:sz w:val="24"/>
          <w:szCs w:val="24"/>
        </w:rPr>
      </w:pPr>
      <w:r w:rsidRPr="00F22930">
        <w:rPr>
          <w:rFonts w:ascii="仿宋" w:eastAsia="仿宋" w:hAnsi="仿宋" w:hint="eastAsia"/>
          <w:b/>
          <w:sz w:val="24"/>
          <w:szCs w:val="24"/>
        </w:rPr>
        <w:t>流动性及改革：在宽松的政策环境下，流动性收紧风险主要来自于人民币的贬值预期，国企改革将是明年改革的主旋律。</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流动性方面，尽管海外美国</w:t>
      </w:r>
      <w:r w:rsidRPr="00F22930">
        <w:rPr>
          <w:rFonts w:ascii="仿宋" w:eastAsia="仿宋" w:hAnsi="仿宋"/>
          <w:sz w:val="24"/>
          <w:szCs w:val="24"/>
        </w:rPr>
        <w:t>QE</w:t>
      </w:r>
      <w:r w:rsidRPr="00F22930">
        <w:rPr>
          <w:rFonts w:ascii="仿宋" w:eastAsia="仿宋" w:hAnsi="仿宋" w:hint="eastAsia"/>
          <w:sz w:val="24"/>
          <w:szCs w:val="24"/>
        </w:rPr>
        <w:t>退出，以及年中加息预期令美国货币政策相对收紧，但欧盟和日本的宽松政策将为全球注入流动性。国内，在宽松的政策环境下，流动性收紧风险不大。预计银行间</w:t>
      </w:r>
      <w:r w:rsidRPr="00F22930">
        <w:rPr>
          <w:rFonts w:ascii="仿宋" w:eastAsia="仿宋" w:hAnsi="仿宋"/>
          <w:sz w:val="24"/>
          <w:szCs w:val="24"/>
        </w:rPr>
        <w:t>7</w:t>
      </w:r>
      <w:r w:rsidRPr="00F22930">
        <w:rPr>
          <w:rFonts w:ascii="仿宋" w:eastAsia="仿宋" w:hAnsi="仿宋" w:hint="eastAsia"/>
          <w:sz w:val="24"/>
          <w:szCs w:val="24"/>
        </w:rPr>
        <w:t>天回购价</w:t>
      </w:r>
      <w:proofErr w:type="gramStart"/>
      <w:r w:rsidRPr="00F22930">
        <w:rPr>
          <w:rFonts w:ascii="仿宋" w:eastAsia="仿宋" w:hAnsi="仿宋" w:hint="eastAsia"/>
          <w:sz w:val="24"/>
          <w:szCs w:val="24"/>
        </w:rPr>
        <w:t>格维持</w:t>
      </w:r>
      <w:proofErr w:type="gramEnd"/>
      <w:r w:rsidRPr="00F22930">
        <w:rPr>
          <w:rFonts w:ascii="仿宋" w:eastAsia="仿宋" w:hAnsi="仿宋" w:hint="eastAsia"/>
          <w:sz w:val="24"/>
          <w:szCs w:val="24"/>
        </w:rPr>
        <w:t>在</w:t>
      </w:r>
      <w:r w:rsidRPr="00F22930">
        <w:rPr>
          <w:rFonts w:ascii="仿宋" w:eastAsia="仿宋" w:hAnsi="仿宋"/>
          <w:sz w:val="24"/>
          <w:szCs w:val="24"/>
        </w:rPr>
        <w:t>3-3.5%</w:t>
      </w:r>
      <w:r w:rsidRPr="00F22930">
        <w:rPr>
          <w:rFonts w:ascii="仿宋" w:eastAsia="仿宋" w:hAnsi="仿宋" w:hint="eastAsia"/>
          <w:sz w:val="24"/>
          <w:szCs w:val="24"/>
        </w:rPr>
        <w:t>左右的水平。并且，随着全面政策的逐步落实，银行间资金到实体经济的传导将会逐步顺畅，实体经济融资成本将会在明年得到改善。</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明年流动性收紧的风险主要来自于人民币的贬值预期。美国货币政策相对欧盟日本偏紧使得美元指数上行趋势不减，人民币相对美元贬值压力或有所增加，这将带来资金外流压力。增长的风险则主要来自于地方政府融资平台债务的清偿。近期地方政府存量债务甄别正在进行。一旦地方政府债务认定规模偏小，增量债务资金来源受限，将会导致明年地方财政投资资金的缺位，并从基建投资传导至经济。</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国企改革将是明年改革的主旋律。目前国企改革在地方层面上以试点形式不断稳步推进，明年预期在顶层设计落实后，将有大量国有集团的改革方案酝酿出来。这部分改革后的国有集团可能为市场注入新的活力。此外，一带一路战略的开展有助于帮助我国输出过剩产能，对于明年的经济增长亦有上行拉动。</w:t>
      </w:r>
    </w:p>
    <w:p w:rsidR="00F22930" w:rsidRPr="00F22930" w:rsidRDefault="00F22930" w:rsidP="00F22930">
      <w:pPr>
        <w:spacing w:line="324" w:lineRule="auto"/>
        <w:ind w:leftChars="1080" w:left="2268" w:rightChars="471" w:right="989"/>
        <w:jc w:val="left"/>
        <w:rPr>
          <w:rFonts w:ascii="仿宋" w:eastAsia="仿宋" w:hAnsi="仿宋"/>
          <w:sz w:val="24"/>
          <w:szCs w:val="24"/>
        </w:rPr>
      </w:pPr>
    </w:p>
    <w:p w:rsidR="00F22930" w:rsidRPr="00220E24" w:rsidRDefault="00F22930" w:rsidP="00220E24">
      <w:pPr>
        <w:tabs>
          <w:tab w:val="left" w:pos="7162"/>
        </w:tabs>
        <w:spacing w:before="240" w:line="324" w:lineRule="auto"/>
        <w:ind w:leftChars="1080" w:left="2268" w:rightChars="471" w:right="989"/>
        <w:jc w:val="left"/>
        <w:rPr>
          <w:rFonts w:ascii="仿宋" w:eastAsia="仿宋" w:hAnsi="仿宋" w:hint="eastAsia"/>
          <w:b/>
          <w:color w:val="082F6B"/>
          <w:sz w:val="24"/>
          <w:szCs w:val="44"/>
        </w:rPr>
      </w:pPr>
      <w:r w:rsidRPr="00220E24">
        <w:rPr>
          <w:rFonts w:ascii="仿宋" w:eastAsia="仿宋" w:hAnsi="仿宋" w:hint="eastAsia"/>
          <w:b/>
          <w:color w:val="082F6B"/>
          <w:sz w:val="24"/>
          <w:szCs w:val="44"/>
        </w:rPr>
        <w:lastRenderedPageBreak/>
        <w:t>海外市场展望</w:t>
      </w:r>
    </w:p>
    <w:p w:rsidR="00F22930" w:rsidRPr="00220E24" w:rsidRDefault="00F22930" w:rsidP="00220E24">
      <w:pPr>
        <w:pStyle w:val="ae"/>
        <w:numPr>
          <w:ilvl w:val="0"/>
          <w:numId w:val="22"/>
        </w:numPr>
        <w:spacing w:line="324" w:lineRule="auto"/>
        <w:ind w:rightChars="471" w:right="989" w:firstLineChars="0"/>
        <w:jc w:val="left"/>
        <w:rPr>
          <w:rFonts w:ascii="仿宋" w:eastAsia="仿宋" w:hAnsi="仿宋"/>
          <w:b/>
          <w:sz w:val="24"/>
          <w:szCs w:val="24"/>
        </w:rPr>
      </w:pPr>
      <w:r w:rsidRPr="00220E24">
        <w:rPr>
          <w:rFonts w:ascii="仿宋" w:eastAsia="仿宋" w:hAnsi="仿宋" w:hint="eastAsia"/>
          <w:b/>
          <w:sz w:val="24"/>
          <w:szCs w:val="24"/>
        </w:rPr>
        <w:t>全球宏观经济展望：</w:t>
      </w:r>
      <w:r w:rsidRPr="00220E24">
        <w:rPr>
          <w:rFonts w:ascii="仿宋" w:eastAsia="仿宋" w:hAnsi="仿宋"/>
          <w:b/>
          <w:sz w:val="24"/>
          <w:szCs w:val="24"/>
        </w:rPr>
        <w:t>2015</w:t>
      </w:r>
      <w:r w:rsidRPr="00220E24">
        <w:rPr>
          <w:rFonts w:ascii="仿宋" w:eastAsia="仿宋" w:hAnsi="仿宋" w:hint="eastAsia"/>
          <w:b/>
          <w:sz w:val="24"/>
          <w:szCs w:val="24"/>
        </w:rPr>
        <w:t>年全球宏观经济突出的特点可用“分化”二字概括，其不仅代表了经济基本面的分化，也代表了央行货币政策出现的分化，其对资产价格的影响可能是不确定性上升，资产波动率加大。</w:t>
      </w:r>
    </w:p>
    <w:p w:rsidR="00F22930" w:rsidRPr="00F22930" w:rsidRDefault="00F22930" w:rsidP="00D15D66">
      <w:pPr>
        <w:spacing w:line="324" w:lineRule="auto"/>
        <w:ind w:leftChars="1080" w:left="2268" w:rightChars="471" w:right="989" w:firstLineChars="200" w:firstLine="480"/>
        <w:jc w:val="left"/>
        <w:rPr>
          <w:rFonts w:ascii="仿宋" w:eastAsia="仿宋" w:hAnsi="仿宋" w:hint="eastAsia"/>
          <w:sz w:val="24"/>
          <w:szCs w:val="24"/>
        </w:rPr>
      </w:pPr>
      <w:r w:rsidRPr="00F22930">
        <w:rPr>
          <w:rFonts w:ascii="仿宋" w:eastAsia="仿宋" w:hAnsi="仿宋" w:hint="eastAsia"/>
          <w:sz w:val="24"/>
          <w:szCs w:val="24"/>
        </w:rPr>
        <w:t>全球经济整体大概率维持温和扩张态势；发达与新兴国家内部会进一步分化。</w:t>
      </w:r>
      <w:r w:rsidRPr="00F22930">
        <w:rPr>
          <w:rFonts w:ascii="仿宋" w:eastAsia="仿宋" w:hAnsi="仿宋"/>
          <w:sz w:val="24"/>
          <w:szCs w:val="24"/>
        </w:rPr>
        <w:t>2015</w:t>
      </w:r>
      <w:r w:rsidRPr="00F22930">
        <w:rPr>
          <w:rFonts w:ascii="仿宋" w:eastAsia="仿宋" w:hAnsi="仿宋" w:hint="eastAsia"/>
          <w:sz w:val="24"/>
          <w:szCs w:val="24"/>
        </w:rPr>
        <w:t>年美国经济消费和投资的内生性增长动能仍会持续，目前处于周期扩张中期，未来或将继续引领全球经济周期向上；欧洲经济有望受益于欧元贬值和信贷环境改善，部分数据出现企稳迹象，但回升力度依然微弱；安</w:t>
      </w:r>
      <w:proofErr w:type="gramStart"/>
      <w:r w:rsidRPr="00F22930">
        <w:rPr>
          <w:rFonts w:ascii="仿宋" w:eastAsia="仿宋" w:hAnsi="仿宋" w:hint="eastAsia"/>
          <w:sz w:val="24"/>
          <w:szCs w:val="24"/>
        </w:rPr>
        <w:t>倍</w:t>
      </w:r>
      <w:proofErr w:type="gramEnd"/>
      <w:r w:rsidRPr="00F22930">
        <w:rPr>
          <w:rFonts w:ascii="仿宋" w:eastAsia="仿宋" w:hAnsi="仿宋" w:hint="eastAsia"/>
          <w:sz w:val="24"/>
          <w:szCs w:val="24"/>
        </w:rPr>
        <w:t>经济学能否带领日本经济走出</w:t>
      </w:r>
      <w:proofErr w:type="gramStart"/>
      <w:r w:rsidRPr="00F22930">
        <w:rPr>
          <w:rFonts w:ascii="仿宋" w:eastAsia="仿宋" w:hAnsi="仿宋" w:hint="eastAsia"/>
          <w:sz w:val="24"/>
          <w:szCs w:val="24"/>
        </w:rPr>
        <w:t>通缩将面临</w:t>
      </w:r>
      <w:proofErr w:type="gramEnd"/>
      <w:r w:rsidRPr="00F22930">
        <w:rPr>
          <w:rFonts w:ascii="仿宋" w:eastAsia="仿宋" w:hAnsi="仿宋" w:hint="eastAsia"/>
          <w:sz w:val="24"/>
          <w:szCs w:val="24"/>
        </w:rPr>
        <w:t>重要考验，安</w:t>
      </w:r>
      <w:proofErr w:type="gramStart"/>
      <w:r w:rsidRPr="00F22930">
        <w:rPr>
          <w:rFonts w:ascii="仿宋" w:eastAsia="仿宋" w:hAnsi="仿宋" w:hint="eastAsia"/>
          <w:sz w:val="24"/>
          <w:szCs w:val="24"/>
        </w:rPr>
        <w:t>倍</w:t>
      </w:r>
      <w:proofErr w:type="gramEnd"/>
      <w:r w:rsidRPr="00F22930">
        <w:rPr>
          <w:rFonts w:ascii="仿宋" w:eastAsia="仿宋" w:hAnsi="仿宋" w:hint="eastAsia"/>
          <w:sz w:val="24"/>
          <w:szCs w:val="24"/>
        </w:rPr>
        <w:t>财政改革的核心在于应对实际薪资萎缩以及资本支出增长乏力的困境。</w:t>
      </w:r>
      <w:r w:rsidRPr="00F22930">
        <w:rPr>
          <w:rFonts w:ascii="仿宋" w:eastAsia="仿宋" w:hAnsi="仿宋"/>
          <w:sz w:val="24"/>
          <w:szCs w:val="24"/>
        </w:rPr>
        <w:t>2015</w:t>
      </w:r>
      <w:r w:rsidRPr="00F22930">
        <w:rPr>
          <w:rFonts w:ascii="仿宋" w:eastAsia="仿宋" w:hAnsi="仿宋" w:hint="eastAsia"/>
          <w:sz w:val="24"/>
          <w:szCs w:val="24"/>
        </w:rPr>
        <w:t>年美欧日实际</w:t>
      </w:r>
      <w:r w:rsidRPr="00F22930">
        <w:rPr>
          <w:rFonts w:ascii="仿宋" w:eastAsia="仿宋" w:hAnsi="仿宋"/>
          <w:sz w:val="24"/>
          <w:szCs w:val="24"/>
        </w:rPr>
        <w:t>GDP</w:t>
      </w:r>
      <w:r w:rsidRPr="00F22930">
        <w:rPr>
          <w:rFonts w:ascii="仿宋" w:eastAsia="仿宋" w:hAnsi="仿宋" w:hint="eastAsia"/>
          <w:sz w:val="24"/>
          <w:szCs w:val="24"/>
        </w:rPr>
        <w:t>增速或将分别由</w:t>
      </w:r>
      <w:r w:rsidRPr="00F22930">
        <w:rPr>
          <w:rFonts w:ascii="仿宋" w:eastAsia="仿宋" w:hAnsi="仿宋"/>
          <w:sz w:val="24"/>
          <w:szCs w:val="24"/>
        </w:rPr>
        <w:t>2014</w:t>
      </w:r>
      <w:r w:rsidRPr="00F22930">
        <w:rPr>
          <w:rFonts w:ascii="仿宋" w:eastAsia="仿宋" w:hAnsi="仿宋" w:hint="eastAsia"/>
          <w:sz w:val="24"/>
          <w:szCs w:val="24"/>
        </w:rPr>
        <w:t>年的</w:t>
      </w:r>
      <w:r w:rsidRPr="00F22930">
        <w:rPr>
          <w:rFonts w:ascii="仿宋" w:eastAsia="仿宋" w:hAnsi="仿宋"/>
          <w:sz w:val="24"/>
          <w:szCs w:val="24"/>
        </w:rPr>
        <w:t>2.2%</w:t>
      </w:r>
      <w:r w:rsidRPr="00F22930">
        <w:rPr>
          <w:rFonts w:ascii="仿宋" w:eastAsia="仿宋" w:hAnsi="仿宋" w:hint="eastAsia"/>
          <w:sz w:val="24"/>
          <w:szCs w:val="24"/>
        </w:rPr>
        <w:t>、</w:t>
      </w:r>
      <w:r w:rsidRPr="00F22930">
        <w:rPr>
          <w:rFonts w:ascii="仿宋" w:eastAsia="仿宋" w:hAnsi="仿宋"/>
          <w:sz w:val="24"/>
          <w:szCs w:val="24"/>
        </w:rPr>
        <w:t>0.8%</w:t>
      </w:r>
      <w:r w:rsidRPr="00F22930">
        <w:rPr>
          <w:rFonts w:ascii="仿宋" w:eastAsia="仿宋" w:hAnsi="仿宋" w:hint="eastAsia"/>
          <w:sz w:val="24"/>
          <w:szCs w:val="24"/>
        </w:rPr>
        <w:t>和</w:t>
      </w:r>
      <w:r w:rsidRPr="00F22930">
        <w:rPr>
          <w:rFonts w:ascii="仿宋" w:eastAsia="仿宋" w:hAnsi="仿宋"/>
          <w:sz w:val="24"/>
          <w:szCs w:val="24"/>
        </w:rPr>
        <w:t>1%</w:t>
      </w:r>
      <w:r w:rsidRPr="00F22930">
        <w:rPr>
          <w:rFonts w:ascii="仿宋" w:eastAsia="仿宋" w:hAnsi="仿宋" w:hint="eastAsia"/>
          <w:sz w:val="24"/>
          <w:szCs w:val="24"/>
        </w:rPr>
        <w:t>提升至</w:t>
      </w:r>
      <w:r w:rsidRPr="00F22930">
        <w:rPr>
          <w:rFonts w:ascii="仿宋" w:eastAsia="仿宋" w:hAnsi="仿宋"/>
          <w:sz w:val="24"/>
          <w:szCs w:val="24"/>
        </w:rPr>
        <w:t>3%</w:t>
      </w:r>
      <w:r w:rsidRPr="00F22930">
        <w:rPr>
          <w:rFonts w:ascii="仿宋" w:eastAsia="仿宋" w:hAnsi="仿宋" w:hint="eastAsia"/>
          <w:sz w:val="24"/>
          <w:szCs w:val="24"/>
        </w:rPr>
        <w:t>、</w:t>
      </w:r>
      <w:r w:rsidRPr="00F22930">
        <w:rPr>
          <w:rFonts w:ascii="仿宋" w:eastAsia="仿宋" w:hAnsi="仿宋"/>
          <w:sz w:val="24"/>
          <w:szCs w:val="24"/>
        </w:rPr>
        <w:t>1.2%</w:t>
      </w:r>
      <w:r w:rsidRPr="00F22930">
        <w:rPr>
          <w:rFonts w:ascii="仿宋" w:eastAsia="仿宋" w:hAnsi="仿宋" w:hint="eastAsia"/>
          <w:sz w:val="24"/>
          <w:szCs w:val="24"/>
        </w:rPr>
        <w:t>和</w:t>
      </w:r>
      <w:r w:rsidRPr="00F22930">
        <w:rPr>
          <w:rFonts w:ascii="仿宋" w:eastAsia="仿宋" w:hAnsi="仿宋"/>
          <w:sz w:val="24"/>
          <w:szCs w:val="24"/>
        </w:rPr>
        <w:t>1.2%</w:t>
      </w:r>
      <w:r w:rsidRPr="00F22930">
        <w:rPr>
          <w:rFonts w:ascii="仿宋" w:eastAsia="仿宋" w:hAnsi="仿宋" w:hint="eastAsia"/>
          <w:sz w:val="24"/>
          <w:szCs w:val="24"/>
        </w:rPr>
        <w:t>左右。本轮美国经济复苏同样伴随着其内部结构性调整，美国本土对汽车以及高端制造业等进口的增加使得欧日等出口导向型发达经济体受益颇多，因而发达国家经济尽管复苏步调并不完全一致，但周期上来看，美国经济的复苏对欧日经济的</w:t>
      </w:r>
      <w:proofErr w:type="gramStart"/>
      <w:r w:rsidRPr="00F22930">
        <w:rPr>
          <w:rFonts w:ascii="仿宋" w:eastAsia="仿宋" w:hAnsi="仿宋" w:hint="eastAsia"/>
          <w:sz w:val="24"/>
          <w:szCs w:val="24"/>
        </w:rPr>
        <w:t>传导仍</w:t>
      </w:r>
      <w:proofErr w:type="gramEnd"/>
      <w:r w:rsidRPr="00F22930">
        <w:rPr>
          <w:rFonts w:ascii="仿宋" w:eastAsia="仿宋" w:hAnsi="仿宋" w:hint="eastAsia"/>
          <w:sz w:val="24"/>
          <w:szCs w:val="24"/>
        </w:rPr>
        <w:t>较顺畅。相反，依赖大宗商品、原材料、低端产品出口的新兴国家经济本轮与美国经济联动并不算强，而这一现象在2015年仍将持续。全球整体需求较2008年危机前下了一个台阶，加之能源等商品价格持续暴跌，我们预计2015年全球通胀大幅上行风险偏低，短期需关注通胀预期下行风险。</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货币政策：美联储加息箭在弦上，而欧日宽松持续。</w:t>
      </w:r>
      <w:r w:rsidRPr="00F22930">
        <w:rPr>
          <w:rFonts w:ascii="仿宋" w:eastAsia="仿宋" w:hAnsi="仿宋"/>
          <w:sz w:val="24"/>
          <w:szCs w:val="24"/>
        </w:rPr>
        <w:t>2015</w:t>
      </w:r>
      <w:r w:rsidRPr="00F22930">
        <w:rPr>
          <w:rFonts w:ascii="仿宋" w:eastAsia="仿宋" w:hAnsi="仿宋" w:hint="eastAsia"/>
          <w:sz w:val="24"/>
          <w:szCs w:val="24"/>
        </w:rPr>
        <w:t>年发达国家货币政策将进一步分化：美联储首次加息时间的基准预测是</w:t>
      </w:r>
      <w:r w:rsidRPr="00F22930">
        <w:rPr>
          <w:rFonts w:ascii="仿宋" w:eastAsia="仿宋" w:hAnsi="仿宋"/>
          <w:sz w:val="24"/>
          <w:szCs w:val="24"/>
        </w:rPr>
        <w:t>2015</w:t>
      </w:r>
      <w:r w:rsidRPr="00F22930">
        <w:rPr>
          <w:rFonts w:ascii="仿宋" w:eastAsia="仿宋" w:hAnsi="仿宋" w:hint="eastAsia"/>
          <w:sz w:val="24"/>
          <w:szCs w:val="24"/>
        </w:rPr>
        <w:t>年</w:t>
      </w:r>
      <w:r w:rsidRPr="00F22930">
        <w:rPr>
          <w:rFonts w:ascii="仿宋" w:eastAsia="仿宋" w:hAnsi="仿宋"/>
          <w:sz w:val="24"/>
          <w:szCs w:val="24"/>
        </w:rPr>
        <w:t>6</w:t>
      </w:r>
      <w:r w:rsidRPr="00F22930">
        <w:rPr>
          <w:rFonts w:ascii="仿宋" w:eastAsia="仿宋" w:hAnsi="仿宋" w:hint="eastAsia"/>
          <w:sz w:val="24"/>
          <w:szCs w:val="24"/>
        </w:rPr>
        <w:t>月，在</w:t>
      </w:r>
      <w:r w:rsidRPr="00F22930">
        <w:rPr>
          <w:rFonts w:ascii="仿宋" w:eastAsia="仿宋" w:hAnsi="仿宋"/>
          <w:sz w:val="24"/>
          <w:szCs w:val="24"/>
        </w:rPr>
        <w:t>2015</w:t>
      </w:r>
      <w:r w:rsidRPr="00F22930">
        <w:rPr>
          <w:rFonts w:ascii="仿宋" w:eastAsia="仿宋" w:hAnsi="仿宋" w:hint="eastAsia"/>
          <w:sz w:val="24"/>
          <w:szCs w:val="24"/>
        </w:rPr>
        <w:t>年内可能加息</w:t>
      </w:r>
      <w:r w:rsidRPr="00F22930">
        <w:rPr>
          <w:rFonts w:ascii="仿宋" w:eastAsia="仿宋" w:hAnsi="仿宋"/>
          <w:sz w:val="24"/>
          <w:szCs w:val="24"/>
        </w:rPr>
        <w:t>1-2</w:t>
      </w:r>
      <w:r w:rsidRPr="00F22930">
        <w:rPr>
          <w:rFonts w:ascii="仿宋" w:eastAsia="仿宋" w:hAnsi="仿宋" w:hint="eastAsia"/>
          <w:sz w:val="24"/>
          <w:szCs w:val="24"/>
        </w:rPr>
        <w:t>次，每次力度可能在</w:t>
      </w:r>
      <w:r w:rsidRPr="00F22930">
        <w:rPr>
          <w:rFonts w:ascii="仿宋" w:eastAsia="仿宋" w:hAnsi="仿宋"/>
          <w:sz w:val="24"/>
          <w:szCs w:val="24"/>
        </w:rPr>
        <w:t>25bp</w:t>
      </w:r>
      <w:r w:rsidRPr="00F22930">
        <w:rPr>
          <w:rFonts w:ascii="仿宋" w:eastAsia="仿宋" w:hAnsi="仿宋" w:hint="eastAsia"/>
          <w:sz w:val="24"/>
          <w:szCs w:val="24"/>
        </w:rPr>
        <w:t>甚至更低。考虑到通胀低迷，欧央行有扩大资产购买的可能，</w:t>
      </w:r>
      <w:r w:rsidRPr="00F22930">
        <w:rPr>
          <w:rFonts w:ascii="仿宋" w:eastAsia="仿宋" w:hAnsi="仿宋"/>
          <w:sz w:val="24"/>
          <w:szCs w:val="24"/>
        </w:rPr>
        <w:t>2015</w:t>
      </w:r>
      <w:r w:rsidRPr="00F22930">
        <w:rPr>
          <w:rFonts w:ascii="仿宋" w:eastAsia="仿宋" w:hAnsi="仿宋" w:hint="eastAsia"/>
          <w:sz w:val="24"/>
          <w:szCs w:val="24"/>
        </w:rPr>
        <w:t>年</w:t>
      </w:r>
      <w:r w:rsidRPr="00F22930">
        <w:rPr>
          <w:rFonts w:ascii="仿宋" w:eastAsia="仿宋" w:hAnsi="仿宋"/>
          <w:sz w:val="24"/>
          <w:szCs w:val="24"/>
        </w:rPr>
        <w:t>2-3</w:t>
      </w:r>
      <w:r w:rsidRPr="00F22930">
        <w:rPr>
          <w:rFonts w:ascii="仿宋" w:eastAsia="仿宋" w:hAnsi="仿宋" w:hint="eastAsia"/>
          <w:sz w:val="24"/>
          <w:szCs w:val="24"/>
        </w:rPr>
        <w:t>月份欧央行推行</w:t>
      </w:r>
      <w:r w:rsidRPr="00F22930">
        <w:rPr>
          <w:rFonts w:ascii="仿宋" w:eastAsia="仿宋" w:hAnsi="仿宋"/>
          <w:sz w:val="24"/>
          <w:szCs w:val="24"/>
        </w:rPr>
        <w:t>QE</w:t>
      </w:r>
      <w:r w:rsidRPr="00F22930">
        <w:rPr>
          <w:rFonts w:ascii="仿宋" w:eastAsia="仿宋" w:hAnsi="仿宋" w:hint="eastAsia"/>
          <w:sz w:val="24"/>
          <w:szCs w:val="24"/>
        </w:rPr>
        <w:t>的可能性高（</w:t>
      </w:r>
      <w:r w:rsidRPr="00F22930">
        <w:rPr>
          <w:rFonts w:ascii="仿宋" w:eastAsia="仿宋" w:hAnsi="仿宋"/>
          <w:sz w:val="24"/>
          <w:szCs w:val="24"/>
        </w:rPr>
        <w:t>3</w:t>
      </w:r>
      <w:r w:rsidRPr="00F22930">
        <w:rPr>
          <w:rFonts w:ascii="仿宋" w:eastAsia="仿宋" w:hAnsi="仿宋" w:hint="eastAsia"/>
          <w:sz w:val="24"/>
          <w:szCs w:val="24"/>
        </w:rPr>
        <w:t>月份概率更大），预计欧央行资产负债表将扩大</w:t>
      </w:r>
      <w:r w:rsidRPr="00F22930">
        <w:rPr>
          <w:rFonts w:ascii="仿宋" w:eastAsia="仿宋" w:hAnsi="仿宋"/>
          <w:sz w:val="24"/>
          <w:szCs w:val="24"/>
        </w:rPr>
        <w:t>5</w:t>
      </w:r>
      <w:r w:rsidRPr="00F22930">
        <w:rPr>
          <w:rFonts w:ascii="仿宋" w:eastAsia="仿宋" w:hAnsi="仿宋" w:hint="eastAsia"/>
          <w:sz w:val="24"/>
          <w:szCs w:val="24"/>
        </w:rPr>
        <w:t>千</w:t>
      </w:r>
      <w:r w:rsidRPr="00F22930">
        <w:rPr>
          <w:rFonts w:ascii="仿宋" w:eastAsia="仿宋" w:hAnsi="仿宋"/>
          <w:sz w:val="24"/>
          <w:szCs w:val="24"/>
        </w:rPr>
        <w:t>-1</w:t>
      </w:r>
      <w:proofErr w:type="gramStart"/>
      <w:r w:rsidRPr="00F22930">
        <w:rPr>
          <w:rFonts w:ascii="仿宋" w:eastAsia="仿宋" w:hAnsi="仿宋" w:hint="eastAsia"/>
          <w:sz w:val="24"/>
          <w:szCs w:val="24"/>
        </w:rPr>
        <w:t>万亿</w:t>
      </w:r>
      <w:proofErr w:type="gramEnd"/>
      <w:r w:rsidRPr="00F22930">
        <w:rPr>
          <w:rFonts w:ascii="仿宋" w:eastAsia="仿宋" w:hAnsi="仿宋" w:hint="eastAsia"/>
          <w:sz w:val="24"/>
          <w:szCs w:val="24"/>
        </w:rPr>
        <w:t>欧元的规模，但主权债券购买对实体经济的拉动有限。日本央行仍有进一步宽松可能，但宽松效应递减。</w:t>
      </w:r>
      <w:r w:rsidRPr="00F22930">
        <w:rPr>
          <w:rFonts w:ascii="仿宋" w:eastAsia="仿宋" w:hAnsi="仿宋"/>
          <w:sz w:val="24"/>
          <w:szCs w:val="24"/>
        </w:rPr>
        <w:t>2015</w:t>
      </w:r>
      <w:r w:rsidRPr="00F22930">
        <w:rPr>
          <w:rFonts w:ascii="仿宋" w:eastAsia="仿宋" w:hAnsi="仿宋" w:hint="eastAsia"/>
          <w:sz w:val="24"/>
          <w:szCs w:val="24"/>
        </w:rPr>
        <w:t>年美债长</w:t>
      </w:r>
      <w:proofErr w:type="gramStart"/>
      <w:r w:rsidRPr="00F22930">
        <w:rPr>
          <w:rFonts w:ascii="仿宋" w:eastAsia="仿宋" w:hAnsi="仿宋" w:hint="eastAsia"/>
          <w:sz w:val="24"/>
          <w:szCs w:val="24"/>
        </w:rPr>
        <w:t>端利率</w:t>
      </w:r>
      <w:proofErr w:type="gramEnd"/>
      <w:r w:rsidRPr="00F22930">
        <w:rPr>
          <w:rFonts w:ascii="仿宋" w:eastAsia="仿宋" w:hAnsi="仿宋" w:hint="eastAsia"/>
          <w:sz w:val="24"/>
          <w:szCs w:val="24"/>
        </w:rPr>
        <w:t>缓步上行，对其他国家有一定溢出效应。</w:t>
      </w:r>
      <w:r w:rsidRPr="00F22930">
        <w:rPr>
          <w:rFonts w:ascii="仿宋" w:eastAsia="仿宋" w:hAnsi="仿宋"/>
          <w:sz w:val="24"/>
          <w:szCs w:val="24"/>
        </w:rPr>
        <w:t xml:space="preserve"> </w:t>
      </w:r>
    </w:p>
    <w:p w:rsidR="00F22930" w:rsidRPr="00F22930" w:rsidRDefault="00F22930" w:rsidP="00F22930">
      <w:pPr>
        <w:spacing w:line="324" w:lineRule="auto"/>
        <w:ind w:leftChars="1080" w:left="2268" w:rightChars="471" w:right="989"/>
        <w:jc w:val="left"/>
        <w:rPr>
          <w:rFonts w:ascii="仿宋" w:eastAsia="仿宋" w:hAnsi="仿宋"/>
          <w:sz w:val="24"/>
          <w:szCs w:val="24"/>
        </w:rPr>
      </w:pPr>
    </w:p>
    <w:p w:rsidR="00F22930" w:rsidRPr="00220E24" w:rsidRDefault="00F22930" w:rsidP="00220E24">
      <w:pPr>
        <w:pStyle w:val="ae"/>
        <w:numPr>
          <w:ilvl w:val="0"/>
          <w:numId w:val="22"/>
        </w:numPr>
        <w:spacing w:line="324" w:lineRule="auto"/>
        <w:ind w:rightChars="471" w:right="989" w:firstLineChars="0"/>
        <w:jc w:val="left"/>
        <w:rPr>
          <w:rFonts w:ascii="仿宋" w:eastAsia="仿宋" w:hAnsi="仿宋"/>
          <w:b/>
          <w:sz w:val="24"/>
          <w:szCs w:val="24"/>
        </w:rPr>
      </w:pPr>
      <w:r w:rsidRPr="00220E24">
        <w:rPr>
          <w:rFonts w:ascii="仿宋" w:eastAsia="仿宋" w:hAnsi="仿宋" w:hint="eastAsia"/>
          <w:b/>
          <w:sz w:val="24"/>
          <w:szCs w:val="24"/>
        </w:rPr>
        <w:t>全球市场展望：居民消费温和回升带动美国经济缓慢复苏；欧元区经济关键看货币政策传导是否顺畅；日本经济关键在于长期经济增长潜力能否恢复。</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sz w:val="24"/>
          <w:szCs w:val="24"/>
        </w:rPr>
        <w:lastRenderedPageBreak/>
        <w:t>2015</w:t>
      </w:r>
      <w:r w:rsidRPr="00F22930">
        <w:rPr>
          <w:rFonts w:ascii="仿宋" w:eastAsia="仿宋" w:hAnsi="仿宋" w:hint="eastAsia"/>
          <w:sz w:val="24"/>
          <w:szCs w:val="24"/>
        </w:rPr>
        <w:t>年，受益于油价下跌、就业改善、薪资增长、信贷环境改善、居民资产端明显扩张、居民债务偿付比大幅下降等，居民实际购买力预计会进一步回暖，美国居民消费将呈现温和回升。住宅投资方面，房地产投资已过强劲复苏阶段，按揭贷款供给改善，未来仍将维持温和复苏趋势；非住宅投资方面，耐用品和制造业订单</w:t>
      </w:r>
      <w:r w:rsidRPr="00F22930">
        <w:rPr>
          <w:rFonts w:ascii="仿宋" w:eastAsia="仿宋" w:hAnsi="仿宋"/>
          <w:sz w:val="24"/>
          <w:szCs w:val="24"/>
        </w:rPr>
        <w:t>2014</w:t>
      </w:r>
      <w:r w:rsidRPr="00F22930">
        <w:rPr>
          <w:rFonts w:ascii="仿宋" w:eastAsia="仿宋" w:hAnsi="仿宋" w:hint="eastAsia"/>
          <w:sz w:val="24"/>
          <w:szCs w:val="24"/>
        </w:rPr>
        <w:t>年以来增长较快，未来应为维持平稳扩张趋势，不过由于近来油价暴跌可能导致多数原油生产企业削减资本支出。</w:t>
      </w:r>
    </w:p>
    <w:p w:rsidR="00F22930" w:rsidRPr="00F22930" w:rsidRDefault="00F22930" w:rsidP="00D15D66">
      <w:pPr>
        <w:spacing w:line="324" w:lineRule="auto"/>
        <w:ind w:leftChars="1080" w:left="2268" w:rightChars="471" w:right="989" w:firstLineChars="200" w:firstLine="480"/>
        <w:jc w:val="left"/>
        <w:rPr>
          <w:rFonts w:ascii="仿宋" w:eastAsia="仿宋" w:hAnsi="仿宋" w:hint="eastAsia"/>
          <w:sz w:val="24"/>
          <w:szCs w:val="24"/>
        </w:rPr>
      </w:pPr>
      <w:r w:rsidRPr="00F22930">
        <w:rPr>
          <w:rFonts w:ascii="仿宋" w:eastAsia="仿宋" w:hAnsi="仿宋"/>
          <w:sz w:val="24"/>
          <w:szCs w:val="24"/>
        </w:rPr>
        <w:t>2015</w:t>
      </w:r>
      <w:r w:rsidRPr="00F22930">
        <w:rPr>
          <w:rFonts w:ascii="仿宋" w:eastAsia="仿宋" w:hAnsi="仿宋" w:hint="eastAsia"/>
          <w:sz w:val="24"/>
          <w:szCs w:val="24"/>
        </w:rPr>
        <w:t>年欧元区经济关键看货币政策传导是否顺畅。未来欧元区经济有望受益于欧元贬值和信贷环境改善（</w:t>
      </w:r>
      <w:r w:rsidRPr="00F22930">
        <w:rPr>
          <w:rFonts w:ascii="仿宋" w:eastAsia="仿宋" w:hAnsi="仿宋"/>
          <w:sz w:val="24"/>
          <w:szCs w:val="24"/>
        </w:rPr>
        <w:t>M3</w:t>
      </w:r>
      <w:r w:rsidRPr="00F22930">
        <w:rPr>
          <w:rFonts w:ascii="仿宋" w:eastAsia="仿宋" w:hAnsi="仿宋" w:hint="eastAsia"/>
          <w:sz w:val="24"/>
          <w:szCs w:val="24"/>
        </w:rPr>
        <w:t>、私人信贷、信贷标准），部分数据出现企稳迹象，但回升力度依然微弱。尽管欧央行</w:t>
      </w:r>
      <w:r w:rsidRPr="00F22930">
        <w:rPr>
          <w:rFonts w:ascii="仿宋" w:eastAsia="仿宋" w:hAnsi="仿宋"/>
          <w:sz w:val="24"/>
          <w:szCs w:val="24"/>
        </w:rPr>
        <w:t>9</w:t>
      </w:r>
      <w:r w:rsidRPr="00F22930">
        <w:rPr>
          <w:rFonts w:ascii="仿宋" w:eastAsia="仿宋" w:hAnsi="仿宋" w:hint="eastAsia"/>
          <w:sz w:val="24"/>
          <w:szCs w:val="24"/>
        </w:rPr>
        <w:t>月</w:t>
      </w:r>
      <w:r w:rsidRPr="00F22930">
        <w:rPr>
          <w:rFonts w:ascii="仿宋" w:eastAsia="仿宋" w:hAnsi="仿宋"/>
          <w:sz w:val="24"/>
          <w:szCs w:val="24"/>
        </w:rPr>
        <w:t>4</w:t>
      </w:r>
      <w:r w:rsidRPr="00F22930">
        <w:rPr>
          <w:rFonts w:ascii="仿宋" w:eastAsia="仿宋" w:hAnsi="仿宋" w:hint="eastAsia"/>
          <w:sz w:val="24"/>
          <w:szCs w:val="24"/>
        </w:rPr>
        <w:t>日会议上降息的同时宣布</w:t>
      </w:r>
      <w:r w:rsidRPr="00F22930">
        <w:rPr>
          <w:rFonts w:ascii="仿宋" w:eastAsia="仿宋" w:hAnsi="仿宋"/>
          <w:sz w:val="24"/>
          <w:szCs w:val="24"/>
        </w:rPr>
        <w:t>10</w:t>
      </w:r>
      <w:r w:rsidRPr="00F22930">
        <w:rPr>
          <w:rFonts w:ascii="仿宋" w:eastAsia="仿宋" w:hAnsi="仿宋" w:hint="eastAsia"/>
          <w:sz w:val="24"/>
          <w:szCs w:val="24"/>
        </w:rPr>
        <w:t>月份启动</w:t>
      </w:r>
      <w:r w:rsidRPr="00F22930">
        <w:rPr>
          <w:rFonts w:ascii="仿宋" w:eastAsia="仿宋" w:hAnsi="仿宋"/>
          <w:sz w:val="24"/>
          <w:szCs w:val="24"/>
        </w:rPr>
        <w:t>ABS</w:t>
      </w:r>
      <w:r w:rsidRPr="00F22930">
        <w:rPr>
          <w:rFonts w:ascii="仿宋" w:eastAsia="仿宋" w:hAnsi="仿宋" w:hint="eastAsia"/>
          <w:sz w:val="24"/>
          <w:szCs w:val="24"/>
        </w:rPr>
        <w:t>和担保债券购买计划，并于</w:t>
      </w:r>
      <w:r w:rsidRPr="00F22930">
        <w:rPr>
          <w:rFonts w:ascii="仿宋" w:eastAsia="仿宋" w:hAnsi="仿宋"/>
          <w:sz w:val="24"/>
          <w:szCs w:val="24"/>
        </w:rPr>
        <w:t>9</w:t>
      </w:r>
      <w:r w:rsidRPr="00F22930">
        <w:rPr>
          <w:rFonts w:ascii="仿宋" w:eastAsia="仿宋" w:hAnsi="仿宋" w:hint="eastAsia"/>
          <w:sz w:val="24"/>
          <w:szCs w:val="24"/>
        </w:rPr>
        <w:t>月</w:t>
      </w:r>
      <w:r w:rsidRPr="00F22930">
        <w:rPr>
          <w:rFonts w:ascii="仿宋" w:eastAsia="仿宋" w:hAnsi="仿宋"/>
          <w:sz w:val="24"/>
          <w:szCs w:val="24"/>
        </w:rPr>
        <w:t>18</w:t>
      </w:r>
      <w:r w:rsidRPr="00F22930">
        <w:rPr>
          <w:rFonts w:ascii="仿宋" w:eastAsia="仿宋" w:hAnsi="仿宋" w:hint="eastAsia"/>
          <w:sz w:val="24"/>
          <w:szCs w:val="24"/>
        </w:rPr>
        <w:t>日和</w:t>
      </w:r>
      <w:r w:rsidRPr="00F22930">
        <w:rPr>
          <w:rFonts w:ascii="仿宋" w:eastAsia="仿宋" w:hAnsi="仿宋"/>
          <w:sz w:val="24"/>
          <w:szCs w:val="24"/>
        </w:rPr>
        <w:t>12</w:t>
      </w:r>
      <w:r w:rsidRPr="00F22930">
        <w:rPr>
          <w:rFonts w:ascii="仿宋" w:eastAsia="仿宋" w:hAnsi="仿宋" w:hint="eastAsia"/>
          <w:sz w:val="24"/>
          <w:szCs w:val="24"/>
        </w:rPr>
        <w:t>月</w:t>
      </w:r>
      <w:r w:rsidRPr="00F22930">
        <w:rPr>
          <w:rFonts w:ascii="仿宋" w:eastAsia="仿宋" w:hAnsi="仿宋"/>
          <w:sz w:val="24"/>
          <w:szCs w:val="24"/>
        </w:rPr>
        <w:t>11</w:t>
      </w:r>
      <w:r w:rsidRPr="00F22930">
        <w:rPr>
          <w:rFonts w:ascii="仿宋" w:eastAsia="仿宋" w:hAnsi="仿宋" w:hint="eastAsia"/>
          <w:sz w:val="24"/>
          <w:szCs w:val="24"/>
        </w:rPr>
        <w:t>日通过两轮</w:t>
      </w:r>
      <w:r w:rsidRPr="00F22930">
        <w:rPr>
          <w:rFonts w:ascii="仿宋" w:eastAsia="仿宋" w:hAnsi="仿宋"/>
          <w:sz w:val="24"/>
          <w:szCs w:val="24"/>
        </w:rPr>
        <w:t>TLTRO</w:t>
      </w:r>
      <w:r w:rsidRPr="00F22930">
        <w:rPr>
          <w:rFonts w:ascii="仿宋" w:eastAsia="仿宋" w:hAnsi="仿宋" w:hint="eastAsia"/>
          <w:sz w:val="24"/>
          <w:szCs w:val="24"/>
        </w:rPr>
        <w:t>以</w:t>
      </w:r>
      <w:r w:rsidRPr="00F22930">
        <w:rPr>
          <w:rFonts w:ascii="仿宋" w:eastAsia="仿宋" w:hAnsi="仿宋"/>
          <w:sz w:val="24"/>
          <w:szCs w:val="24"/>
        </w:rPr>
        <w:t>0.15%</w:t>
      </w:r>
      <w:r w:rsidRPr="00F22930">
        <w:rPr>
          <w:rFonts w:ascii="仿宋" w:eastAsia="仿宋" w:hAnsi="仿宋" w:hint="eastAsia"/>
          <w:sz w:val="24"/>
          <w:szCs w:val="24"/>
        </w:rPr>
        <w:t>固定利率区内商业银行发放了合计投放</w:t>
      </w:r>
      <w:r w:rsidRPr="00F22930">
        <w:rPr>
          <w:rFonts w:ascii="仿宋" w:eastAsia="仿宋" w:hAnsi="仿宋"/>
          <w:sz w:val="24"/>
          <w:szCs w:val="24"/>
        </w:rPr>
        <w:t>2124.4</w:t>
      </w:r>
      <w:r w:rsidRPr="00F22930">
        <w:rPr>
          <w:rFonts w:ascii="仿宋" w:eastAsia="仿宋" w:hAnsi="仿宋" w:hint="eastAsia"/>
          <w:sz w:val="24"/>
          <w:szCs w:val="24"/>
        </w:rPr>
        <w:t>亿欧元贷款，但宽松政策的执行力度仍然远低于</w:t>
      </w:r>
      <w:proofErr w:type="gramStart"/>
      <w:r w:rsidRPr="00F22930">
        <w:rPr>
          <w:rFonts w:ascii="仿宋" w:eastAsia="仿宋" w:hAnsi="仿宋" w:hint="eastAsia"/>
          <w:sz w:val="24"/>
          <w:szCs w:val="24"/>
        </w:rPr>
        <w:t>徳</w:t>
      </w:r>
      <w:proofErr w:type="gramEnd"/>
      <w:r w:rsidRPr="00F22930">
        <w:rPr>
          <w:rFonts w:ascii="仿宋" w:eastAsia="仿宋" w:hAnsi="仿宋" w:hint="eastAsia"/>
          <w:sz w:val="24"/>
          <w:szCs w:val="24"/>
        </w:rPr>
        <w:t>拉吉预计的</w:t>
      </w:r>
      <w:r w:rsidRPr="00F22930">
        <w:rPr>
          <w:rFonts w:ascii="仿宋" w:eastAsia="仿宋" w:hAnsi="仿宋"/>
          <w:sz w:val="24"/>
          <w:szCs w:val="24"/>
        </w:rPr>
        <w:t>4000</w:t>
      </w:r>
      <w:r w:rsidRPr="00F22930">
        <w:rPr>
          <w:rFonts w:ascii="仿宋" w:eastAsia="仿宋" w:hAnsi="仿宋" w:hint="eastAsia"/>
          <w:sz w:val="24"/>
          <w:szCs w:val="24"/>
        </w:rPr>
        <w:t>亿欧元目标。考虑到通胀低迷的现状（核心</w:t>
      </w:r>
      <w:r w:rsidRPr="00F22930">
        <w:rPr>
          <w:rFonts w:ascii="仿宋" w:eastAsia="仿宋" w:hAnsi="仿宋"/>
          <w:sz w:val="24"/>
          <w:szCs w:val="24"/>
        </w:rPr>
        <w:t>CPI</w:t>
      </w:r>
      <w:r w:rsidRPr="00F22930">
        <w:rPr>
          <w:rFonts w:ascii="仿宋" w:eastAsia="仿宋" w:hAnsi="仿宋" w:hint="eastAsia"/>
          <w:sz w:val="24"/>
          <w:szCs w:val="24"/>
        </w:rPr>
        <w:t>同比降至</w:t>
      </w:r>
      <w:r w:rsidRPr="00F22930">
        <w:rPr>
          <w:rFonts w:ascii="仿宋" w:eastAsia="仿宋" w:hAnsi="仿宋"/>
          <w:sz w:val="24"/>
          <w:szCs w:val="24"/>
        </w:rPr>
        <w:t>0.7%</w:t>
      </w:r>
      <w:r w:rsidRPr="00F22930">
        <w:rPr>
          <w:rFonts w:ascii="仿宋" w:eastAsia="仿宋" w:hAnsi="仿宋" w:hint="eastAsia"/>
          <w:sz w:val="24"/>
          <w:szCs w:val="24"/>
        </w:rPr>
        <w:t>），市场对未来欧央行推出全面</w:t>
      </w:r>
      <w:r w:rsidRPr="00F22930">
        <w:rPr>
          <w:rFonts w:ascii="仿宋" w:eastAsia="仿宋" w:hAnsi="仿宋"/>
          <w:sz w:val="24"/>
          <w:szCs w:val="24"/>
        </w:rPr>
        <w:t>QE</w:t>
      </w:r>
      <w:r w:rsidRPr="00F22930">
        <w:rPr>
          <w:rFonts w:ascii="仿宋" w:eastAsia="仿宋" w:hAnsi="仿宋" w:hint="eastAsia"/>
          <w:sz w:val="24"/>
          <w:szCs w:val="24"/>
        </w:rPr>
        <w:t>的预期升温。我们预计，2015年2-3月份欧央行推行QE的可能性高（3月份概率更大），预计欧央行资产负债表将扩大5千-1</w:t>
      </w:r>
      <w:proofErr w:type="gramStart"/>
      <w:r w:rsidRPr="00F22930">
        <w:rPr>
          <w:rFonts w:ascii="仿宋" w:eastAsia="仿宋" w:hAnsi="仿宋" w:hint="eastAsia"/>
          <w:sz w:val="24"/>
          <w:szCs w:val="24"/>
        </w:rPr>
        <w:t>万亿</w:t>
      </w:r>
      <w:proofErr w:type="gramEnd"/>
      <w:r w:rsidRPr="00F22930">
        <w:rPr>
          <w:rFonts w:ascii="仿宋" w:eastAsia="仿宋" w:hAnsi="仿宋" w:hint="eastAsia"/>
          <w:sz w:val="24"/>
          <w:szCs w:val="24"/>
        </w:rPr>
        <w:t>欧元的规模，可能购买的资产包括企业债，银行金融债以及主权国债等，QE资产购买的形式将较美联储灵活。当然，欧央行内部分歧的加大也可能成为全面QE的主要障碍。</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日本经济关键在于长期经济增长潜力能否恢复。短期风险来自实际薪资萎缩以及资本支出增长乏力；中长期风险来自国内储蓄下滑和经常账户顺差恶化（对日政府融资能力的担忧）。</w:t>
      </w:r>
      <w:r w:rsidRPr="00F22930">
        <w:rPr>
          <w:rFonts w:ascii="仿宋" w:eastAsia="仿宋" w:hAnsi="仿宋"/>
          <w:sz w:val="24"/>
          <w:szCs w:val="24"/>
        </w:rPr>
        <w:t xml:space="preserve"> </w:t>
      </w:r>
      <w:r w:rsidRPr="00F22930">
        <w:rPr>
          <w:rFonts w:ascii="仿宋" w:eastAsia="仿宋" w:hAnsi="仿宋" w:hint="eastAsia"/>
          <w:sz w:val="24"/>
          <w:szCs w:val="24"/>
        </w:rPr>
        <w:t>货币政策并不能从根本上解决日本经济的问题。帮助经济走出通</w:t>
      </w:r>
      <w:proofErr w:type="gramStart"/>
      <w:r w:rsidRPr="00F22930">
        <w:rPr>
          <w:rFonts w:ascii="仿宋" w:eastAsia="仿宋" w:hAnsi="仿宋" w:hint="eastAsia"/>
          <w:sz w:val="24"/>
          <w:szCs w:val="24"/>
        </w:rPr>
        <w:t>缩更多</w:t>
      </w:r>
      <w:proofErr w:type="gramEnd"/>
      <w:r w:rsidRPr="00F22930">
        <w:rPr>
          <w:rFonts w:ascii="仿宋" w:eastAsia="仿宋" w:hAnsi="仿宋" w:hint="eastAsia"/>
          <w:sz w:val="24"/>
          <w:szCs w:val="24"/>
        </w:rPr>
        <w:t>需要生产率和实际薪资水平的提升，而这正是安</w:t>
      </w:r>
      <w:proofErr w:type="gramStart"/>
      <w:r w:rsidRPr="00F22930">
        <w:rPr>
          <w:rFonts w:ascii="仿宋" w:eastAsia="仿宋" w:hAnsi="仿宋" w:hint="eastAsia"/>
          <w:sz w:val="24"/>
          <w:szCs w:val="24"/>
        </w:rPr>
        <w:t>倍</w:t>
      </w:r>
      <w:proofErr w:type="gramEnd"/>
      <w:r w:rsidRPr="00F22930">
        <w:rPr>
          <w:rFonts w:ascii="仿宋" w:eastAsia="仿宋" w:hAnsi="仿宋" w:hint="eastAsia"/>
          <w:sz w:val="24"/>
          <w:szCs w:val="24"/>
        </w:rPr>
        <w:t>经济学第三支</w:t>
      </w:r>
      <w:proofErr w:type="gramStart"/>
      <w:r w:rsidRPr="00F22930">
        <w:rPr>
          <w:rFonts w:ascii="仿宋" w:eastAsia="仿宋" w:hAnsi="仿宋" w:hint="eastAsia"/>
          <w:sz w:val="24"/>
          <w:szCs w:val="24"/>
        </w:rPr>
        <w:t>箭</w:t>
      </w:r>
      <w:proofErr w:type="gramEnd"/>
      <w:r w:rsidRPr="00F22930">
        <w:rPr>
          <w:rFonts w:ascii="仿宋" w:eastAsia="仿宋" w:hAnsi="仿宋" w:hint="eastAsia"/>
          <w:sz w:val="24"/>
          <w:szCs w:val="24"/>
        </w:rPr>
        <w:t>着力希望解决的结构性增长问题，但是目前结构性政策进展甚微。</w:t>
      </w:r>
      <w:r w:rsidRPr="00F22930">
        <w:rPr>
          <w:rFonts w:ascii="仿宋" w:eastAsia="仿宋" w:hAnsi="仿宋"/>
          <w:sz w:val="24"/>
          <w:szCs w:val="24"/>
        </w:rPr>
        <w:t xml:space="preserve"> </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sz w:val="24"/>
          <w:szCs w:val="24"/>
        </w:rPr>
        <w:t>2015</w:t>
      </w:r>
      <w:r w:rsidRPr="00F22930">
        <w:rPr>
          <w:rFonts w:ascii="仿宋" w:eastAsia="仿宋" w:hAnsi="仿宋" w:hint="eastAsia"/>
          <w:sz w:val="24"/>
          <w:szCs w:val="24"/>
        </w:rPr>
        <w:t>年全球资本市场的主题可能主要围绕以下三点：</w:t>
      </w:r>
      <w:r w:rsidRPr="00F22930">
        <w:rPr>
          <w:rFonts w:ascii="仿宋" w:eastAsia="仿宋" w:hAnsi="仿宋"/>
          <w:sz w:val="24"/>
          <w:szCs w:val="24"/>
        </w:rPr>
        <w:t>1</w:t>
      </w:r>
      <w:r w:rsidRPr="00F22930">
        <w:rPr>
          <w:rFonts w:ascii="仿宋" w:eastAsia="仿宋" w:hAnsi="仿宋" w:hint="eastAsia"/>
          <w:sz w:val="24"/>
          <w:szCs w:val="24"/>
        </w:rPr>
        <w:t>）美元升值：美国经济复苏坚实以及货币政策正常化意味着美元升值周期持续；</w:t>
      </w:r>
      <w:r w:rsidRPr="00F22930">
        <w:rPr>
          <w:rFonts w:ascii="仿宋" w:eastAsia="仿宋" w:hAnsi="仿宋"/>
          <w:sz w:val="24"/>
          <w:szCs w:val="24"/>
        </w:rPr>
        <w:t>2</w:t>
      </w:r>
      <w:r w:rsidRPr="00F22930">
        <w:rPr>
          <w:rFonts w:ascii="仿宋" w:eastAsia="仿宋" w:hAnsi="仿宋" w:hint="eastAsia"/>
          <w:sz w:val="24"/>
          <w:szCs w:val="24"/>
        </w:rPr>
        <w:t>）美股估值较高：流动性充裕背景下，多数美元资产估值步入较高区间，尽管未来美股盈利增速可能下降，但美国仍处经济周期中期，加息初期基本面对美</w:t>
      </w:r>
      <w:proofErr w:type="gramStart"/>
      <w:r w:rsidRPr="00F22930">
        <w:rPr>
          <w:rFonts w:ascii="仿宋" w:eastAsia="仿宋" w:hAnsi="仿宋" w:hint="eastAsia"/>
          <w:sz w:val="24"/>
          <w:szCs w:val="24"/>
        </w:rPr>
        <w:t>股资产</w:t>
      </w:r>
      <w:proofErr w:type="gramEnd"/>
      <w:r w:rsidRPr="00F22930">
        <w:rPr>
          <w:rFonts w:ascii="仿宋" w:eastAsia="仿宋" w:hAnsi="仿宋" w:hint="eastAsia"/>
          <w:sz w:val="24"/>
          <w:szCs w:val="24"/>
        </w:rPr>
        <w:t>仍有一定支撑；</w:t>
      </w:r>
      <w:r w:rsidRPr="00F22930">
        <w:rPr>
          <w:rFonts w:ascii="仿宋" w:eastAsia="仿宋" w:hAnsi="仿宋"/>
          <w:sz w:val="24"/>
          <w:szCs w:val="24"/>
        </w:rPr>
        <w:t>3</w:t>
      </w:r>
      <w:r w:rsidRPr="00F22930">
        <w:rPr>
          <w:rFonts w:ascii="仿宋" w:eastAsia="仿宋" w:hAnsi="仿宋" w:hint="eastAsia"/>
          <w:sz w:val="24"/>
          <w:szCs w:val="24"/>
        </w:rPr>
        <w:t>）美联储加息：美联储加息已箭在弦上，依据经济数据而定意味着更多波动，随着美联储启动加息周期，实际利率将缓慢上行。经济以及货币政策分化，需要分散风险，</w:t>
      </w:r>
      <w:r w:rsidRPr="00F22930">
        <w:rPr>
          <w:rFonts w:ascii="仿宋" w:eastAsia="仿宋" w:hAnsi="仿宋" w:hint="eastAsia"/>
          <w:sz w:val="24"/>
          <w:szCs w:val="24"/>
        </w:rPr>
        <w:lastRenderedPageBreak/>
        <w:t>警惕波动率上升。</w:t>
      </w:r>
    </w:p>
    <w:p w:rsidR="00F22930" w:rsidRPr="00D15D66" w:rsidRDefault="00F22930" w:rsidP="00D15D66">
      <w:pPr>
        <w:tabs>
          <w:tab w:val="left" w:pos="7162"/>
        </w:tabs>
        <w:spacing w:before="240" w:line="324" w:lineRule="auto"/>
        <w:ind w:leftChars="1080" w:left="2268" w:rightChars="471" w:right="989"/>
        <w:jc w:val="left"/>
        <w:rPr>
          <w:rFonts w:ascii="仿宋" w:eastAsia="仿宋" w:hAnsi="仿宋" w:hint="eastAsia"/>
          <w:b/>
          <w:color w:val="082F6B"/>
          <w:sz w:val="24"/>
          <w:szCs w:val="44"/>
        </w:rPr>
      </w:pPr>
      <w:r w:rsidRPr="00D15D66">
        <w:rPr>
          <w:rFonts w:ascii="仿宋" w:eastAsia="仿宋" w:hAnsi="仿宋" w:hint="eastAsia"/>
          <w:b/>
          <w:color w:val="082F6B"/>
          <w:sz w:val="24"/>
          <w:szCs w:val="44"/>
        </w:rPr>
        <w:t>中国股票市场展望及配置建议</w:t>
      </w:r>
    </w:p>
    <w:p w:rsidR="00F22930" w:rsidRPr="00D15D66" w:rsidRDefault="00F22930" w:rsidP="00D15D66">
      <w:pPr>
        <w:pStyle w:val="ae"/>
        <w:numPr>
          <w:ilvl w:val="0"/>
          <w:numId w:val="22"/>
        </w:numPr>
        <w:spacing w:line="324" w:lineRule="auto"/>
        <w:ind w:rightChars="471" w:right="989" w:firstLineChars="0"/>
        <w:jc w:val="left"/>
        <w:rPr>
          <w:rFonts w:ascii="仿宋" w:eastAsia="仿宋" w:hAnsi="仿宋"/>
          <w:b/>
          <w:sz w:val="24"/>
          <w:szCs w:val="24"/>
        </w:rPr>
      </w:pPr>
      <w:r w:rsidRPr="00D15D66">
        <w:rPr>
          <w:rFonts w:ascii="仿宋" w:eastAsia="仿宋" w:hAnsi="仿宋" w:hint="eastAsia"/>
          <w:b/>
          <w:sz w:val="24"/>
          <w:szCs w:val="24"/>
        </w:rPr>
        <w:t>市场整体判断：</w:t>
      </w:r>
      <w:r w:rsidRPr="00D15D66">
        <w:rPr>
          <w:rFonts w:ascii="仿宋" w:eastAsia="仿宋" w:hAnsi="仿宋"/>
          <w:b/>
          <w:sz w:val="24"/>
          <w:szCs w:val="24"/>
        </w:rPr>
        <w:t>2015</w:t>
      </w:r>
      <w:r w:rsidRPr="00D15D66">
        <w:rPr>
          <w:rFonts w:ascii="仿宋" w:eastAsia="仿宋" w:hAnsi="仿宋" w:hint="eastAsia"/>
          <w:b/>
          <w:sz w:val="24"/>
          <w:szCs w:val="24"/>
        </w:rPr>
        <w:t>年国内</w:t>
      </w:r>
      <w:r w:rsidRPr="00D15D66">
        <w:rPr>
          <w:rFonts w:ascii="仿宋" w:eastAsia="仿宋" w:hAnsi="仿宋"/>
          <w:b/>
          <w:sz w:val="24"/>
          <w:szCs w:val="24"/>
        </w:rPr>
        <w:t>A</w:t>
      </w:r>
      <w:r w:rsidRPr="00D15D66">
        <w:rPr>
          <w:rFonts w:ascii="仿宋" w:eastAsia="仿宋" w:hAnsi="仿宋" w:hint="eastAsia"/>
          <w:b/>
          <w:sz w:val="24"/>
          <w:szCs w:val="24"/>
        </w:rPr>
        <w:t>股市场或将呈现慢牛格局，但其中可能会有较大波动而并非</w:t>
      </w:r>
      <w:r w:rsidRPr="00D15D66">
        <w:rPr>
          <w:rFonts w:ascii="仿宋" w:eastAsia="仿宋" w:hAnsi="仿宋"/>
          <w:b/>
          <w:sz w:val="24"/>
          <w:szCs w:val="24"/>
        </w:rPr>
        <w:t>07</w:t>
      </w:r>
      <w:r w:rsidRPr="00D15D66">
        <w:rPr>
          <w:rFonts w:ascii="仿宋" w:eastAsia="仿宋" w:hAnsi="仿宋" w:hint="eastAsia"/>
          <w:b/>
          <w:sz w:val="24"/>
          <w:szCs w:val="24"/>
        </w:rPr>
        <w:t>年的单边行情。</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我们认为目前经济处于逐步寻底的状态。流动性可能继续维持宽松，总体来说对资本市场估值提升有利。</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一方面，伴随实体经济需求的回落、刚性兑付的逐渐打破，货币政策保持相对略松格局可能将是常态，国内无风险利率仍有一定下行空间，这将提升整体蓝</w:t>
      </w:r>
      <w:proofErr w:type="gramStart"/>
      <w:r w:rsidRPr="00F22930">
        <w:rPr>
          <w:rFonts w:ascii="仿宋" w:eastAsia="仿宋" w:hAnsi="仿宋" w:hint="eastAsia"/>
          <w:sz w:val="24"/>
          <w:szCs w:val="24"/>
        </w:rPr>
        <w:t>筹板块</w:t>
      </w:r>
      <w:proofErr w:type="gramEnd"/>
      <w:r w:rsidRPr="00F22930">
        <w:rPr>
          <w:rFonts w:ascii="仿宋" w:eastAsia="仿宋" w:hAnsi="仿宋" w:hint="eastAsia"/>
          <w:sz w:val="24"/>
          <w:szCs w:val="24"/>
        </w:rPr>
        <w:t>的估值回升。</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另一方面，三中全会制定的改革宏伟蓝图仍将不断深化，沪港通开闸将吸引一部分外部资金</w:t>
      </w:r>
      <w:proofErr w:type="gramStart"/>
      <w:r w:rsidRPr="00F22930">
        <w:rPr>
          <w:rFonts w:ascii="仿宋" w:eastAsia="仿宋" w:hAnsi="仿宋" w:hint="eastAsia"/>
          <w:sz w:val="24"/>
          <w:szCs w:val="24"/>
        </w:rPr>
        <w:t>流入低</w:t>
      </w:r>
      <w:proofErr w:type="gramEnd"/>
      <w:r w:rsidRPr="00F22930">
        <w:rPr>
          <w:rFonts w:ascii="仿宋" w:eastAsia="仿宋" w:hAnsi="仿宋" w:hint="eastAsia"/>
          <w:sz w:val="24"/>
          <w:szCs w:val="24"/>
        </w:rPr>
        <w:t>估值蓝</w:t>
      </w:r>
      <w:proofErr w:type="gramStart"/>
      <w:r w:rsidRPr="00F22930">
        <w:rPr>
          <w:rFonts w:ascii="仿宋" w:eastAsia="仿宋" w:hAnsi="仿宋" w:hint="eastAsia"/>
          <w:sz w:val="24"/>
          <w:szCs w:val="24"/>
        </w:rPr>
        <w:t>筹消费</w:t>
      </w:r>
      <w:proofErr w:type="gramEnd"/>
      <w:r w:rsidRPr="00F22930">
        <w:rPr>
          <w:rFonts w:ascii="仿宋" w:eastAsia="仿宋" w:hAnsi="仿宋" w:hint="eastAsia"/>
          <w:sz w:val="24"/>
          <w:szCs w:val="24"/>
        </w:rPr>
        <w:t>板块、反腐进程的推进及依法治国的目标预期将带来政治环境长期改善的预期，均将有力支撑</w:t>
      </w:r>
      <w:r w:rsidRPr="00F22930">
        <w:rPr>
          <w:rFonts w:ascii="仿宋" w:eastAsia="仿宋" w:hAnsi="仿宋"/>
          <w:sz w:val="24"/>
          <w:szCs w:val="24"/>
        </w:rPr>
        <w:t>A</w:t>
      </w:r>
      <w:r w:rsidRPr="00F22930">
        <w:rPr>
          <w:rFonts w:ascii="仿宋" w:eastAsia="仿宋" w:hAnsi="仿宋" w:hint="eastAsia"/>
          <w:sz w:val="24"/>
          <w:szCs w:val="24"/>
        </w:rPr>
        <w:t>股的整体估值进一步提高一个台阶。</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从自下而上的层面来看，过去一年多来大量个股在转型或改革等憧憬的带动下估值有了明显的提升，甚至产生了部分局部的泡沫化倾向，而未来将是转型逐渐兑现和改革逐步落地的过程，在这个过程中，一方面其进展可能略有不确定性，另一方面也可能带来部分领域的阵痛。如果我们考虑注册制在明年年底前推行的可能性，那么这可能导致部分个股的估值存在一定收缩的可能。因此在小市值个股的选择上除了围绕成长和主题两条主线外，需要对其估值进行一定程度的</w:t>
      </w:r>
      <w:proofErr w:type="gramStart"/>
      <w:r w:rsidRPr="00F22930">
        <w:rPr>
          <w:rFonts w:ascii="仿宋" w:eastAsia="仿宋" w:hAnsi="仿宋" w:hint="eastAsia"/>
          <w:sz w:val="24"/>
          <w:szCs w:val="24"/>
        </w:rPr>
        <w:t>考量</w:t>
      </w:r>
      <w:proofErr w:type="gramEnd"/>
      <w:r w:rsidRPr="00F22930">
        <w:rPr>
          <w:rFonts w:ascii="仿宋" w:eastAsia="仿宋" w:hAnsi="仿宋" w:hint="eastAsia"/>
          <w:sz w:val="24"/>
          <w:szCs w:val="24"/>
        </w:rPr>
        <w:t>。</w:t>
      </w:r>
    </w:p>
    <w:p w:rsidR="00F22930" w:rsidRPr="00F22930" w:rsidRDefault="00F22930" w:rsidP="00F22930">
      <w:pPr>
        <w:spacing w:line="324" w:lineRule="auto"/>
        <w:ind w:leftChars="1080" w:left="2268" w:rightChars="471" w:right="989"/>
        <w:jc w:val="left"/>
        <w:rPr>
          <w:rFonts w:ascii="仿宋" w:eastAsia="仿宋" w:hAnsi="仿宋"/>
          <w:sz w:val="24"/>
          <w:szCs w:val="24"/>
        </w:rPr>
      </w:pPr>
      <w:r w:rsidRPr="00F22930">
        <w:rPr>
          <w:rFonts w:ascii="仿宋" w:eastAsia="仿宋" w:hAnsi="仿宋"/>
          <w:sz w:val="24"/>
          <w:szCs w:val="24"/>
        </w:rPr>
        <w:t></w:t>
      </w:r>
      <w:r w:rsidRPr="00F22930">
        <w:rPr>
          <w:rFonts w:ascii="仿宋" w:eastAsia="仿宋" w:hAnsi="仿宋"/>
          <w:sz w:val="24"/>
          <w:szCs w:val="24"/>
        </w:rPr>
        <w:tab/>
      </w:r>
      <w:r w:rsidRPr="00F22930">
        <w:rPr>
          <w:rFonts w:ascii="仿宋" w:eastAsia="仿宋" w:hAnsi="仿宋" w:hint="eastAsia"/>
          <w:sz w:val="24"/>
          <w:szCs w:val="24"/>
        </w:rPr>
        <w:t>总体而言，鉴于经济温和增长及实体经济流动性包括房地产资金不断进入的虚拟资本市场的大背景下，我们将重点关注在流动性略松的环境下挑选低估值的蓝</w:t>
      </w:r>
      <w:proofErr w:type="gramStart"/>
      <w:r w:rsidRPr="00F22930">
        <w:rPr>
          <w:rFonts w:ascii="仿宋" w:eastAsia="仿宋" w:hAnsi="仿宋" w:hint="eastAsia"/>
          <w:sz w:val="24"/>
          <w:szCs w:val="24"/>
        </w:rPr>
        <w:t>筹板块</w:t>
      </w:r>
      <w:proofErr w:type="gramEnd"/>
      <w:r w:rsidRPr="00F22930">
        <w:rPr>
          <w:rFonts w:ascii="仿宋" w:eastAsia="仿宋" w:hAnsi="仿宋" w:hint="eastAsia"/>
          <w:sz w:val="24"/>
          <w:szCs w:val="24"/>
        </w:rPr>
        <w:t>以及轮动后的消费类板块表现。</w:t>
      </w:r>
    </w:p>
    <w:p w:rsidR="00F22930" w:rsidRPr="00F22930" w:rsidRDefault="00F22930" w:rsidP="00F22930">
      <w:pPr>
        <w:spacing w:line="324" w:lineRule="auto"/>
        <w:ind w:leftChars="1080" w:left="2268" w:rightChars="471" w:right="989"/>
        <w:jc w:val="left"/>
        <w:rPr>
          <w:rFonts w:ascii="仿宋" w:eastAsia="仿宋" w:hAnsi="仿宋"/>
          <w:sz w:val="24"/>
          <w:szCs w:val="24"/>
        </w:rPr>
      </w:pPr>
    </w:p>
    <w:p w:rsidR="00F22930" w:rsidRPr="00D15D66" w:rsidRDefault="00F22930" w:rsidP="00D15D66">
      <w:pPr>
        <w:pStyle w:val="ae"/>
        <w:numPr>
          <w:ilvl w:val="0"/>
          <w:numId w:val="22"/>
        </w:numPr>
        <w:spacing w:line="324" w:lineRule="auto"/>
        <w:ind w:rightChars="471" w:right="989" w:firstLineChars="0"/>
        <w:jc w:val="left"/>
        <w:rPr>
          <w:rFonts w:ascii="仿宋" w:eastAsia="仿宋" w:hAnsi="仿宋"/>
          <w:b/>
          <w:sz w:val="24"/>
          <w:szCs w:val="24"/>
        </w:rPr>
      </w:pPr>
      <w:r w:rsidRPr="00D15D66">
        <w:rPr>
          <w:rFonts w:ascii="仿宋" w:eastAsia="仿宋" w:hAnsi="仿宋" w:hint="eastAsia"/>
          <w:b/>
          <w:sz w:val="24"/>
          <w:szCs w:val="24"/>
        </w:rPr>
        <w:t>风格及配置建议：重点挖掘大</w:t>
      </w:r>
      <w:proofErr w:type="gramStart"/>
      <w:r w:rsidRPr="00D15D66">
        <w:rPr>
          <w:rFonts w:ascii="仿宋" w:eastAsia="仿宋" w:hAnsi="仿宋" w:hint="eastAsia"/>
          <w:b/>
          <w:sz w:val="24"/>
          <w:szCs w:val="24"/>
        </w:rPr>
        <w:t>市值但</w:t>
      </w:r>
      <w:proofErr w:type="gramEnd"/>
      <w:r w:rsidRPr="00D15D66">
        <w:rPr>
          <w:rFonts w:ascii="仿宋" w:eastAsia="仿宋" w:hAnsi="仿宋" w:hint="eastAsia"/>
          <w:b/>
          <w:sz w:val="24"/>
          <w:szCs w:val="24"/>
        </w:rPr>
        <w:t>长期受制经济预期低迷的低估值蓝筹龙头品种；中游行业面临较大的投资机遇；主题投资、政策受益的相关产业值得关注。</w:t>
      </w:r>
    </w:p>
    <w:p w:rsidR="00F22930" w:rsidRPr="00F22930" w:rsidRDefault="00F22930" w:rsidP="00D15D66">
      <w:pPr>
        <w:spacing w:line="324" w:lineRule="auto"/>
        <w:ind w:leftChars="1080" w:left="2268" w:rightChars="471" w:right="989" w:firstLineChars="150" w:firstLine="360"/>
        <w:jc w:val="left"/>
        <w:rPr>
          <w:rFonts w:ascii="仿宋" w:eastAsia="仿宋" w:hAnsi="仿宋"/>
          <w:sz w:val="24"/>
          <w:szCs w:val="24"/>
        </w:rPr>
      </w:pPr>
      <w:r w:rsidRPr="00F22930">
        <w:rPr>
          <w:rFonts w:ascii="仿宋" w:eastAsia="仿宋" w:hAnsi="仿宋" w:hint="eastAsia"/>
          <w:sz w:val="24"/>
          <w:szCs w:val="24"/>
        </w:rPr>
        <w:t>首先，一些大</w:t>
      </w:r>
      <w:proofErr w:type="gramStart"/>
      <w:r w:rsidRPr="00F22930">
        <w:rPr>
          <w:rFonts w:ascii="仿宋" w:eastAsia="仿宋" w:hAnsi="仿宋" w:hint="eastAsia"/>
          <w:sz w:val="24"/>
          <w:szCs w:val="24"/>
        </w:rPr>
        <w:t>市值但</w:t>
      </w:r>
      <w:proofErr w:type="gramEnd"/>
      <w:r w:rsidRPr="00F22930">
        <w:rPr>
          <w:rFonts w:ascii="仿宋" w:eastAsia="仿宋" w:hAnsi="仿宋" w:hint="eastAsia"/>
          <w:sz w:val="24"/>
          <w:szCs w:val="24"/>
        </w:rPr>
        <w:t>长期受制经济预期低迷的低估值蓝筹龙头品种需要重点挖</w:t>
      </w:r>
      <w:r w:rsidRPr="00F22930">
        <w:rPr>
          <w:rFonts w:ascii="仿宋" w:eastAsia="仿宋" w:hAnsi="仿宋" w:hint="eastAsia"/>
          <w:sz w:val="24"/>
          <w:szCs w:val="24"/>
        </w:rPr>
        <w:lastRenderedPageBreak/>
        <w:t>掘，结合国企改革、走出去的“一带一路”战略、无风险利率下行去评估其潜在的估值回升空间，并给予一定的改革转型溢价。对于其中有盈利显著回升支持的板块如券商保险等，需要重点关注。</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其次，随着上游原材料价格的大幅下降，中游行业面临较大的投资机遇。尤其是在下游需求相对平稳甚至部分略有改善的基础上，成本端的下降将带来毛利水平的快速恢复。我们认为在这样的大背景下，最受益的是中游的诸如钢铁、化工、机械、交运、建筑等领域。</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再次，经济内生的产业结构仍在不断升级，移动互联网下的商业模式不断推陈出新。我们看好各行业互联网浪潮下信息化需求的大幅提升，特别是行业信息化主题。看好从“衣食住行”等必需消费行业推向“文娱教卫”等服务性消费，诸如在线教育、体育文化、医疗服务等子领域。看好线上线下各行业</w:t>
      </w:r>
      <w:r w:rsidRPr="00F22930">
        <w:rPr>
          <w:rFonts w:ascii="仿宋" w:eastAsia="仿宋" w:hAnsi="仿宋"/>
          <w:sz w:val="24"/>
          <w:szCs w:val="24"/>
        </w:rPr>
        <w:t>O2O</w:t>
      </w:r>
      <w:r w:rsidRPr="00F22930">
        <w:rPr>
          <w:rFonts w:ascii="仿宋" w:eastAsia="仿宋" w:hAnsi="仿宋" w:hint="eastAsia"/>
          <w:sz w:val="24"/>
          <w:szCs w:val="24"/>
        </w:rPr>
        <w:t>模式的不断演进。持续关注随着产业链的转移，精密制造、电子加工、计算机等产业升级并切入到全球产业链及深加工环节的趋势。</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此外，我们还关注政府的政策所推动的相关产业的发展，主要偏向于风电、核电、生物质、光热等清洁能源的运营和利用、信息安全领域的国产化需求、资源要素价格改革的公用事业以及国防军</w:t>
      </w:r>
      <w:proofErr w:type="gramStart"/>
      <w:r w:rsidRPr="00F22930">
        <w:rPr>
          <w:rFonts w:ascii="仿宋" w:eastAsia="仿宋" w:hAnsi="仿宋" w:hint="eastAsia"/>
          <w:sz w:val="24"/>
          <w:szCs w:val="24"/>
        </w:rPr>
        <w:t>工领域</w:t>
      </w:r>
      <w:proofErr w:type="gramEnd"/>
      <w:r w:rsidRPr="00F22930">
        <w:rPr>
          <w:rFonts w:ascii="仿宋" w:eastAsia="仿宋" w:hAnsi="仿宋" w:hint="eastAsia"/>
          <w:sz w:val="24"/>
          <w:szCs w:val="24"/>
        </w:rPr>
        <w:t>的体制变革等等，尤其还需特别重视的是地方国有企业改革在各地推行可能带来一些传统企业焕发新的活力。政策的支持、市场本身的扩张和进入者的</w:t>
      </w:r>
      <w:proofErr w:type="gramStart"/>
      <w:r w:rsidRPr="00F22930">
        <w:rPr>
          <w:rFonts w:ascii="仿宋" w:eastAsia="仿宋" w:hAnsi="仿宋" w:hint="eastAsia"/>
          <w:sz w:val="24"/>
          <w:szCs w:val="24"/>
        </w:rPr>
        <w:t>匮乏都</w:t>
      </w:r>
      <w:proofErr w:type="gramEnd"/>
      <w:r w:rsidRPr="00F22930">
        <w:rPr>
          <w:rFonts w:ascii="仿宋" w:eastAsia="仿宋" w:hAnsi="仿宋" w:hint="eastAsia"/>
          <w:sz w:val="24"/>
          <w:szCs w:val="24"/>
        </w:rPr>
        <w:t>将令这些行业获得较高的成长性，成为或将战胜市场的优良品种。</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最后，未来一年将有大量的新股上市，同时存量市场上开展跨界及并购的公司仍在增多，部分新三板公司迁移</w:t>
      </w:r>
      <w:proofErr w:type="gramStart"/>
      <w:r w:rsidRPr="00F22930">
        <w:rPr>
          <w:rFonts w:ascii="仿宋" w:eastAsia="仿宋" w:hAnsi="仿宋" w:hint="eastAsia"/>
          <w:sz w:val="24"/>
          <w:szCs w:val="24"/>
        </w:rPr>
        <w:t>至创业</w:t>
      </w:r>
      <w:proofErr w:type="gramEnd"/>
      <w:r w:rsidRPr="00F22930">
        <w:rPr>
          <w:rFonts w:ascii="仿宋" w:eastAsia="仿宋" w:hAnsi="仿宋" w:hint="eastAsia"/>
          <w:sz w:val="24"/>
          <w:szCs w:val="24"/>
        </w:rPr>
        <w:t>板上市的浪潮可能逐步酝酿。根据我们的研究和梳理，其中有很多比较有特色的细分领域及高成长类公司可以直接或间接的纳入投资范畴，在目前上市发行价格定价合理的背景下，蕴含了一定的投资机会，值得我们继续关注和把握。</w:t>
      </w:r>
    </w:p>
    <w:p w:rsidR="00F22930" w:rsidRPr="00D15D66" w:rsidRDefault="00F22930" w:rsidP="00D15D66">
      <w:pPr>
        <w:tabs>
          <w:tab w:val="left" w:pos="7162"/>
        </w:tabs>
        <w:spacing w:before="240" w:line="324" w:lineRule="auto"/>
        <w:ind w:leftChars="1080" w:left="2268" w:rightChars="471" w:right="989"/>
        <w:jc w:val="left"/>
        <w:rPr>
          <w:rFonts w:ascii="仿宋" w:eastAsia="仿宋" w:hAnsi="仿宋" w:hint="eastAsia"/>
          <w:b/>
          <w:color w:val="082F6B"/>
          <w:sz w:val="24"/>
          <w:szCs w:val="44"/>
        </w:rPr>
      </w:pPr>
      <w:r w:rsidRPr="00D15D66">
        <w:rPr>
          <w:rFonts w:ascii="仿宋" w:eastAsia="仿宋" w:hAnsi="仿宋" w:hint="eastAsia"/>
          <w:b/>
          <w:color w:val="082F6B"/>
          <w:sz w:val="24"/>
          <w:szCs w:val="44"/>
        </w:rPr>
        <w:t>中国债券市场展望及配置建议</w:t>
      </w:r>
    </w:p>
    <w:p w:rsidR="00F22930" w:rsidRPr="00D15D66" w:rsidRDefault="00F22930" w:rsidP="00D15D66">
      <w:pPr>
        <w:pStyle w:val="ae"/>
        <w:numPr>
          <w:ilvl w:val="0"/>
          <w:numId w:val="22"/>
        </w:numPr>
        <w:spacing w:line="324" w:lineRule="auto"/>
        <w:ind w:rightChars="471" w:right="989" w:firstLineChars="0"/>
        <w:jc w:val="left"/>
        <w:rPr>
          <w:rFonts w:ascii="仿宋" w:eastAsia="仿宋" w:hAnsi="仿宋"/>
          <w:b/>
          <w:sz w:val="24"/>
          <w:szCs w:val="24"/>
        </w:rPr>
      </w:pPr>
      <w:r w:rsidRPr="00D15D66">
        <w:rPr>
          <w:rFonts w:ascii="仿宋" w:eastAsia="仿宋" w:hAnsi="仿宋" w:hint="eastAsia"/>
          <w:b/>
          <w:sz w:val="24"/>
          <w:szCs w:val="24"/>
        </w:rPr>
        <w:t>债券市场展望：预期经济增长短期内有所反弹，但长期压力依然存在。</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sz w:val="24"/>
          <w:szCs w:val="24"/>
        </w:rPr>
        <w:t>2014</w:t>
      </w:r>
      <w:r w:rsidRPr="00F22930">
        <w:rPr>
          <w:rFonts w:ascii="仿宋" w:eastAsia="仿宋" w:hAnsi="仿宋" w:hint="eastAsia"/>
          <w:sz w:val="24"/>
          <w:szCs w:val="24"/>
        </w:rPr>
        <w:t>年下半年以来，货币政策立场由定向宽松转为全面宽松，银行间流动性</w:t>
      </w:r>
      <w:r w:rsidRPr="00F22930">
        <w:rPr>
          <w:rFonts w:ascii="仿宋" w:eastAsia="仿宋" w:hAnsi="仿宋" w:hint="eastAsia"/>
          <w:sz w:val="24"/>
          <w:szCs w:val="24"/>
        </w:rPr>
        <w:lastRenderedPageBreak/>
        <w:t>充裕，加之经济增长乏力，债券市场经历了一轮大牛市行情。固定收益类资产轮番上涨，长</w:t>
      </w:r>
      <w:proofErr w:type="gramStart"/>
      <w:r w:rsidRPr="00F22930">
        <w:rPr>
          <w:rFonts w:ascii="仿宋" w:eastAsia="仿宋" w:hAnsi="仿宋" w:hint="eastAsia"/>
          <w:sz w:val="24"/>
          <w:szCs w:val="24"/>
        </w:rPr>
        <w:t>端利率</w:t>
      </w:r>
      <w:proofErr w:type="gramEnd"/>
      <w:r w:rsidRPr="00F22930">
        <w:rPr>
          <w:rFonts w:ascii="仿宋" w:eastAsia="仿宋" w:hAnsi="仿宋" w:hint="eastAsia"/>
          <w:sz w:val="24"/>
          <w:szCs w:val="24"/>
        </w:rPr>
        <w:t>水平和期限利差均得到显著修复。我们预期明年上半年流动性或将依然维持较为宽松的局面，</w:t>
      </w:r>
      <w:r w:rsidRPr="00F22930">
        <w:rPr>
          <w:rFonts w:ascii="仿宋" w:eastAsia="仿宋" w:hAnsi="仿宋"/>
          <w:sz w:val="24"/>
          <w:szCs w:val="24"/>
        </w:rPr>
        <w:t>7</w:t>
      </w:r>
      <w:r w:rsidRPr="00F22930">
        <w:rPr>
          <w:rFonts w:ascii="仿宋" w:eastAsia="仿宋" w:hAnsi="仿宋" w:hint="eastAsia"/>
          <w:sz w:val="24"/>
          <w:szCs w:val="24"/>
        </w:rPr>
        <w:t>天回购利率可能维持在</w:t>
      </w:r>
      <w:r w:rsidRPr="00F22930">
        <w:rPr>
          <w:rFonts w:ascii="仿宋" w:eastAsia="仿宋" w:hAnsi="仿宋"/>
          <w:sz w:val="24"/>
          <w:szCs w:val="24"/>
        </w:rPr>
        <w:t>3%~3.5%</w:t>
      </w:r>
      <w:r w:rsidRPr="00F22930">
        <w:rPr>
          <w:rFonts w:ascii="仿宋" w:eastAsia="仿宋" w:hAnsi="仿宋" w:hint="eastAsia"/>
          <w:sz w:val="24"/>
          <w:szCs w:val="24"/>
        </w:rPr>
        <w:t>的水平。</w:t>
      </w:r>
    </w:p>
    <w:p w:rsidR="00F22930" w:rsidRPr="00F22930" w:rsidRDefault="00F22930" w:rsidP="00D15D66">
      <w:pPr>
        <w:spacing w:line="324" w:lineRule="auto"/>
        <w:ind w:leftChars="1080" w:left="2268" w:rightChars="471" w:right="989" w:firstLineChars="200" w:firstLine="480"/>
        <w:jc w:val="left"/>
        <w:rPr>
          <w:rFonts w:ascii="仿宋" w:eastAsia="仿宋" w:hAnsi="仿宋"/>
          <w:sz w:val="24"/>
          <w:szCs w:val="24"/>
        </w:rPr>
      </w:pPr>
      <w:r w:rsidRPr="00F22930">
        <w:rPr>
          <w:rFonts w:ascii="仿宋" w:eastAsia="仿宋" w:hAnsi="仿宋" w:hint="eastAsia"/>
          <w:sz w:val="24"/>
          <w:szCs w:val="24"/>
        </w:rPr>
        <w:t>我们预期经济增长短期内有所反弹，但长期压力依然存在；通货膨胀水平将比今年有进一步降低的可能性，这也为央行进一步实施宽松的货币政策创造了条件。随着短期经济企稳的预期逐步升温，利率品可能面临小幅回调的压力，但收益率上升的幅度或有限。前期受政策扰动信用债的绝对收益率较前期有所修复，信用利差也已由前期低位有所调整，相对价值有所体现。</w:t>
      </w:r>
    </w:p>
    <w:p w:rsidR="00D15D66" w:rsidRDefault="00D15D66" w:rsidP="00F22930">
      <w:pPr>
        <w:spacing w:line="324" w:lineRule="auto"/>
        <w:ind w:leftChars="1080" w:left="2268" w:rightChars="471" w:right="989"/>
        <w:jc w:val="left"/>
        <w:rPr>
          <w:rFonts w:ascii="仿宋" w:eastAsia="仿宋" w:hAnsi="仿宋"/>
          <w:sz w:val="24"/>
          <w:szCs w:val="24"/>
        </w:rPr>
      </w:pPr>
    </w:p>
    <w:p w:rsidR="00F22930" w:rsidRPr="00D15D66" w:rsidRDefault="00F22930" w:rsidP="00D15D66">
      <w:pPr>
        <w:pStyle w:val="ae"/>
        <w:numPr>
          <w:ilvl w:val="0"/>
          <w:numId w:val="22"/>
        </w:numPr>
        <w:spacing w:line="324" w:lineRule="auto"/>
        <w:ind w:rightChars="471" w:right="989" w:firstLineChars="0"/>
        <w:jc w:val="left"/>
        <w:rPr>
          <w:rFonts w:ascii="仿宋" w:eastAsia="仿宋" w:hAnsi="仿宋"/>
          <w:b/>
          <w:sz w:val="24"/>
          <w:szCs w:val="24"/>
        </w:rPr>
      </w:pPr>
      <w:r w:rsidRPr="00D15D66">
        <w:rPr>
          <w:rFonts w:ascii="仿宋" w:eastAsia="仿宋" w:hAnsi="仿宋" w:hint="eastAsia"/>
          <w:b/>
          <w:sz w:val="24"/>
          <w:szCs w:val="24"/>
        </w:rPr>
        <w:t>配置建议：重视安全资产、规避信用风险。</w:t>
      </w:r>
    </w:p>
    <w:p w:rsidR="00893F4E" w:rsidRDefault="00F22930" w:rsidP="00D15D66">
      <w:pPr>
        <w:spacing w:line="324" w:lineRule="auto"/>
        <w:ind w:leftChars="1080" w:left="2268" w:rightChars="471" w:right="989" w:firstLineChars="200" w:firstLine="480"/>
        <w:jc w:val="left"/>
        <w:rPr>
          <w:rFonts w:ascii="仿宋" w:eastAsia="仿宋" w:hAnsi="仿宋"/>
          <w:b/>
          <w:color w:val="082F6B"/>
          <w:sz w:val="44"/>
          <w:szCs w:val="44"/>
        </w:rPr>
      </w:pPr>
      <w:r w:rsidRPr="00F22930">
        <w:rPr>
          <w:rFonts w:ascii="仿宋" w:eastAsia="仿宋" w:hAnsi="仿宋" w:hint="eastAsia"/>
          <w:sz w:val="24"/>
          <w:szCs w:val="24"/>
        </w:rPr>
        <w:t>明年上半年政策刺激主要集中在基建和房地产领域，中小型企业短期内或难以分享经济增长红利。在经济增长乏力、风险偏好下降的背景下，依然要重视规避信用风险事件，对产能严重过剩、受到国家政策限制、行业基本面有恶化趋势、财务状况较差的行业和公司，需保持非常谨慎的态度。同时，明年上半年流动性处于松紧适度的环境中，短期利率风险不大，而受益于此次降息和近两月的信贷投放加速，明年</w:t>
      </w:r>
      <w:r w:rsidRPr="00F22930">
        <w:rPr>
          <w:rFonts w:ascii="仿宋" w:eastAsia="仿宋" w:hAnsi="仿宋"/>
          <w:sz w:val="24"/>
          <w:szCs w:val="24"/>
        </w:rPr>
        <w:t>1</w:t>
      </w:r>
      <w:r w:rsidRPr="00F22930">
        <w:rPr>
          <w:rFonts w:ascii="仿宋" w:eastAsia="仿宋" w:hAnsi="仿宋" w:hint="eastAsia"/>
          <w:sz w:val="24"/>
          <w:szCs w:val="24"/>
        </w:rPr>
        <w:t>季度经济有望迎来一定幅度的反弹，从而对长端收益率形成扰动。</w:t>
      </w:r>
    </w:p>
    <w:p w:rsidR="00B7035E" w:rsidRPr="00567F50" w:rsidRDefault="00B7035E" w:rsidP="00B7035E">
      <w:pPr>
        <w:spacing w:before="240" w:line="324" w:lineRule="auto"/>
        <w:ind w:leftChars="1080" w:left="2268" w:rightChars="471" w:right="989"/>
        <w:jc w:val="left"/>
        <w:rPr>
          <w:rFonts w:ascii="仿宋" w:eastAsia="仿宋" w:hAnsi="仿宋"/>
          <w:b/>
          <w:color w:val="082F6B"/>
          <w:sz w:val="44"/>
          <w:szCs w:val="44"/>
        </w:rPr>
      </w:pPr>
      <w:r w:rsidRPr="002D6A58">
        <w:rPr>
          <w:rFonts w:ascii="仿宋" w:eastAsia="仿宋" w:hAnsi="仿宋" w:hint="eastAsia"/>
          <w:b/>
          <w:color w:val="082F6B"/>
          <w:sz w:val="44"/>
          <w:szCs w:val="44"/>
        </w:rPr>
        <w:t>股票市场运行周报</w:t>
      </w:r>
      <w:r w:rsidRPr="002D6A58">
        <w:rPr>
          <w:rFonts w:ascii="仿宋" w:eastAsia="仿宋" w:hAnsi="仿宋" w:hint="eastAsia"/>
          <w:b/>
          <w:color w:val="082F6B"/>
          <w:sz w:val="36"/>
          <w:szCs w:val="36"/>
        </w:rPr>
        <w:t>（</w:t>
      </w:r>
      <w:r w:rsidR="00CD5B04" w:rsidRPr="002D6A58">
        <w:rPr>
          <w:rFonts w:ascii="仿宋" w:eastAsia="仿宋" w:hAnsi="仿宋" w:hint="eastAsia"/>
          <w:b/>
          <w:color w:val="082F6B"/>
          <w:sz w:val="36"/>
          <w:szCs w:val="36"/>
        </w:rPr>
        <w:t>201</w:t>
      </w:r>
      <w:r w:rsidR="009704A2" w:rsidRPr="002D6A58">
        <w:rPr>
          <w:rFonts w:ascii="仿宋" w:eastAsia="仿宋" w:hAnsi="仿宋" w:hint="eastAsia"/>
          <w:b/>
          <w:color w:val="082F6B"/>
          <w:sz w:val="36"/>
          <w:szCs w:val="36"/>
        </w:rPr>
        <w:t>4</w:t>
      </w:r>
      <w:r w:rsidR="002C4E90" w:rsidRPr="002D6A58">
        <w:rPr>
          <w:rFonts w:ascii="仿宋" w:eastAsia="仿宋" w:hAnsi="仿宋" w:hint="eastAsia"/>
          <w:b/>
          <w:color w:val="082F6B"/>
          <w:sz w:val="36"/>
          <w:szCs w:val="36"/>
        </w:rPr>
        <w:t>1</w:t>
      </w:r>
      <w:r w:rsidR="00204C38">
        <w:rPr>
          <w:rFonts w:ascii="仿宋" w:eastAsia="仿宋" w:hAnsi="仿宋"/>
          <w:b/>
          <w:color w:val="082F6B"/>
          <w:sz w:val="36"/>
          <w:szCs w:val="36"/>
        </w:rPr>
        <w:t>2</w:t>
      </w:r>
      <w:r w:rsidR="00C02B3E">
        <w:rPr>
          <w:rFonts w:ascii="仿宋" w:eastAsia="仿宋" w:hAnsi="仿宋"/>
          <w:b/>
          <w:color w:val="082F6B"/>
          <w:sz w:val="36"/>
          <w:szCs w:val="36"/>
        </w:rPr>
        <w:t>22</w:t>
      </w:r>
      <w:r w:rsidR="005F54DF" w:rsidRPr="002D6A58">
        <w:rPr>
          <w:rFonts w:ascii="仿宋" w:eastAsia="仿宋" w:hAnsi="仿宋" w:hint="eastAsia"/>
          <w:b/>
          <w:color w:val="082F6B"/>
          <w:sz w:val="36"/>
          <w:szCs w:val="36"/>
        </w:rPr>
        <w:t>-2014</w:t>
      </w:r>
      <w:r w:rsidR="002C4E90" w:rsidRPr="002D6A58">
        <w:rPr>
          <w:rFonts w:ascii="仿宋" w:eastAsia="仿宋" w:hAnsi="仿宋" w:hint="eastAsia"/>
          <w:b/>
          <w:color w:val="082F6B"/>
          <w:sz w:val="36"/>
          <w:szCs w:val="36"/>
        </w:rPr>
        <w:t>1</w:t>
      </w:r>
      <w:r w:rsidR="00204C38">
        <w:rPr>
          <w:rFonts w:ascii="仿宋" w:eastAsia="仿宋" w:hAnsi="仿宋"/>
          <w:b/>
          <w:color w:val="082F6B"/>
          <w:sz w:val="36"/>
          <w:szCs w:val="36"/>
        </w:rPr>
        <w:t>2</w:t>
      </w:r>
      <w:r w:rsidR="00C02B3E">
        <w:rPr>
          <w:rFonts w:ascii="仿宋" w:eastAsia="仿宋" w:hAnsi="仿宋"/>
          <w:b/>
          <w:color w:val="082F6B"/>
          <w:sz w:val="36"/>
          <w:szCs w:val="36"/>
        </w:rPr>
        <w:t>26</w:t>
      </w:r>
      <w:r w:rsidRPr="002D6A58">
        <w:rPr>
          <w:rFonts w:ascii="仿宋" w:eastAsia="仿宋" w:hAnsi="仿宋" w:hint="eastAsia"/>
          <w:b/>
          <w:color w:val="082F6B"/>
          <w:sz w:val="36"/>
          <w:szCs w:val="36"/>
        </w:rPr>
        <w:t>）</w:t>
      </w:r>
    </w:p>
    <w:p w:rsidR="00193960" w:rsidRPr="00567F50" w:rsidRDefault="00B7035E" w:rsidP="00015295">
      <w:pPr>
        <w:spacing w:after="240" w:line="300" w:lineRule="auto"/>
        <w:ind w:leftChars="1080" w:left="2268" w:rightChars="471" w:right="989"/>
        <w:jc w:val="left"/>
        <w:rPr>
          <w:rFonts w:ascii="仿宋" w:eastAsia="仿宋" w:hAnsi="仿宋"/>
          <w:sz w:val="24"/>
          <w:szCs w:val="24"/>
          <w:lang w:val="en-GB"/>
        </w:rPr>
      </w:pPr>
      <w:r w:rsidRPr="00567F50">
        <w:rPr>
          <w:rFonts w:ascii="仿宋" w:eastAsia="仿宋" w:hAnsi="仿宋" w:hint="eastAsia"/>
          <w:b/>
          <w:color w:val="0088CC"/>
          <w:sz w:val="24"/>
          <w:szCs w:val="24"/>
        </w:rPr>
        <w:t>交银施罗德量化投资部</w:t>
      </w:r>
      <w:r w:rsidR="0079773E" w:rsidRPr="00567F50">
        <w:rPr>
          <w:rFonts w:ascii="仿宋" w:eastAsia="仿宋" w:hAnsi="仿宋"/>
          <w:color w:val="1F497D"/>
          <w:szCs w:val="21"/>
          <w:u w:val="single"/>
        </w:rPr>
        <w:br/>
      </w:r>
      <w:r w:rsidR="00193960" w:rsidRPr="00567F50">
        <w:rPr>
          <w:rFonts w:ascii="仿宋" w:eastAsia="仿宋" w:hAnsi="仿宋" w:hint="eastAsia"/>
          <w:sz w:val="24"/>
          <w:szCs w:val="24"/>
          <w:lang w:val="en-GB"/>
        </w:rPr>
        <w:t>本周上证综指</w:t>
      </w:r>
      <w:r w:rsidR="00193960">
        <w:rPr>
          <w:rFonts w:ascii="仿宋" w:eastAsia="仿宋" w:hAnsi="仿宋" w:hint="eastAsia"/>
          <w:sz w:val="24"/>
          <w:szCs w:val="24"/>
          <w:lang w:val="en-GB"/>
        </w:rPr>
        <w:t>上涨</w:t>
      </w:r>
      <w:r w:rsidR="00C02B3E">
        <w:rPr>
          <w:rFonts w:ascii="仿宋" w:eastAsia="仿宋" w:hAnsi="仿宋"/>
          <w:sz w:val="24"/>
          <w:szCs w:val="24"/>
          <w:lang w:val="en-GB"/>
        </w:rPr>
        <w:t>1.58</w:t>
      </w:r>
      <w:r w:rsidR="00193960">
        <w:rPr>
          <w:rFonts w:ascii="仿宋" w:eastAsia="仿宋" w:hAnsi="仿宋" w:hint="eastAsia"/>
          <w:sz w:val="24"/>
          <w:szCs w:val="24"/>
          <w:lang w:val="en-GB"/>
        </w:rPr>
        <w:t>%</w:t>
      </w:r>
      <w:r w:rsidR="00193960" w:rsidRPr="00567F50">
        <w:rPr>
          <w:rFonts w:ascii="仿宋" w:eastAsia="仿宋" w:hAnsi="仿宋" w:hint="eastAsia"/>
          <w:sz w:val="24"/>
          <w:szCs w:val="24"/>
          <w:lang w:val="en-GB"/>
        </w:rPr>
        <w:t>，深证成指</w:t>
      </w:r>
      <w:r w:rsidR="00193960">
        <w:rPr>
          <w:rFonts w:ascii="仿宋" w:eastAsia="仿宋" w:hAnsi="仿宋" w:hint="eastAsia"/>
          <w:sz w:val="24"/>
          <w:szCs w:val="24"/>
          <w:lang w:val="en-GB"/>
        </w:rPr>
        <w:t>上涨</w:t>
      </w:r>
      <w:r w:rsidR="006D4BCF">
        <w:rPr>
          <w:rFonts w:ascii="仿宋" w:eastAsia="仿宋" w:hAnsi="仿宋"/>
          <w:sz w:val="24"/>
          <w:szCs w:val="24"/>
          <w:lang w:val="en-GB"/>
        </w:rPr>
        <w:t>1.</w:t>
      </w:r>
      <w:r w:rsidR="00C02B3E">
        <w:rPr>
          <w:rFonts w:ascii="仿宋" w:eastAsia="仿宋" w:hAnsi="仿宋"/>
          <w:sz w:val="24"/>
          <w:szCs w:val="24"/>
          <w:lang w:val="en-GB"/>
        </w:rPr>
        <w:t>65</w:t>
      </w:r>
      <w:r w:rsidR="00193960" w:rsidRPr="00567F50">
        <w:rPr>
          <w:rFonts w:ascii="仿宋" w:eastAsia="仿宋" w:hAnsi="仿宋"/>
          <w:sz w:val="24"/>
          <w:szCs w:val="24"/>
          <w:lang w:val="en-GB"/>
        </w:rPr>
        <w:t>%</w:t>
      </w:r>
      <w:r w:rsidR="00193960" w:rsidRPr="00567F50">
        <w:rPr>
          <w:rFonts w:ascii="仿宋" w:eastAsia="仿宋" w:hAnsi="仿宋" w:hint="eastAsia"/>
          <w:sz w:val="24"/>
          <w:szCs w:val="24"/>
          <w:lang w:val="en-GB"/>
        </w:rPr>
        <w:t>，中小</w:t>
      </w:r>
      <w:proofErr w:type="gramStart"/>
      <w:r w:rsidR="00193960" w:rsidRPr="00567F50">
        <w:rPr>
          <w:rFonts w:ascii="仿宋" w:eastAsia="仿宋" w:hAnsi="仿宋" w:hint="eastAsia"/>
          <w:sz w:val="24"/>
          <w:szCs w:val="24"/>
          <w:lang w:val="en-GB"/>
        </w:rPr>
        <w:t>板指数</w:t>
      </w:r>
      <w:proofErr w:type="gramEnd"/>
      <w:r w:rsidR="006D4BCF">
        <w:rPr>
          <w:rFonts w:ascii="仿宋" w:eastAsia="仿宋" w:hAnsi="仿宋" w:hint="eastAsia"/>
          <w:sz w:val="24"/>
          <w:szCs w:val="24"/>
          <w:lang w:val="en-GB"/>
        </w:rPr>
        <w:t>下跌2.</w:t>
      </w:r>
      <w:r w:rsidR="00C02B3E">
        <w:rPr>
          <w:rFonts w:ascii="仿宋" w:eastAsia="仿宋" w:hAnsi="仿宋"/>
          <w:sz w:val="24"/>
          <w:szCs w:val="24"/>
          <w:lang w:val="en-GB"/>
        </w:rPr>
        <w:t>70</w:t>
      </w:r>
      <w:r w:rsidR="00193960" w:rsidRPr="00567F50">
        <w:rPr>
          <w:rFonts w:ascii="仿宋" w:eastAsia="仿宋" w:hAnsi="仿宋"/>
          <w:sz w:val="24"/>
          <w:szCs w:val="24"/>
          <w:lang w:val="en-GB"/>
        </w:rPr>
        <w:t>%</w:t>
      </w:r>
      <w:r w:rsidR="00193960" w:rsidRPr="00567F50">
        <w:rPr>
          <w:rFonts w:ascii="仿宋" w:eastAsia="仿宋" w:hAnsi="仿宋" w:hint="eastAsia"/>
          <w:sz w:val="24"/>
          <w:szCs w:val="24"/>
          <w:lang w:val="en-GB"/>
        </w:rPr>
        <w:t>，沪深两市成交量为</w:t>
      </w:r>
      <w:r w:rsidR="00C02B3E" w:rsidRPr="00C02B3E">
        <w:rPr>
          <w:rFonts w:ascii="仿宋" w:eastAsia="仿宋" w:hAnsi="仿宋"/>
          <w:sz w:val="24"/>
          <w:szCs w:val="24"/>
          <w:lang w:val="en-GB"/>
        </w:rPr>
        <w:t>33,885.93</w:t>
      </w:r>
      <w:r w:rsidR="00193960" w:rsidRPr="00567F50">
        <w:rPr>
          <w:rFonts w:ascii="仿宋" w:eastAsia="仿宋" w:hAnsi="仿宋" w:hint="eastAsia"/>
          <w:sz w:val="24"/>
          <w:szCs w:val="24"/>
          <w:lang w:val="en-GB"/>
        </w:rPr>
        <w:t>亿元。</w:t>
      </w:r>
      <w:r w:rsidR="00015295" w:rsidRPr="00015295">
        <w:rPr>
          <w:rFonts w:ascii="仿宋" w:eastAsia="仿宋" w:hAnsi="仿宋" w:hint="eastAsia"/>
          <w:sz w:val="24"/>
          <w:szCs w:val="24"/>
          <w:lang w:val="en-GB"/>
        </w:rPr>
        <w:t>非银金融</w:t>
      </w:r>
      <w:r w:rsidR="00015295">
        <w:rPr>
          <w:rFonts w:ascii="仿宋" w:eastAsia="仿宋" w:hAnsi="仿宋" w:hint="eastAsia"/>
          <w:sz w:val="24"/>
          <w:szCs w:val="24"/>
          <w:lang w:val="en-GB"/>
        </w:rPr>
        <w:t>、</w:t>
      </w:r>
      <w:r w:rsidR="00015295" w:rsidRPr="00015295">
        <w:rPr>
          <w:rFonts w:ascii="仿宋" w:eastAsia="仿宋" w:hAnsi="仿宋" w:hint="eastAsia"/>
          <w:sz w:val="24"/>
          <w:szCs w:val="24"/>
          <w:lang w:val="en-GB"/>
        </w:rPr>
        <w:t>银行</w:t>
      </w:r>
      <w:r w:rsidR="00015295">
        <w:rPr>
          <w:rFonts w:ascii="仿宋" w:eastAsia="仿宋" w:hAnsi="仿宋" w:hint="eastAsia"/>
          <w:sz w:val="24"/>
          <w:szCs w:val="24"/>
          <w:lang w:val="en-GB"/>
        </w:rPr>
        <w:t>、</w:t>
      </w:r>
      <w:r w:rsidR="00015295" w:rsidRPr="00015295">
        <w:rPr>
          <w:rFonts w:ascii="仿宋" w:eastAsia="仿宋" w:hAnsi="仿宋" w:hint="eastAsia"/>
          <w:sz w:val="24"/>
          <w:szCs w:val="24"/>
          <w:lang w:val="en-GB"/>
        </w:rPr>
        <w:t>食品饮料</w:t>
      </w:r>
      <w:proofErr w:type="gramStart"/>
      <w:r w:rsidR="00193960">
        <w:rPr>
          <w:rFonts w:ascii="仿宋" w:eastAsia="仿宋" w:hAnsi="仿宋" w:hint="eastAsia"/>
          <w:sz w:val="24"/>
          <w:szCs w:val="24"/>
          <w:lang w:val="en-GB"/>
        </w:rPr>
        <w:t>行业</w:t>
      </w:r>
      <w:r w:rsidR="00193960" w:rsidRPr="00567F50">
        <w:rPr>
          <w:rFonts w:ascii="仿宋" w:eastAsia="仿宋" w:hAnsi="仿宋" w:hint="eastAsia"/>
          <w:sz w:val="24"/>
          <w:szCs w:val="24"/>
          <w:lang w:val="en-GB"/>
        </w:rPr>
        <w:t>涨幅</w:t>
      </w:r>
      <w:proofErr w:type="gramEnd"/>
      <w:r w:rsidR="00193960" w:rsidRPr="00567F50">
        <w:rPr>
          <w:rFonts w:ascii="仿宋" w:eastAsia="仿宋" w:hAnsi="仿宋" w:hint="eastAsia"/>
          <w:sz w:val="24"/>
          <w:szCs w:val="24"/>
          <w:lang w:val="en-GB"/>
        </w:rPr>
        <w:t>最大，涨幅分别为</w:t>
      </w:r>
      <w:r w:rsidR="00015295" w:rsidRPr="00015295">
        <w:rPr>
          <w:rFonts w:ascii="仿宋" w:eastAsia="仿宋" w:hAnsi="仿宋"/>
          <w:sz w:val="24"/>
          <w:szCs w:val="24"/>
          <w:lang w:val="en-GB"/>
        </w:rPr>
        <w:t>8.38%</w:t>
      </w:r>
      <w:r w:rsidR="00015295">
        <w:rPr>
          <w:rFonts w:ascii="仿宋" w:eastAsia="仿宋" w:hAnsi="仿宋" w:hint="eastAsia"/>
          <w:sz w:val="24"/>
          <w:szCs w:val="24"/>
          <w:lang w:val="en-GB"/>
        </w:rPr>
        <w:t>、</w:t>
      </w:r>
      <w:r w:rsidR="00015295" w:rsidRPr="00015295">
        <w:rPr>
          <w:rFonts w:ascii="仿宋" w:eastAsia="仿宋" w:hAnsi="仿宋"/>
          <w:sz w:val="24"/>
          <w:szCs w:val="24"/>
          <w:lang w:val="en-GB"/>
        </w:rPr>
        <w:t>5.46%</w:t>
      </w:r>
      <w:r w:rsidR="00015295">
        <w:rPr>
          <w:rFonts w:ascii="仿宋" w:eastAsia="仿宋" w:hAnsi="仿宋" w:hint="eastAsia"/>
          <w:sz w:val="24"/>
          <w:szCs w:val="24"/>
          <w:lang w:val="en-GB"/>
        </w:rPr>
        <w:t>、</w:t>
      </w:r>
      <w:r w:rsidR="00015295" w:rsidRPr="00015295">
        <w:rPr>
          <w:rFonts w:ascii="仿宋" w:eastAsia="仿宋" w:hAnsi="仿宋"/>
          <w:sz w:val="24"/>
          <w:szCs w:val="24"/>
          <w:lang w:val="en-GB"/>
        </w:rPr>
        <w:t>3.56%</w:t>
      </w:r>
      <w:r w:rsidR="00193960">
        <w:rPr>
          <w:rFonts w:ascii="仿宋" w:eastAsia="仿宋" w:hAnsi="仿宋" w:hint="eastAsia"/>
          <w:sz w:val="24"/>
          <w:szCs w:val="24"/>
          <w:lang w:val="en-GB"/>
        </w:rPr>
        <w:t>；</w:t>
      </w:r>
      <w:r w:rsidR="00015295">
        <w:rPr>
          <w:rFonts w:ascii="仿宋" w:eastAsia="仿宋" w:hAnsi="仿宋" w:hint="eastAsia"/>
          <w:sz w:val="24"/>
          <w:szCs w:val="24"/>
          <w:lang w:val="en-GB"/>
        </w:rPr>
        <w:t>交通运输、</w:t>
      </w:r>
      <w:r w:rsidR="00015295">
        <w:rPr>
          <w:rFonts w:ascii="仿宋" w:eastAsia="仿宋" w:hAnsi="仿宋"/>
          <w:sz w:val="24"/>
          <w:szCs w:val="24"/>
          <w:lang w:val="en-GB"/>
        </w:rPr>
        <w:t>计算机、钢铁</w:t>
      </w:r>
      <w:r w:rsidR="004C5323">
        <w:rPr>
          <w:rFonts w:ascii="仿宋" w:eastAsia="仿宋" w:hAnsi="仿宋"/>
          <w:sz w:val="24"/>
          <w:szCs w:val="24"/>
          <w:lang w:val="en-GB"/>
        </w:rPr>
        <w:t>行业跌幅最大</w:t>
      </w:r>
      <w:r w:rsidR="00193960" w:rsidRPr="00567F50">
        <w:rPr>
          <w:rFonts w:ascii="仿宋" w:eastAsia="仿宋" w:hAnsi="仿宋" w:hint="eastAsia"/>
          <w:sz w:val="24"/>
          <w:szCs w:val="24"/>
          <w:lang w:val="en-GB"/>
        </w:rPr>
        <w:t>，</w:t>
      </w:r>
      <w:r w:rsidR="00193960">
        <w:rPr>
          <w:rFonts w:ascii="仿宋" w:eastAsia="仿宋" w:hAnsi="仿宋" w:hint="eastAsia"/>
          <w:sz w:val="24"/>
          <w:szCs w:val="24"/>
          <w:lang w:val="en-GB"/>
        </w:rPr>
        <w:t>跌</w:t>
      </w:r>
      <w:r w:rsidR="00193960" w:rsidRPr="00567F50">
        <w:rPr>
          <w:rFonts w:ascii="仿宋" w:eastAsia="仿宋" w:hAnsi="仿宋" w:hint="eastAsia"/>
          <w:sz w:val="24"/>
          <w:szCs w:val="24"/>
          <w:lang w:val="en-GB"/>
        </w:rPr>
        <w:t>幅分别为</w:t>
      </w:r>
      <w:r w:rsidR="00015295">
        <w:rPr>
          <w:rFonts w:ascii="仿宋" w:eastAsia="仿宋" w:hAnsi="仿宋"/>
          <w:sz w:val="24"/>
          <w:szCs w:val="24"/>
          <w:lang w:val="en-GB"/>
        </w:rPr>
        <w:t>5.29</w:t>
      </w:r>
      <w:r w:rsidR="00193960" w:rsidRPr="00567F50">
        <w:rPr>
          <w:rFonts w:ascii="仿宋" w:eastAsia="仿宋" w:hAnsi="仿宋" w:hint="eastAsia"/>
          <w:sz w:val="24"/>
          <w:szCs w:val="24"/>
          <w:lang w:val="en-GB"/>
        </w:rPr>
        <w:t>%</w:t>
      </w:r>
      <w:r w:rsidR="004C5323">
        <w:rPr>
          <w:rFonts w:ascii="仿宋" w:eastAsia="仿宋" w:hAnsi="仿宋" w:hint="eastAsia"/>
          <w:sz w:val="24"/>
          <w:szCs w:val="24"/>
          <w:lang w:val="en-GB"/>
        </w:rPr>
        <w:t>、</w:t>
      </w:r>
      <w:r w:rsidR="00015295">
        <w:rPr>
          <w:rFonts w:ascii="仿宋" w:eastAsia="仿宋" w:hAnsi="仿宋"/>
          <w:sz w:val="24"/>
          <w:szCs w:val="24"/>
          <w:lang w:val="en-GB"/>
        </w:rPr>
        <w:t>4.64</w:t>
      </w:r>
      <w:r w:rsidR="004C5323">
        <w:rPr>
          <w:rFonts w:ascii="仿宋" w:eastAsia="仿宋" w:hAnsi="仿宋"/>
          <w:sz w:val="24"/>
          <w:szCs w:val="24"/>
          <w:lang w:val="en-GB"/>
        </w:rPr>
        <w:t>%、</w:t>
      </w:r>
      <w:r w:rsidR="00015295">
        <w:rPr>
          <w:rFonts w:ascii="仿宋" w:eastAsia="仿宋" w:hAnsi="仿宋"/>
          <w:sz w:val="24"/>
          <w:szCs w:val="24"/>
          <w:lang w:val="en-GB"/>
        </w:rPr>
        <w:t>3.98</w:t>
      </w:r>
      <w:r w:rsidR="004C5323">
        <w:rPr>
          <w:rFonts w:ascii="仿宋" w:eastAsia="仿宋" w:hAnsi="仿宋"/>
          <w:sz w:val="24"/>
          <w:szCs w:val="24"/>
          <w:lang w:val="en-GB"/>
        </w:rPr>
        <w:t>%</w:t>
      </w:r>
      <w:r w:rsidR="00193960">
        <w:rPr>
          <w:rFonts w:ascii="仿宋" w:eastAsia="仿宋" w:hAnsi="仿宋" w:hint="eastAsia"/>
          <w:sz w:val="24"/>
          <w:szCs w:val="24"/>
          <w:lang w:val="en-GB"/>
        </w:rPr>
        <w:t>。</w:t>
      </w:r>
      <w:r w:rsidR="00193960" w:rsidRPr="00567F50">
        <w:rPr>
          <w:rFonts w:ascii="仿宋" w:eastAsia="仿宋" w:hAnsi="仿宋" w:hint="eastAsia"/>
          <w:sz w:val="24"/>
          <w:szCs w:val="24"/>
          <w:lang w:val="en-GB"/>
        </w:rPr>
        <w:t>从行业换手率来看，</w:t>
      </w:r>
      <w:r w:rsidR="006D4BCF">
        <w:rPr>
          <w:rFonts w:ascii="仿宋" w:eastAsia="仿宋" w:hAnsi="仿宋" w:hint="eastAsia"/>
          <w:sz w:val="24"/>
          <w:szCs w:val="24"/>
          <w:lang w:val="en-GB"/>
        </w:rPr>
        <w:t>建筑装饰</w:t>
      </w:r>
      <w:r w:rsidR="006D4BCF">
        <w:rPr>
          <w:rFonts w:ascii="仿宋" w:eastAsia="仿宋" w:hAnsi="仿宋"/>
          <w:sz w:val="24"/>
          <w:szCs w:val="24"/>
          <w:lang w:val="en-GB"/>
        </w:rPr>
        <w:t>、</w:t>
      </w:r>
      <w:r w:rsidR="00015295">
        <w:rPr>
          <w:rFonts w:ascii="仿宋" w:eastAsia="仿宋" w:hAnsi="仿宋" w:hint="eastAsia"/>
          <w:sz w:val="24"/>
          <w:szCs w:val="24"/>
          <w:lang w:val="en-GB"/>
        </w:rPr>
        <w:t>非</w:t>
      </w:r>
      <w:proofErr w:type="gramStart"/>
      <w:r w:rsidR="00015295">
        <w:rPr>
          <w:rFonts w:ascii="仿宋" w:eastAsia="仿宋" w:hAnsi="仿宋" w:hint="eastAsia"/>
          <w:sz w:val="24"/>
          <w:szCs w:val="24"/>
          <w:lang w:val="en-GB"/>
        </w:rPr>
        <w:t>银金融</w:t>
      </w:r>
      <w:proofErr w:type="gramEnd"/>
      <w:r w:rsidR="00193960" w:rsidRPr="00567F50">
        <w:rPr>
          <w:rFonts w:ascii="仿宋" w:eastAsia="仿宋" w:hAnsi="仿宋" w:hint="eastAsia"/>
          <w:sz w:val="24"/>
          <w:szCs w:val="24"/>
          <w:lang w:val="en-GB"/>
        </w:rPr>
        <w:t>的换手率最大，换手率</w:t>
      </w:r>
      <w:r w:rsidR="00193960">
        <w:rPr>
          <w:rFonts w:ascii="仿宋" w:eastAsia="仿宋" w:hAnsi="仿宋" w:hint="eastAsia"/>
          <w:sz w:val="24"/>
          <w:szCs w:val="24"/>
          <w:lang w:val="en-GB"/>
        </w:rPr>
        <w:t>分别超过</w:t>
      </w:r>
      <w:r w:rsidR="00015295">
        <w:rPr>
          <w:rFonts w:ascii="仿宋" w:eastAsia="仿宋" w:hAnsi="仿宋" w:hint="eastAsia"/>
          <w:sz w:val="24"/>
          <w:szCs w:val="24"/>
          <w:lang w:val="en-GB"/>
        </w:rPr>
        <w:t>20</w:t>
      </w:r>
      <w:r w:rsidR="00193960">
        <w:rPr>
          <w:rFonts w:ascii="仿宋" w:eastAsia="仿宋" w:hAnsi="仿宋"/>
          <w:sz w:val="24"/>
          <w:szCs w:val="24"/>
          <w:lang w:val="en-GB"/>
        </w:rPr>
        <w:t>%</w:t>
      </w:r>
      <w:r w:rsidR="00193960" w:rsidRPr="00567F50">
        <w:rPr>
          <w:rFonts w:ascii="仿宋" w:eastAsia="仿宋" w:hAnsi="仿宋" w:hint="eastAsia"/>
          <w:sz w:val="24"/>
          <w:szCs w:val="24"/>
          <w:lang w:val="en-GB"/>
        </w:rPr>
        <w:t>；从风格特征来看，</w:t>
      </w:r>
      <w:r w:rsidR="00015295">
        <w:rPr>
          <w:rFonts w:ascii="仿宋" w:eastAsia="仿宋" w:hAnsi="仿宋" w:hint="eastAsia"/>
          <w:sz w:val="24"/>
          <w:szCs w:val="24"/>
          <w:lang w:val="en-GB"/>
        </w:rPr>
        <w:t>绩优股</w:t>
      </w:r>
      <w:r w:rsidR="00193960" w:rsidRPr="00567F50">
        <w:rPr>
          <w:rFonts w:ascii="仿宋" w:eastAsia="仿宋" w:hAnsi="仿宋" w:hint="eastAsia"/>
          <w:sz w:val="24"/>
          <w:szCs w:val="24"/>
          <w:lang w:val="en-GB"/>
        </w:rPr>
        <w:t>指数</w:t>
      </w:r>
      <w:r w:rsidR="00193960">
        <w:rPr>
          <w:rFonts w:ascii="仿宋" w:eastAsia="仿宋" w:hAnsi="仿宋" w:hint="eastAsia"/>
          <w:sz w:val="24"/>
          <w:szCs w:val="24"/>
          <w:lang w:val="en-GB"/>
        </w:rPr>
        <w:t>涨</w:t>
      </w:r>
      <w:r w:rsidR="00193960" w:rsidRPr="00567F50">
        <w:rPr>
          <w:rFonts w:ascii="仿宋" w:eastAsia="仿宋" w:hAnsi="仿宋" w:hint="eastAsia"/>
          <w:sz w:val="24"/>
          <w:szCs w:val="24"/>
          <w:lang w:val="en-GB"/>
        </w:rPr>
        <w:t>幅最</w:t>
      </w:r>
      <w:r w:rsidR="00193960">
        <w:rPr>
          <w:rFonts w:ascii="仿宋" w:eastAsia="仿宋" w:hAnsi="仿宋" w:hint="eastAsia"/>
          <w:sz w:val="24"/>
          <w:szCs w:val="24"/>
          <w:lang w:val="en-GB"/>
        </w:rPr>
        <w:t>大</w:t>
      </w:r>
      <w:r w:rsidR="00193960" w:rsidRPr="00567F50">
        <w:rPr>
          <w:rFonts w:ascii="仿宋" w:eastAsia="仿宋" w:hAnsi="仿宋" w:hint="eastAsia"/>
          <w:sz w:val="24"/>
          <w:szCs w:val="24"/>
          <w:lang w:val="en-GB"/>
        </w:rPr>
        <w:t>，</w:t>
      </w:r>
      <w:r w:rsidR="00193960">
        <w:rPr>
          <w:rFonts w:ascii="仿宋" w:eastAsia="仿宋" w:hAnsi="仿宋" w:hint="eastAsia"/>
          <w:sz w:val="24"/>
          <w:szCs w:val="24"/>
          <w:lang w:val="en-GB"/>
        </w:rPr>
        <w:t>涨</w:t>
      </w:r>
      <w:r w:rsidR="00193960" w:rsidRPr="00567F50">
        <w:rPr>
          <w:rFonts w:ascii="仿宋" w:eastAsia="仿宋" w:hAnsi="仿宋" w:hint="eastAsia"/>
          <w:sz w:val="24"/>
          <w:szCs w:val="24"/>
          <w:lang w:val="en-GB"/>
        </w:rPr>
        <w:t>幅为</w:t>
      </w:r>
      <w:r w:rsidR="00015295">
        <w:rPr>
          <w:rFonts w:ascii="仿宋" w:eastAsia="仿宋" w:hAnsi="仿宋"/>
          <w:sz w:val="24"/>
          <w:szCs w:val="24"/>
          <w:lang w:val="en-GB"/>
        </w:rPr>
        <w:t>4.21</w:t>
      </w:r>
      <w:r w:rsidR="00193960" w:rsidRPr="00567F50">
        <w:rPr>
          <w:rFonts w:ascii="仿宋" w:eastAsia="仿宋" w:hAnsi="仿宋" w:hint="eastAsia"/>
          <w:sz w:val="24"/>
          <w:szCs w:val="24"/>
          <w:lang w:val="en-GB"/>
        </w:rPr>
        <w:t>%，</w:t>
      </w:r>
      <w:r w:rsidR="006D4BCF">
        <w:rPr>
          <w:rFonts w:ascii="仿宋" w:eastAsia="仿宋" w:hAnsi="仿宋" w:hint="eastAsia"/>
          <w:sz w:val="24"/>
          <w:szCs w:val="24"/>
          <w:lang w:val="en-GB"/>
        </w:rPr>
        <w:t>高市盈率指数跌幅最大</w:t>
      </w:r>
      <w:r w:rsidR="00193960" w:rsidRPr="00567F50">
        <w:rPr>
          <w:rFonts w:ascii="仿宋" w:eastAsia="仿宋" w:hAnsi="仿宋" w:hint="eastAsia"/>
          <w:sz w:val="24"/>
          <w:szCs w:val="24"/>
          <w:lang w:val="en-GB"/>
        </w:rPr>
        <w:t>，</w:t>
      </w:r>
      <w:r w:rsidR="004C5323">
        <w:rPr>
          <w:rFonts w:ascii="仿宋" w:eastAsia="仿宋" w:hAnsi="仿宋" w:hint="eastAsia"/>
          <w:sz w:val="24"/>
          <w:szCs w:val="24"/>
          <w:lang w:val="en-GB"/>
        </w:rPr>
        <w:t>跌幅</w:t>
      </w:r>
      <w:r w:rsidR="00193960" w:rsidRPr="00567F50">
        <w:rPr>
          <w:rFonts w:ascii="仿宋" w:eastAsia="仿宋" w:hAnsi="仿宋" w:hint="eastAsia"/>
          <w:sz w:val="24"/>
          <w:szCs w:val="24"/>
          <w:lang w:val="en-GB"/>
        </w:rPr>
        <w:t>为</w:t>
      </w:r>
      <w:r w:rsidR="00015295">
        <w:rPr>
          <w:rFonts w:ascii="仿宋" w:eastAsia="仿宋" w:hAnsi="仿宋"/>
          <w:sz w:val="24"/>
          <w:szCs w:val="24"/>
          <w:lang w:val="en-GB"/>
        </w:rPr>
        <w:t>3.70</w:t>
      </w:r>
      <w:r w:rsidR="00193960" w:rsidRPr="00567F50">
        <w:rPr>
          <w:rFonts w:ascii="仿宋" w:eastAsia="仿宋" w:hAnsi="仿宋" w:hint="eastAsia"/>
          <w:sz w:val="24"/>
          <w:szCs w:val="24"/>
          <w:lang w:val="en-GB"/>
        </w:rPr>
        <w:t>%。</w:t>
      </w:r>
    </w:p>
    <w:p w:rsidR="00B7035E" w:rsidRPr="00567F50" w:rsidRDefault="00B7035E" w:rsidP="00B7035E">
      <w:pPr>
        <w:spacing w:line="324" w:lineRule="auto"/>
        <w:ind w:leftChars="1080" w:left="2268" w:rightChars="471" w:right="989"/>
        <w:jc w:val="left"/>
        <w:rPr>
          <w:rFonts w:ascii="仿宋" w:eastAsia="仿宋" w:hAnsi="仿宋"/>
          <w:b/>
          <w:sz w:val="24"/>
          <w:szCs w:val="24"/>
        </w:rPr>
      </w:pPr>
      <w:r w:rsidRPr="00567F50">
        <w:rPr>
          <w:rFonts w:ascii="仿宋" w:eastAsia="仿宋" w:hAnsi="仿宋" w:hint="eastAsia"/>
          <w:b/>
          <w:sz w:val="24"/>
          <w:szCs w:val="24"/>
        </w:rPr>
        <w:t xml:space="preserve">表1:指数表现    </w:t>
      </w:r>
      <w:r w:rsidRPr="00567F50">
        <w:rPr>
          <w:rFonts w:ascii="仿宋" w:eastAsia="仿宋" w:hAnsi="仿宋" w:hint="eastAsia"/>
          <w:sz w:val="24"/>
          <w:szCs w:val="24"/>
        </w:rPr>
        <w:t xml:space="preserve">                  </w:t>
      </w:r>
      <w:r w:rsidRPr="00567F50">
        <w:rPr>
          <w:rFonts w:ascii="仿宋" w:eastAsia="仿宋" w:hAnsi="仿宋" w:hint="eastAsia"/>
          <w:b/>
          <w:sz w:val="24"/>
          <w:szCs w:val="24"/>
        </w:rPr>
        <w:t xml:space="preserve">     表2:市场总体指标</w:t>
      </w:r>
    </w:p>
    <w:tbl>
      <w:tblPr>
        <w:tblW w:w="0" w:type="auto"/>
        <w:tblInd w:w="2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992"/>
        <w:gridCol w:w="1134"/>
        <w:gridCol w:w="283"/>
        <w:gridCol w:w="3686"/>
        <w:gridCol w:w="1276"/>
      </w:tblGrid>
      <w:tr w:rsidR="00B7035E" w:rsidRPr="00567F50" w:rsidTr="000C0BFB">
        <w:trPr>
          <w:trHeight w:val="477"/>
        </w:trPr>
        <w:tc>
          <w:tcPr>
            <w:tcW w:w="1513" w:type="dxa"/>
            <w:shd w:val="clear" w:color="auto" w:fill="1F497D"/>
            <w:vAlign w:val="center"/>
          </w:tcPr>
          <w:p w:rsidR="00B7035E" w:rsidRPr="000C0BFB" w:rsidRDefault="00B7035E" w:rsidP="00AF2E12">
            <w:pPr>
              <w:snapToGrid w:val="0"/>
              <w:jc w:val="center"/>
              <w:rPr>
                <w:rFonts w:ascii="仿宋" w:eastAsia="仿宋" w:hAnsi="仿宋"/>
                <w:b/>
                <w:color w:val="FFFFFF"/>
                <w:sz w:val="18"/>
                <w:szCs w:val="20"/>
              </w:rPr>
            </w:pPr>
            <w:r w:rsidRPr="000C0BFB">
              <w:rPr>
                <w:rFonts w:ascii="仿宋" w:eastAsia="仿宋" w:hAnsi="仿宋"/>
                <w:b/>
                <w:color w:val="FFFFFF"/>
                <w:sz w:val="18"/>
                <w:szCs w:val="20"/>
              </w:rPr>
              <w:t>指数名称</w:t>
            </w:r>
          </w:p>
        </w:tc>
        <w:tc>
          <w:tcPr>
            <w:tcW w:w="992" w:type="dxa"/>
            <w:shd w:val="clear" w:color="auto" w:fill="1F497D"/>
            <w:vAlign w:val="center"/>
          </w:tcPr>
          <w:p w:rsidR="00B7035E" w:rsidRPr="000C0BFB" w:rsidRDefault="00B7035E" w:rsidP="00AF2E12">
            <w:pPr>
              <w:snapToGrid w:val="0"/>
              <w:jc w:val="center"/>
              <w:rPr>
                <w:rFonts w:ascii="仿宋" w:eastAsia="仿宋" w:hAnsi="仿宋"/>
                <w:b/>
                <w:color w:val="FFFFFF"/>
                <w:sz w:val="18"/>
                <w:szCs w:val="20"/>
              </w:rPr>
            </w:pPr>
            <w:r w:rsidRPr="000C0BFB">
              <w:rPr>
                <w:rFonts w:ascii="仿宋" w:eastAsia="仿宋" w:hAnsi="仿宋"/>
                <w:b/>
                <w:color w:val="FFFFFF"/>
                <w:sz w:val="18"/>
                <w:szCs w:val="20"/>
              </w:rPr>
              <w:t>区间</w:t>
            </w:r>
          </w:p>
          <w:p w:rsidR="00B7035E" w:rsidRPr="000C0BFB" w:rsidRDefault="00B7035E" w:rsidP="00AF2E12">
            <w:pPr>
              <w:snapToGrid w:val="0"/>
              <w:jc w:val="center"/>
              <w:rPr>
                <w:rFonts w:ascii="仿宋" w:eastAsia="仿宋" w:hAnsi="仿宋"/>
                <w:b/>
                <w:color w:val="FFFFFF"/>
                <w:sz w:val="18"/>
                <w:szCs w:val="20"/>
              </w:rPr>
            </w:pPr>
            <w:r w:rsidRPr="000C0BFB">
              <w:rPr>
                <w:rFonts w:ascii="仿宋" w:eastAsia="仿宋" w:hAnsi="仿宋"/>
                <w:b/>
                <w:color w:val="FFFFFF"/>
                <w:sz w:val="18"/>
                <w:szCs w:val="20"/>
              </w:rPr>
              <w:t>收益率</w:t>
            </w:r>
          </w:p>
        </w:tc>
        <w:tc>
          <w:tcPr>
            <w:tcW w:w="1134" w:type="dxa"/>
            <w:tcBorders>
              <w:right w:val="nil"/>
            </w:tcBorders>
            <w:shd w:val="clear" w:color="auto" w:fill="1F497D"/>
            <w:vAlign w:val="center"/>
          </w:tcPr>
          <w:p w:rsidR="00C62D3F" w:rsidRPr="000C0BFB" w:rsidRDefault="00B7035E" w:rsidP="00AF2E12">
            <w:pPr>
              <w:snapToGrid w:val="0"/>
              <w:jc w:val="center"/>
              <w:rPr>
                <w:rFonts w:ascii="仿宋" w:eastAsia="仿宋" w:hAnsi="仿宋"/>
                <w:b/>
                <w:color w:val="FFFFFF"/>
                <w:sz w:val="18"/>
                <w:szCs w:val="20"/>
              </w:rPr>
            </w:pPr>
            <w:r w:rsidRPr="000C0BFB">
              <w:rPr>
                <w:rFonts w:ascii="仿宋" w:eastAsia="仿宋" w:hAnsi="仿宋"/>
                <w:b/>
                <w:color w:val="FFFFFF"/>
                <w:sz w:val="18"/>
                <w:szCs w:val="20"/>
              </w:rPr>
              <w:t>成交金额</w:t>
            </w:r>
          </w:p>
          <w:p w:rsidR="00B7035E" w:rsidRPr="000C0BFB" w:rsidRDefault="00B7035E" w:rsidP="00AF2E12">
            <w:pPr>
              <w:snapToGrid w:val="0"/>
              <w:jc w:val="center"/>
              <w:rPr>
                <w:rFonts w:ascii="仿宋" w:eastAsia="仿宋" w:hAnsi="仿宋"/>
                <w:b/>
                <w:color w:val="FFFFFF"/>
                <w:sz w:val="18"/>
                <w:szCs w:val="20"/>
              </w:rPr>
            </w:pPr>
            <w:r w:rsidRPr="000C0BFB">
              <w:rPr>
                <w:rFonts w:ascii="仿宋" w:eastAsia="仿宋" w:hAnsi="仿宋"/>
                <w:b/>
                <w:color w:val="FFFFFF"/>
                <w:sz w:val="18"/>
                <w:szCs w:val="20"/>
              </w:rPr>
              <w:t>（亿元）</w:t>
            </w:r>
          </w:p>
        </w:tc>
        <w:tc>
          <w:tcPr>
            <w:tcW w:w="283" w:type="dxa"/>
            <w:vMerge w:val="restart"/>
            <w:tcBorders>
              <w:top w:val="nil"/>
              <w:left w:val="nil"/>
            </w:tcBorders>
            <w:vAlign w:val="center"/>
          </w:tcPr>
          <w:p w:rsidR="00B7035E" w:rsidRPr="000C0BFB" w:rsidRDefault="00B7035E" w:rsidP="00274C7A">
            <w:pPr>
              <w:jc w:val="center"/>
              <w:rPr>
                <w:rFonts w:ascii="仿宋" w:eastAsia="仿宋" w:hAnsi="仿宋"/>
                <w:b/>
                <w:sz w:val="18"/>
                <w:szCs w:val="20"/>
              </w:rPr>
            </w:pPr>
          </w:p>
        </w:tc>
        <w:tc>
          <w:tcPr>
            <w:tcW w:w="3686" w:type="dxa"/>
            <w:shd w:val="clear" w:color="auto" w:fill="1F497D"/>
            <w:vAlign w:val="center"/>
          </w:tcPr>
          <w:p w:rsidR="00B7035E" w:rsidRPr="000C0BFB" w:rsidRDefault="00B7035E" w:rsidP="00274C7A">
            <w:pPr>
              <w:snapToGrid w:val="0"/>
              <w:jc w:val="center"/>
              <w:rPr>
                <w:rFonts w:ascii="仿宋" w:eastAsia="仿宋" w:hAnsi="仿宋"/>
                <w:b/>
                <w:color w:val="FFFFFF"/>
                <w:sz w:val="18"/>
                <w:szCs w:val="20"/>
              </w:rPr>
            </w:pPr>
            <w:r w:rsidRPr="000C0BFB">
              <w:rPr>
                <w:rFonts w:ascii="仿宋" w:eastAsia="仿宋" w:hAnsi="仿宋"/>
                <w:b/>
                <w:color w:val="FFFFFF"/>
                <w:sz w:val="18"/>
                <w:szCs w:val="20"/>
              </w:rPr>
              <w:t>市场总体指标</w:t>
            </w:r>
          </w:p>
        </w:tc>
        <w:tc>
          <w:tcPr>
            <w:tcW w:w="1276" w:type="dxa"/>
            <w:shd w:val="clear" w:color="auto" w:fill="1F497D"/>
            <w:vAlign w:val="center"/>
          </w:tcPr>
          <w:p w:rsidR="00B7035E" w:rsidRPr="000C0BFB" w:rsidRDefault="00B7035E" w:rsidP="00274C7A">
            <w:pPr>
              <w:snapToGrid w:val="0"/>
              <w:jc w:val="center"/>
              <w:rPr>
                <w:rFonts w:ascii="仿宋" w:eastAsia="仿宋" w:hAnsi="仿宋"/>
                <w:b/>
                <w:color w:val="FFFFFF"/>
                <w:sz w:val="18"/>
                <w:szCs w:val="20"/>
              </w:rPr>
            </w:pPr>
            <w:r w:rsidRPr="000C0BFB">
              <w:rPr>
                <w:rFonts w:ascii="仿宋" w:eastAsia="仿宋" w:hAnsi="仿宋"/>
                <w:b/>
                <w:color w:val="FFFFFF"/>
                <w:sz w:val="18"/>
                <w:szCs w:val="20"/>
              </w:rPr>
              <w:t>数值</w:t>
            </w:r>
          </w:p>
        </w:tc>
      </w:tr>
      <w:tr w:rsidR="00C02B3E" w:rsidRPr="00567F50" w:rsidTr="000C0BFB">
        <w:trPr>
          <w:trHeight w:val="64"/>
        </w:trPr>
        <w:tc>
          <w:tcPr>
            <w:tcW w:w="1513"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上证综指</w:t>
            </w:r>
          </w:p>
        </w:tc>
        <w:tc>
          <w:tcPr>
            <w:tcW w:w="992"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1.58%</w:t>
            </w:r>
          </w:p>
        </w:tc>
        <w:tc>
          <w:tcPr>
            <w:tcW w:w="1134" w:type="dxa"/>
            <w:tcBorders>
              <w:right w:val="single" w:sz="4" w:space="0" w:color="1F497D"/>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22,906.1</w:t>
            </w:r>
          </w:p>
        </w:tc>
        <w:tc>
          <w:tcPr>
            <w:tcW w:w="283" w:type="dxa"/>
            <w:vMerge/>
            <w:tcBorders>
              <w:left w:val="single" w:sz="4" w:space="0" w:color="1F497D"/>
            </w:tcBorders>
            <w:vAlign w:val="center"/>
          </w:tcPr>
          <w:p w:rsidR="00C02B3E" w:rsidRPr="000C0BFB" w:rsidRDefault="00C02B3E" w:rsidP="00C02B3E">
            <w:pPr>
              <w:widowControl/>
              <w:tabs>
                <w:tab w:val="center" w:pos="1663"/>
                <w:tab w:val="right" w:pos="3327"/>
              </w:tabs>
              <w:jc w:val="center"/>
              <w:rPr>
                <w:rFonts w:ascii="仿宋" w:eastAsia="仿宋" w:hAnsi="仿宋" w:cs="Arial"/>
                <w:sz w:val="20"/>
                <w:szCs w:val="20"/>
              </w:rPr>
            </w:pPr>
          </w:p>
        </w:tc>
        <w:tc>
          <w:tcPr>
            <w:tcW w:w="368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A股总市值（亿元）</w:t>
            </w:r>
          </w:p>
        </w:tc>
        <w:tc>
          <w:tcPr>
            <w:tcW w:w="127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418,650.53</w:t>
            </w:r>
          </w:p>
        </w:tc>
      </w:tr>
      <w:tr w:rsidR="00C02B3E" w:rsidRPr="00567F50" w:rsidTr="000C0BFB">
        <w:trPr>
          <w:trHeight w:val="70"/>
        </w:trPr>
        <w:tc>
          <w:tcPr>
            <w:tcW w:w="1513"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lastRenderedPageBreak/>
              <w:t>上证180</w:t>
            </w:r>
          </w:p>
        </w:tc>
        <w:tc>
          <w:tcPr>
            <w:tcW w:w="992"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2.52%</w:t>
            </w:r>
          </w:p>
        </w:tc>
        <w:tc>
          <w:tcPr>
            <w:tcW w:w="1134" w:type="dxa"/>
            <w:tcBorders>
              <w:right w:val="single" w:sz="4" w:space="0" w:color="1F497D"/>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15,462.8</w:t>
            </w:r>
          </w:p>
        </w:tc>
        <w:tc>
          <w:tcPr>
            <w:tcW w:w="283" w:type="dxa"/>
            <w:vMerge/>
            <w:tcBorders>
              <w:left w:val="single" w:sz="4" w:space="0" w:color="1F497D"/>
            </w:tcBorders>
            <w:vAlign w:val="center"/>
          </w:tcPr>
          <w:p w:rsidR="00C02B3E" w:rsidRPr="000C0BFB" w:rsidRDefault="00C02B3E" w:rsidP="00C02B3E">
            <w:pPr>
              <w:widowControl/>
              <w:tabs>
                <w:tab w:val="center" w:pos="1663"/>
                <w:tab w:val="right" w:pos="3327"/>
              </w:tabs>
              <w:jc w:val="center"/>
              <w:rPr>
                <w:rFonts w:ascii="仿宋" w:eastAsia="仿宋" w:hAnsi="仿宋" w:cs="Arial"/>
                <w:sz w:val="20"/>
                <w:szCs w:val="20"/>
              </w:rPr>
            </w:pPr>
          </w:p>
        </w:tc>
        <w:tc>
          <w:tcPr>
            <w:tcW w:w="368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A股流通市值（亿元）</w:t>
            </w:r>
          </w:p>
        </w:tc>
        <w:tc>
          <w:tcPr>
            <w:tcW w:w="127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308,824.29</w:t>
            </w:r>
          </w:p>
        </w:tc>
      </w:tr>
      <w:tr w:rsidR="00C02B3E" w:rsidRPr="00567F50" w:rsidTr="000C0BFB">
        <w:trPr>
          <w:trHeight w:val="20"/>
        </w:trPr>
        <w:tc>
          <w:tcPr>
            <w:tcW w:w="1513"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上证50</w:t>
            </w:r>
          </w:p>
        </w:tc>
        <w:tc>
          <w:tcPr>
            <w:tcW w:w="992"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3.12%</w:t>
            </w:r>
          </w:p>
        </w:tc>
        <w:tc>
          <w:tcPr>
            <w:tcW w:w="1134" w:type="dxa"/>
            <w:tcBorders>
              <w:right w:val="single" w:sz="4" w:space="0" w:color="1F497D"/>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8,875.2</w:t>
            </w:r>
          </w:p>
        </w:tc>
        <w:tc>
          <w:tcPr>
            <w:tcW w:w="283" w:type="dxa"/>
            <w:vMerge/>
            <w:tcBorders>
              <w:left w:val="single" w:sz="4" w:space="0" w:color="1F497D"/>
            </w:tcBorders>
            <w:vAlign w:val="center"/>
          </w:tcPr>
          <w:p w:rsidR="00C02B3E" w:rsidRPr="000C0BFB" w:rsidRDefault="00C02B3E" w:rsidP="00C02B3E">
            <w:pPr>
              <w:widowControl/>
              <w:tabs>
                <w:tab w:val="center" w:pos="1663"/>
                <w:tab w:val="right" w:pos="3327"/>
              </w:tabs>
              <w:jc w:val="center"/>
              <w:rPr>
                <w:rFonts w:ascii="仿宋" w:eastAsia="仿宋" w:hAnsi="仿宋" w:cs="Arial"/>
                <w:sz w:val="20"/>
                <w:szCs w:val="20"/>
              </w:rPr>
            </w:pPr>
          </w:p>
        </w:tc>
        <w:tc>
          <w:tcPr>
            <w:tcW w:w="368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A股市盈率（最新年报，剔除负值）</w:t>
            </w:r>
          </w:p>
        </w:tc>
        <w:tc>
          <w:tcPr>
            <w:tcW w:w="127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17.38</w:t>
            </w:r>
          </w:p>
        </w:tc>
      </w:tr>
      <w:tr w:rsidR="00C02B3E" w:rsidRPr="00567F50" w:rsidTr="000C0BFB">
        <w:trPr>
          <w:trHeight w:val="20"/>
        </w:trPr>
        <w:tc>
          <w:tcPr>
            <w:tcW w:w="1513"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沪深300</w:t>
            </w:r>
          </w:p>
        </w:tc>
        <w:tc>
          <w:tcPr>
            <w:tcW w:w="992"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1.85%</w:t>
            </w:r>
          </w:p>
        </w:tc>
        <w:tc>
          <w:tcPr>
            <w:tcW w:w="1134" w:type="dxa"/>
            <w:tcBorders>
              <w:right w:val="single" w:sz="4" w:space="0" w:color="1F497D"/>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20,226.9</w:t>
            </w:r>
          </w:p>
        </w:tc>
        <w:tc>
          <w:tcPr>
            <w:tcW w:w="283" w:type="dxa"/>
            <w:vMerge/>
            <w:tcBorders>
              <w:left w:val="single" w:sz="4" w:space="0" w:color="1F497D"/>
            </w:tcBorders>
            <w:vAlign w:val="center"/>
          </w:tcPr>
          <w:p w:rsidR="00C02B3E" w:rsidRPr="000C0BFB" w:rsidRDefault="00C02B3E" w:rsidP="00C02B3E">
            <w:pPr>
              <w:widowControl/>
              <w:tabs>
                <w:tab w:val="center" w:pos="1663"/>
                <w:tab w:val="right" w:pos="3327"/>
              </w:tabs>
              <w:jc w:val="center"/>
              <w:rPr>
                <w:rFonts w:ascii="仿宋" w:eastAsia="仿宋" w:hAnsi="仿宋" w:cs="Arial"/>
                <w:sz w:val="20"/>
                <w:szCs w:val="20"/>
              </w:rPr>
            </w:pPr>
          </w:p>
        </w:tc>
        <w:tc>
          <w:tcPr>
            <w:tcW w:w="368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A股市盈率（递推12个月，剔除负值）</w:t>
            </w:r>
          </w:p>
        </w:tc>
        <w:tc>
          <w:tcPr>
            <w:tcW w:w="127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15.82</w:t>
            </w:r>
          </w:p>
        </w:tc>
      </w:tr>
      <w:tr w:rsidR="00C02B3E" w:rsidRPr="00567F50" w:rsidTr="000C0BFB">
        <w:trPr>
          <w:trHeight w:val="20"/>
        </w:trPr>
        <w:tc>
          <w:tcPr>
            <w:tcW w:w="1513"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深证成指</w:t>
            </w:r>
          </w:p>
        </w:tc>
        <w:tc>
          <w:tcPr>
            <w:tcW w:w="992"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1.65%</w:t>
            </w:r>
          </w:p>
        </w:tc>
        <w:tc>
          <w:tcPr>
            <w:tcW w:w="1134" w:type="dxa"/>
            <w:tcBorders>
              <w:right w:val="single" w:sz="4" w:space="0" w:color="1F497D"/>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2,434.0</w:t>
            </w:r>
          </w:p>
        </w:tc>
        <w:tc>
          <w:tcPr>
            <w:tcW w:w="283" w:type="dxa"/>
            <w:vMerge/>
            <w:tcBorders>
              <w:left w:val="single" w:sz="4" w:space="0" w:color="1F497D"/>
            </w:tcBorders>
            <w:vAlign w:val="center"/>
          </w:tcPr>
          <w:p w:rsidR="00C02B3E" w:rsidRPr="000C0BFB" w:rsidRDefault="00C02B3E" w:rsidP="00C02B3E">
            <w:pPr>
              <w:widowControl/>
              <w:tabs>
                <w:tab w:val="center" w:pos="1663"/>
                <w:tab w:val="right" w:pos="3327"/>
              </w:tabs>
              <w:jc w:val="center"/>
              <w:rPr>
                <w:rFonts w:ascii="仿宋" w:eastAsia="仿宋" w:hAnsi="仿宋" w:cs="Arial"/>
                <w:sz w:val="20"/>
                <w:szCs w:val="20"/>
              </w:rPr>
            </w:pPr>
          </w:p>
        </w:tc>
        <w:tc>
          <w:tcPr>
            <w:tcW w:w="368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A股市净率（最新年报，剔除负值）</w:t>
            </w:r>
          </w:p>
        </w:tc>
        <w:tc>
          <w:tcPr>
            <w:tcW w:w="127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2.39</w:t>
            </w:r>
          </w:p>
        </w:tc>
      </w:tr>
      <w:tr w:rsidR="00C02B3E" w:rsidRPr="00567F50" w:rsidTr="000C0BFB">
        <w:trPr>
          <w:trHeight w:val="20"/>
        </w:trPr>
        <w:tc>
          <w:tcPr>
            <w:tcW w:w="1513"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深证100</w:t>
            </w:r>
          </w:p>
        </w:tc>
        <w:tc>
          <w:tcPr>
            <w:tcW w:w="992"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0.53%</w:t>
            </w:r>
          </w:p>
        </w:tc>
        <w:tc>
          <w:tcPr>
            <w:tcW w:w="1134" w:type="dxa"/>
            <w:tcBorders>
              <w:right w:val="single" w:sz="4" w:space="0" w:color="1F497D"/>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4,109.2</w:t>
            </w:r>
          </w:p>
        </w:tc>
        <w:tc>
          <w:tcPr>
            <w:tcW w:w="283" w:type="dxa"/>
            <w:vMerge/>
            <w:tcBorders>
              <w:left w:val="single" w:sz="4" w:space="0" w:color="1F497D"/>
            </w:tcBorders>
            <w:vAlign w:val="center"/>
          </w:tcPr>
          <w:p w:rsidR="00C02B3E" w:rsidRPr="000C0BFB" w:rsidRDefault="00C02B3E" w:rsidP="00C02B3E">
            <w:pPr>
              <w:widowControl/>
              <w:tabs>
                <w:tab w:val="center" w:pos="1663"/>
                <w:tab w:val="right" w:pos="3327"/>
              </w:tabs>
              <w:jc w:val="center"/>
              <w:rPr>
                <w:rFonts w:ascii="仿宋" w:eastAsia="仿宋" w:hAnsi="仿宋" w:cs="Arial"/>
                <w:sz w:val="20"/>
                <w:szCs w:val="20"/>
              </w:rPr>
            </w:pPr>
          </w:p>
        </w:tc>
        <w:tc>
          <w:tcPr>
            <w:tcW w:w="368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A股市净率（最新报告期，剔除负值）</w:t>
            </w:r>
          </w:p>
        </w:tc>
        <w:tc>
          <w:tcPr>
            <w:tcW w:w="127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2.17</w:t>
            </w:r>
          </w:p>
        </w:tc>
      </w:tr>
      <w:tr w:rsidR="00C02B3E" w:rsidRPr="00567F50" w:rsidTr="000C0BFB">
        <w:trPr>
          <w:trHeight w:val="20"/>
        </w:trPr>
        <w:tc>
          <w:tcPr>
            <w:tcW w:w="1513"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申万中小板</w:t>
            </w:r>
          </w:p>
        </w:tc>
        <w:tc>
          <w:tcPr>
            <w:tcW w:w="992"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(2.70%)</w:t>
            </w:r>
          </w:p>
        </w:tc>
        <w:tc>
          <w:tcPr>
            <w:tcW w:w="1134" w:type="dxa"/>
            <w:tcBorders>
              <w:right w:val="single" w:sz="4" w:space="0" w:color="1F497D"/>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3,506.1</w:t>
            </w:r>
          </w:p>
        </w:tc>
        <w:tc>
          <w:tcPr>
            <w:tcW w:w="283" w:type="dxa"/>
            <w:vMerge/>
            <w:tcBorders>
              <w:left w:val="single" w:sz="4" w:space="0" w:color="1F497D"/>
            </w:tcBorders>
            <w:vAlign w:val="center"/>
          </w:tcPr>
          <w:p w:rsidR="00C02B3E" w:rsidRPr="000C0BFB" w:rsidRDefault="00C02B3E" w:rsidP="00C02B3E">
            <w:pPr>
              <w:widowControl/>
              <w:tabs>
                <w:tab w:val="center" w:pos="1663"/>
                <w:tab w:val="right" w:pos="3327"/>
              </w:tabs>
              <w:jc w:val="center"/>
              <w:rPr>
                <w:rFonts w:ascii="仿宋" w:eastAsia="仿宋" w:hAnsi="仿宋" w:cs="Arial"/>
                <w:sz w:val="20"/>
                <w:szCs w:val="20"/>
              </w:rPr>
            </w:pPr>
          </w:p>
        </w:tc>
        <w:tc>
          <w:tcPr>
            <w:tcW w:w="368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A股加权平均股价</w:t>
            </w:r>
          </w:p>
        </w:tc>
        <w:tc>
          <w:tcPr>
            <w:tcW w:w="127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9.63</w:t>
            </w:r>
          </w:p>
        </w:tc>
      </w:tr>
      <w:tr w:rsidR="00C02B3E" w:rsidRPr="00567F50" w:rsidTr="000C0BFB">
        <w:trPr>
          <w:trHeight w:val="138"/>
        </w:trPr>
        <w:tc>
          <w:tcPr>
            <w:tcW w:w="1513"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申万基金重仓</w:t>
            </w:r>
          </w:p>
        </w:tc>
        <w:tc>
          <w:tcPr>
            <w:tcW w:w="992"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0.30%</w:t>
            </w:r>
          </w:p>
        </w:tc>
        <w:tc>
          <w:tcPr>
            <w:tcW w:w="1134" w:type="dxa"/>
            <w:tcBorders>
              <w:right w:val="single" w:sz="4" w:space="0" w:color="1F497D"/>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27,215.5</w:t>
            </w:r>
          </w:p>
        </w:tc>
        <w:tc>
          <w:tcPr>
            <w:tcW w:w="283" w:type="dxa"/>
            <w:vMerge/>
            <w:tcBorders>
              <w:left w:val="single" w:sz="4" w:space="0" w:color="1F497D"/>
              <w:bottom w:val="nil"/>
            </w:tcBorders>
            <w:vAlign w:val="center"/>
          </w:tcPr>
          <w:p w:rsidR="00C02B3E" w:rsidRPr="000C0BFB" w:rsidRDefault="00C02B3E" w:rsidP="00C02B3E">
            <w:pPr>
              <w:widowControl/>
              <w:tabs>
                <w:tab w:val="center" w:pos="1663"/>
                <w:tab w:val="right" w:pos="3327"/>
              </w:tabs>
              <w:jc w:val="center"/>
              <w:rPr>
                <w:rFonts w:ascii="仿宋" w:eastAsia="仿宋" w:hAnsi="仿宋" w:cs="Arial"/>
                <w:sz w:val="20"/>
                <w:szCs w:val="20"/>
              </w:rPr>
            </w:pPr>
          </w:p>
        </w:tc>
        <w:tc>
          <w:tcPr>
            <w:tcW w:w="368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两市A股成交金额(亿元)</w:t>
            </w:r>
          </w:p>
        </w:tc>
        <w:tc>
          <w:tcPr>
            <w:tcW w:w="1276"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33,885.93</w:t>
            </w:r>
          </w:p>
        </w:tc>
      </w:tr>
    </w:tbl>
    <w:p w:rsidR="00B7035E" w:rsidRPr="00567F50" w:rsidRDefault="00B7035E" w:rsidP="009A3E55">
      <w:pPr>
        <w:spacing w:beforeLines="50" w:before="156" w:line="324" w:lineRule="auto"/>
        <w:ind w:leftChars="1080" w:left="2268" w:rightChars="471" w:right="989"/>
        <w:jc w:val="left"/>
        <w:rPr>
          <w:rFonts w:ascii="仿宋" w:eastAsia="仿宋" w:hAnsi="仿宋"/>
          <w:b/>
          <w:sz w:val="24"/>
          <w:szCs w:val="24"/>
        </w:rPr>
      </w:pPr>
      <w:r w:rsidRPr="00567F50">
        <w:rPr>
          <w:rFonts w:ascii="仿宋" w:eastAsia="仿宋" w:hAnsi="仿宋" w:hint="eastAsia"/>
          <w:b/>
          <w:sz w:val="24"/>
          <w:szCs w:val="24"/>
        </w:rPr>
        <w:t>表3:行业表现</w:t>
      </w:r>
    </w:p>
    <w:tbl>
      <w:tblPr>
        <w:tblW w:w="0" w:type="auto"/>
        <w:tblInd w:w="2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134"/>
        <w:gridCol w:w="1134"/>
        <w:gridCol w:w="283"/>
        <w:gridCol w:w="1418"/>
        <w:gridCol w:w="1417"/>
        <w:gridCol w:w="1276"/>
      </w:tblGrid>
      <w:tr w:rsidR="00B7035E" w:rsidRPr="00567F50" w:rsidTr="000C0BFB">
        <w:trPr>
          <w:trHeight w:val="460"/>
        </w:trPr>
        <w:tc>
          <w:tcPr>
            <w:tcW w:w="1276"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指数</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区间收益率</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区间换手率</w:t>
            </w:r>
          </w:p>
        </w:tc>
        <w:tc>
          <w:tcPr>
            <w:tcW w:w="283" w:type="dxa"/>
            <w:vMerge w:val="restart"/>
            <w:tcBorders>
              <w:top w:val="nil"/>
              <w:right w:val="single" w:sz="4" w:space="0" w:color="D9D9D9"/>
            </w:tcBorders>
            <w:vAlign w:val="center"/>
          </w:tcPr>
          <w:p w:rsidR="00B7035E" w:rsidRPr="00567F50" w:rsidRDefault="00B7035E" w:rsidP="00274C7A">
            <w:pPr>
              <w:jc w:val="center"/>
              <w:rPr>
                <w:rFonts w:ascii="仿宋" w:eastAsia="仿宋" w:hAnsi="仿宋" w:cs="Arial"/>
              </w:rPr>
            </w:pPr>
          </w:p>
        </w:tc>
        <w:tc>
          <w:tcPr>
            <w:tcW w:w="1418" w:type="dxa"/>
            <w:tcBorders>
              <w:left w:val="single" w:sz="4" w:space="0" w:color="D9D9D9"/>
            </w:tcBorders>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指数</w:t>
            </w:r>
          </w:p>
        </w:tc>
        <w:tc>
          <w:tcPr>
            <w:tcW w:w="1417"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区间收益率</w:t>
            </w:r>
          </w:p>
        </w:tc>
        <w:tc>
          <w:tcPr>
            <w:tcW w:w="1276"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区间换手率</w:t>
            </w:r>
          </w:p>
        </w:tc>
      </w:tr>
      <w:tr w:rsidR="00C02B3E" w:rsidRPr="00C62D3F" w:rsidTr="000C0BFB">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非</w:t>
            </w:r>
            <w:proofErr w:type="gramStart"/>
            <w:r w:rsidRPr="000C0BFB">
              <w:rPr>
                <w:rFonts w:ascii="仿宋" w:eastAsia="仿宋" w:hAnsi="仿宋" w:cs="Arial"/>
                <w:sz w:val="20"/>
                <w:szCs w:val="20"/>
              </w:rPr>
              <w:t>银金融</w:t>
            </w:r>
            <w:proofErr w:type="gramEnd"/>
          </w:p>
        </w:tc>
        <w:tc>
          <w:tcPr>
            <w:tcW w:w="1134"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8.38%</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20.18%</w:t>
            </w:r>
          </w:p>
        </w:tc>
        <w:tc>
          <w:tcPr>
            <w:tcW w:w="283" w:type="dxa"/>
            <w:vMerge/>
            <w:tcBorders>
              <w:left w:val="single" w:sz="4" w:space="0" w:color="D9D9D9"/>
              <w:bottom w:val="nil"/>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综合</w:t>
            </w:r>
          </w:p>
        </w:tc>
        <w:tc>
          <w:tcPr>
            <w:tcW w:w="1417"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1.91%)</w:t>
            </w:r>
          </w:p>
        </w:tc>
        <w:tc>
          <w:tcPr>
            <w:tcW w:w="1276"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13.06%</w:t>
            </w:r>
          </w:p>
        </w:tc>
      </w:tr>
      <w:tr w:rsidR="00C02B3E" w:rsidRPr="00C62D3F" w:rsidTr="000C0BFB">
        <w:trPr>
          <w:trHeight w:val="185"/>
        </w:trPr>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银行</w:t>
            </w:r>
          </w:p>
        </w:tc>
        <w:tc>
          <w:tcPr>
            <w:tcW w:w="1134"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5.46%</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5.39%</w:t>
            </w:r>
          </w:p>
        </w:tc>
        <w:tc>
          <w:tcPr>
            <w:tcW w:w="283" w:type="dxa"/>
            <w:vMerge w:val="restart"/>
            <w:tcBorders>
              <w:top w:val="nil"/>
              <w:left w:val="single" w:sz="4" w:space="0" w:color="D9D9D9"/>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农林牧渔</w:t>
            </w:r>
          </w:p>
        </w:tc>
        <w:tc>
          <w:tcPr>
            <w:tcW w:w="1417"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2.13%)</w:t>
            </w:r>
          </w:p>
        </w:tc>
        <w:tc>
          <w:tcPr>
            <w:tcW w:w="1276"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15.60%</w:t>
            </w:r>
          </w:p>
        </w:tc>
      </w:tr>
      <w:tr w:rsidR="00C02B3E" w:rsidRPr="00C62D3F" w:rsidTr="000C0BFB">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食品饮料</w:t>
            </w:r>
          </w:p>
        </w:tc>
        <w:tc>
          <w:tcPr>
            <w:tcW w:w="1134"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3.56%</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10.27%</w:t>
            </w:r>
          </w:p>
        </w:tc>
        <w:tc>
          <w:tcPr>
            <w:tcW w:w="283" w:type="dxa"/>
            <w:vMerge/>
            <w:tcBorders>
              <w:left w:val="single" w:sz="4" w:space="0" w:color="D9D9D9"/>
              <w:bottom w:val="nil"/>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医药生物</w:t>
            </w:r>
          </w:p>
        </w:tc>
        <w:tc>
          <w:tcPr>
            <w:tcW w:w="1417"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2.19%)</w:t>
            </w:r>
          </w:p>
        </w:tc>
        <w:tc>
          <w:tcPr>
            <w:tcW w:w="1276"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7.92%</w:t>
            </w:r>
          </w:p>
        </w:tc>
      </w:tr>
      <w:tr w:rsidR="00C02B3E" w:rsidRPr="00C62D3F" w:rsidTr="000C0BFB">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休闲服务</w:t>
            </w:r>
          </w:p>
        </w:tc>
        <w:tc>
          <w:tcPr>
            <w:tcW w:w="1134"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2.55%</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14.69%</w:t>
            </w:r>
          </w:p>
        </w:tc>
        <w:tc>
          <w:tcPr>
            <w:tcW w:w="283" w:type="dxa"/>
            <w:tcBorders>
              <w:top w:val="nil"/>
              <w:left w:val="single" w:sz="4" w:space="0" w:color="D9D9D9"/>
              <w:bottom w:val="nil"/>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机械设备</w:t>
            </w:r>
          </w:p>
        </w:tc>
        <w:tc>
          <w:tcPr>
            <w:tcW w:w="1417"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2.28%)</w:t>
            </w:r>
          </w:p>
        </w:tc>
        <w:tc>
          <w:tcPr>
            <w:tcW w:w="1276"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17.75%</w:t>
            </w:r>
          </w:p>
        </w:tc>
      </w:tr>
      <w:tr w:rsidR="00C02B3E" w:rsidRPr="00C62D3F" w:rsidTr="000C0BFB">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公用事业</w:t>
            </w:r>
          </w:p>
        </w:tc>
        <w:tc>
          <w:tcPr>
            <w:tcW w:w="1134"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2.33%</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18.45%</w:t>
            </w:r>
          </w:p>
        </w:tc>
        <w:tc>
          <w:tcPr>
            <w:tcW w:w="283" w:type="dxa"/>
            <w:tcBorders>
              <w:top w:val="nil"/>
              <w:left w:val="single" w:sz="4" w:space="0" w:color="D9D9D9"/>
              <w:bottom w:val="nil"/>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轻工制造</w:t>
            </w:r>
          </w:p>
        </w:tc>
        <w:tc>
          <w:tcPr>
            <w:tcW w:w="1417"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2.34%)</w:t>
            </w:r>
          </w:p>
        </w:tc>
        <w:tc>
          <w:tcPr>
            <w:tcW w:w="1276"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11.82%</w:t>
            </w:r>
          </w:p>
        </w:tc>
      </w:tr>
      <w:tr w:rsidR="00C02B3E" w:rsidRPr="00C62D3F" w:rsidTr="000C0BFB">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采掘</w:t>
            </w:r>
          </w:p>
        </w:tc>
        <w:tc>
          <w:tcPr>
            <w:tcW w:w="1134"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1.11%</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12.24%</w:t>
            </w:r>
          </w:p>
        </w:tc>
        <w:tc>
          <w:tcPr>
            <w:tcW w:w="283" w:type="dxa"/>
            <w:vMerge w:val="restart"/>
            <w:tcBorders>
              <w:top w:val="nil"/>
              <w:left w:val="single" w:sz="4" w:space="0" w:color="D9D9D9"/>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电气设备</w:t>
            </w:r>
          </w:p>
        </w:tc>
        <w:tc>
          <w:tcPr>
            <w:tcW w:w="1417"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2.53%)</w:t>
            </w:r>
          </w:p>
        </w:tc>
        <w:tc>
          <w:tcPr>
            <w:tcW w:w="1276"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10.09%</w:t>
            </w:r>
          </w:p>
        </w:tc>
      </w:tr>
      <w:tr w:rsidR="00C02B3E" w:rsidRPr="00C62D3F" w:rsidTr="000C0BFB">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建筑装饰</w:t>
            </w:r>
          </w:p>
        </w:tc>
        <w:tc>
          <w:tcPr>
            <w:tcW w:w="1134"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0.61%</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26.21%</w:t>
            </w:r>
          </w:p>
        </w:tc>
        <w:tc>
          <w:tcPr>
            <w:tcW w:w="283" w:type="dxa"/>
            <w:vMerge/>
            <w:tcBorders>
              <w:left w:val="single" w:sz="4" w:space="0" w:color="D9D9D9"/>
              <w:bottom w:val="nil"/>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汽车</w:t>
            </w:r>
          </w:p>
        </w:tc>
        <w:tc>
          <w:tcPr>
            <w:tcW w:w="1417"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2.61%)</w:t>
            </w:r>
          </w:p>
        </w:tc>
        <w:tc>
          <w:tcPr>
            <w:tcW w:w="1276"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7.23%</w:t>
            </w:r>
          </w:p>
        </w:tc>
      </w:tr>
      <w:tr w:rsidR="00C02B3E" w:rsidRPr="00C62D3F" w:rsidTr="000C0BFB">
        <w:trPr>
          <w:trHeight w:val="284"/>
        </w:trPr>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建筑材料</w:t>
            </w:r>
          </w:p>
        </w:tc>
        <w:tc>
          <w:tcPr>
            <w:tcW w:w="1134"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0.44%</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11.74%</w:t>
            </w:r>
          </w:p>
        </w:tc>
        <w:tc>
          <w:tcPr>
            <w:tcW w:w="283" w:type="dxa"/>
            <w:vMerge w:val="restart"/>
            <w:tcBorders>
              <w:top w:val="nil"/>
              <w:left w:val="single" w:sz="4" w:space="0" w:color="D9D9D9"/>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纺织服装</w:t>
            </w:r>
          </w:p>
        </w:tc>
        <w:tc>
          <w:tcPr>
            <w:tcW w:w="1417"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2.91%)</w:t>
            </w:r>
          </w:p>
        </w:tc>
        <w:tc>
          <w:tcPr>
            <w:tcW w:w="1276"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9.59%</w:t>
            </w:r>
          </w:p>
        </w:tc>
      </w:tr>
      <w:tr w:rsidR="00C02B3E" w:rsidRPr="00C62D3F" w:rsidTr="000C0BFB">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房地产</w:t>
            </w:r>
          </w:p>
        </w:tc>
        <w:tc>
          <w:tcPr>
            <w:tcW w:w="1134"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0.39%</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10.77%</w:t>
            </w:r>
          </w:p>
        </w:tc>
        <w:tc>
          <w:tcPr>
            <w:tcW w:w="283" w:type="dxa"/>
            <w:vMerge/>
            <w:tcBorders>
              <w:left w:val="single" w:sz="4" w:space="0" w:color="D9D9D9"/>
              <w:bottom w:val="nil"/>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通信</w:t>
            </w:r>
          </w:p>
        </w:tc>
        <w:tc>
          <w:tcPr>
            <w:tcW w:w="1417"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2.98%)</w:t>
            </w:r>
          </w:p>
        </w:tc>
        <w:tc>
          <w:tcPr>
            <w:tcW w:w="1276"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10.40%</w:t>
            </w:r>
          </w:p>
        </w:tc>
      </w:tr>
      <w:tr w:rsidR="00C02B3E" w:rsidRPr="00C62D3F" w:rsidTr="000C0BFB">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家用电器</w:t>
            </w:r>
          </w:p>
        </w:tc>
        <w:tc>
          <w:tcPr>
            <w:tcW w:w="1134"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0.24%</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12.61%</w:t>
            </w:r>
          </w:p>
        </w:tc>
        <w:tc>
          <w:tcPr>
            <w:tcW w:w="283" w:type="dxa"/>
            <w:vMerge w:val="restart"/>
            <w:tcBorders>
              <w:top w:val="nil"/>
              <w:left w:val="single" w:sz="4" w:space="0" w:color="D9D9D9"/>
              <w:bottom w:val="nil"/>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电子</w:t>
            </w:r>
          </w:p>
        </w:tc>
        <w:tc>
          <w:tcPr>
            <w:tcW w:w="1417"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3.75%)</w:t>
            </w:r>
          </w:p>
        </w:tc>
        <w:tc>
          <w:tcPr>
            <w:tcW w:w="1276"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11.70%</w:t>
            </w:r>
          </w:p>
        </w:tc>
      </w:tr>
      <w:tr w:rsidR="00C02B3E" w:rsidRPr="00C62D3F" w:rsidTr="000C0BFB">
        <w:trPr>
          <w:trHeight w:val="251"/>
        </w:trPr>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化工</w:t>
            </w:r>
          </w:p>
        </w:tc>
        <w:tc>
          <w:tcPr>
            <w:tcW w:w="1134" w:type="dxa"/>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0.01%</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4.74%</w:t>
            </w:r>
          </w:p>
        </w:tc>
        <w:tc>
          <w:tcPr>
            <w:tcW w:w="283" w:type="dxa"/>
            <w:vMerge/>
            <w:tcBorders>
              <w:left w:val="single" w:sz="4" w:space="0" w:color="D9D9D9"/>
              <w:bottom w:val="nil"/>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bottom w:val="single" w:sz="4" w:space="0" w:color="000000"/>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国防军工</w:t>
            </w:r>
          </w:p>
        </w:tc>
        <w:tc>
          <w:tcPr>
            <w:tcW w:w="1417" w:type="dxa"/>
            <w:tcBorders>
              <w:bottom w:val="single" w:sz="4" w:space="0" w:color="000000"/>
            </w:tcBorders>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3.93%)</w:t>
            </w:r>
          </w:p>
        </w:tc>
        <w:tc>
          <w:tcPr>
            <w:tcW w:w="1276" w:type="dxa"/>
            <w:tcBorders>
              <w:bottom w:val="single" w:sz="4" w:space="0" w:color="000000"/>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16.01%</w:t>
            </w:r>
          </w:p>
        </w:tc>
      </w:tr>
      <w:tr w:rsidR="00C02B3E" w:rsidRPr="00C62D3F" w:rsidTr="000C0BFB">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商业贸易</w:t>
            </w:r>
          </w:p>
        </w:tc>
        <w:tc>
          <w:tcPr>
            <w:tcW w:w="1134"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0.14%)</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11.75%</w:t>
            </w:r>
          </w:p>
        </w:tc>
        <w:tc>
          <w:tcPr>
            <w:tcW w:w="283" w:type="dxa"/>
            <w:vMerge/>
            <w:tcBorders>
              <w:left w:val="single" w:sz="4" w:space="0" w:color="D9D9D9"/>
              <w:bottom w:val="nil"/>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bottom w:val="single" w:sz="4" w:space="0" w:color="000000"/>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钢铁</w:t>
            </w:r>
          </w:p>
        </w:tc>
        <w:tc>
          <w:tcPr>
            <w:tcW w:w="1417" w:type="dxa"/>
            <w:tcBorders>
              <w:bottom w:val="single" w:sz="4" w:space="0" w:color="000000"/>
            </w:tcBorders>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3.98%)</w:t>
            </w:r>
          </w:p>
        </w:tc>
        <w:tc>
          <w:tcPr>
            <w:tcW w:w="1276" w:type="dxa"/>
            <w:tcBorders>
              <w:bottom w:val="single" w:sz="4" w:space="0" w:color="000000"/>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11.81%</w:t>
            </w:r>
          </w:p>
        </w:tc>
      </w:tr>
      <w:tr w:rsidR="00C02B3E" w:rsidRPr="00C62D3F" w:rsidTr="000C0BFB">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传媒</w:t>
            </w:r>
          </w:p>
        </w:tc>
        <w:tc>
          <w:tcPr>
            <w:tcW w:w="1134"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1.37%)</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10.90%</w:t>
            </w:r>
          </w:p>
        </w:tc>
        <w:tc>
          <w:tcPr>
            <w:tcW w:w="283" w:type="dxa"/>
            <w:vMerge/>
            <w:tcBorders>
              <w:left w:val="single" w:sz="4" w:space="0" w:color="D9D9D9"/>
              <w:bottom w:val="nil"/>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top w:val="single" w:sz="4" w:space="0" w:color="000000"/>
              <w:left w:val="single" w:sz="4" w:space="0" w:color="D9D9D9"/>
              <w:bottom w:val="single" w:sz="4" w:space="0" w:color="000000"/>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计算机</w:t>
            </w:r>
          </w:p>
        </w:tc>
        <w:tc>
          <w:tcPr>
            <w:tcW w:w="1417" w:type="dxa"/>
            <w:tcBorders>
              <w:top w:val="single" w:sz="4" w:space="0" w:color="000000"/>
              <w:bottom w:val="single" w:sz="4" w:space="0" w:color="000000"/>
            </w:tcBorders>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4.64%)</w:t>
            </w:r>
          </w:p>
        </w:tc>
        <w:tc>
          <w:tcPr>
            <w:tcW w:w="1276" w:type="dxa"/>
            <w:tcBorders>
              <w:top w:val="single" w:sz="4" w:space="0" w:color="000000"/>
              <w:bottom w:val="single" w:sz="4" w:space="0" w:color="000000"/>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10.64%</w:t>
            </w:r>
          </w:p>
        </w:tc>
      </w:tr>
      <w:tr w:rsidR="00C02B3E" w:rsidRPr="00C62D3F" w:rsidTr="000C0BFB">
        <w:tc>
          <w:tcPr>
            <w:tcW w:w="1276" w:type="dxa"/>
            <w:tcBorders>
              <w:lef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有色金属</w:t>
            </w:r>
          </w:p>
        </w:tc>
        <w:tc>
          <w:tcPr>
            <w:tcW w:w="1134" w:type="dxa"/>
          </w:tcPr>
          <w:p w:rsidR="00C02B3E" w:rsidRPr="000C0BFB" w:rsidRDefault="00015295" w:rsidP="00C02B3E">
            <w:pPr>
              <w:jc w:val="center"/>
              <w:rPr>
                <w:rFonts w:ascii="仿宋" w:eastAsia="仿宋" w:hAnsi="仿宋" w:cs="Arial"/>
                <w:sz w:val="20"/>
                <w:szCs w:val="20"/>
              </w:rPr>
            </w:pPr>
            <w:r w:rsidRPr="000C0BFB">
              <w:rPr>
                <w:rFonts w:ascii="仿宋" w:eastAsia="仿宋" w:hAnsi="仿宋" w:cs="Arial"/>
                <w:sz w:val="20"/>
                <w:szCs w:val="20"/>
              </w:rPr>
              <w:t>(</w:t>
            </w:r>
            <w:r w:rsidR="00C02B3E" w:rsidRPr="000C0BFB">
              <w:rPr>
                <w:rFonts w:ascii="仿宋" w:eastAsia="仿宋" w:hAnsi="仿宋" w:cs="Arial"/>
                <w:sz w:val="20"/>
                <w:szCs w:val="20"/>
              </w:rPr>
              <w:t>1.79%)</w:t>
            </w:r>
          </w:p>
        </w:tc>
        <w:tc>
          <w:tcPr>
            <w:tcW w:w="1134" w:type="dxa"/>
            <w:tcBorders>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14.24%</w:t>
            </w:r>
          </w:p>
        </w:tc>
        <w:tc>
          <w:tcPr>
            <w:tcW w:w="283" w:type="dxa"/>
            <w:vMerge/>
            <w:tcBorders>
              <w:left w:val="single" w:sz="4" w:space="0" w:color="D9D9D9"/>
              <w:bottom w:val="nil"/>
              <w:right w:val="single" w:sz="4" w:space="0" w:color="D9D9D9"/>
            </w:tcBorders>
            <w:vAlign w:val="center"/>
          </w:tcPr>
          <w:p w:rsidR="00C02B3E" w:rsidRPr="000C0BFB" w:rsidRDefault="00C02B3E" w:rsidP="00C02B3E">
            <w:pPr>
              <w:jc w:val="center"/>
              <w:rPr>
                <w:rFonts w:ascii="仿宋" w:eastAsia="仿宋" w:hAnsi="仿宋" w:cs="Arial"/>
                <w:sz w:val="20"/>
                <w:szCs w:val="20"/>
              </w:rPr>
            </w:pPr>
          </w:p>
        </w:tc>
        <w:tc>
          <w:tcPr>
            <w:tcW w:w="1418" w:type="dxa"/>
            <w:tcBorders>
              <w:left w:val="single" w:sz="4" w:space="0" w:color="D9D9D9"/>
              <w:bottom w:val="single" w:sz="4" w:space="0" w:color="000000"/>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交通运输</w:t>
            </w:r>
          </w:p>
        </w:tc>
        <w:tc>
          <w:tcPr>
            <w:tcW w:w="1417" w:type="dxa"/>
            <w:tcBorders>
              <w:bottom w:val="single" w:sz="4" w:space="0" w:color="000000"/>
            </w:tcBorders>
          </w:tcPr>
          <w:p w:rsidR="00C02B3E" w:rsidRPr="000C0BFB" w:rsidRDefault="00C02B3E" w:rsidP="00015295">
            <w:pPr>
              <w:jc w:val="center"/>
              <w:rPr>
                <w:rFonts w:ascii="仿宋" w:eastAsia="仿宋" w:hAnsi="仿宋" w:cs="Arial"/>
                <w:sz w:val="20"/>
                <w:szCs w:val="20"/>
              </w:rPr>
            </w:pPr>
            <w:r w:rsidRPr="000C0BFB">
              <w:rPr>
                <w:rFonts w:ascii="仿宋" w:eastAsia="仿宋" w:hAnsi="仿宋" w:cs="Arial"/>
                <w:sz w:val="20"/>
                <w:szCs w:val="20"/>
              </w:rPr>
              <w:t>(5.29%)</w:t>
            </w:r>
          </w:p>
        </w:tc>
        <w:tc>
          <w:tcPr>
            <w:tcW w:w="1276" w:type="dxa"/>
            <w:tcBorders>
              <w:bottom w:val="single" w:sz="4" w:space="0" w:color="000000"/>
              <w:right w:val="single" w:sz="4" w:space="0" w:color="D9D9D9"/>
            </w:tcBorders>
          </w:tcPr>
          <w:p w:rsidR="00C02B3E" w:rsidRPr="000C0BFB" w:rsidRDefault="00C02B3E" w:rsidP="00C02B3E">
            <w:pPr>
              <w:jc w:val="center"/>
              <w:rPr>
                <w:rFonts w:ascii="仿宋" w:eastAsia="仿宋" w:hAnsi="仿宋" w:cs="Arial"/>
                <w:sz w:val="20"/>
                <w:szCs w:val="20"/>
              </w:rPr>
            </w:pPr>
            <w:r w:rsidRPr="000C0BFB">
              <w:rPr>
                <w:rFonts w:ascii="仿宋" w:eastAsia="仿宋" w:hAnsi="仿宋" w:cs="Arial"/>
                <w:sz w:val="20"/>
                <w:szCs w:val="20"/>
              </w:rPr>
              <w:t>10.77%</w:t>
            </w:r>
          </w:p>
        </w:tc>
      </w:tr>
    </w:tbl>
    <w:p w:rsidR="00897AB9" w:rsidRPr="00567F50" w:rsidRDefault="00897AB9" w:rsidP="00897AB9">
      <w:pPr>
        <w:widowControl/>
        <w:jc w:val="left"/>
        <w:rPr>
          <w:rFonts w:ascii="仿宋" w:eastAsia="仿宋" w:hAnsi="仿宋"/>
          <w:b/>
          <w:color w:val="808080"/>
          <w:sz w:val="24"/>
          <w:szCs w:val="24"/>
        </w:rPr>
      </w:pPr>
    </w:p>
    <w:p w:rsidR="00B71FF4" w:rsidRDefault="00B71FF4">
      <w:pPr>
        <w:widowControl/>
        <w:jc w:val="left"/>
        <w:rPr>
          <w:rFonts w:ascii="仿宋" w:eastAsia="仿宋" w:hAnsi="仿宋"/>
          <w:b/>
          <w:sz w:val="24"/>
          <w:szCs w:val="24"/>
        </w:rPr>
      </w:pPr>
      <w:r>
        <w:rPr>
          <w:rFonts w:ascii="仿宋" w:eastAsia="仿宋" w:hAnsi="仿宋"/>
          <w:b/>
          <w:sz w:val="24"/>
          <w:szCs w:val="24"/>
        </w:rPr>
        <w:br w:type="page"/>
      </w:r>
    </w:p>
    <w:p w:rsidR="005958B7" w:rsidRDefault="00B7035E" w:rsidP="00F804BC">
      <w:pPr>
        <w:widowControl/>
        <w:ind w:leftChars="1100" w:left="2310"/>
        <w:jc w:val="left"/>
        <w:rPr>
          <w:rFonts w:ascii="仿宋" w:eastAsia="仿宋" w:hAnsi="仿宋"/>
          <w:b/>
          <w:sz w:val="24"/>
          <w:szCs w:val="24"/>
        </w:rPr>
      </w:pPr>
      <w:r w:rsidRPr="00567F50">
        <w:rPr>
          <w:rFonts w:ascii="仿宋" w:eastAsia="仿宋" w:hAnsi="仿宋" w:hint="eastAsia"/>
          <w:b/>
          <w:sz w:val="24"/>
          <w:szCs w:val="24"/>
        </w:rPr>
        <w:lastRenderedPageBreak/>
        <w:t>图1：风格特征</w:t>
      </w:r>
    </w:p>
    <w:p w:rsidR="00C4451D" w:rsidRPr="00567F50" w:rsidRDefault="00015295" w:rsidP="00D07EE2">
      <w:pPr>
        <w:widowControl/>
        <w:ind w:leftChars="200" w:left="420" w:firstLineChars="882" w:firstLine="1852"/>
        <w:jc w:val="left"/>
        <w:rPr>
          <w:rFonts w:ascii="仿宋" w:eastAsia="仿宋" w:hAnsi="仿宋"/>
          <w:b/>
          <w:sz w:val="24"/>
          <w:szCs w:val="24"/>
        </w:rPr>
      </w:pPr>
      <w:r>
        <w:rPr>
          <w:noProof/>
        </w:rPr>
        <w:drawing>
          <wp:inline distT="0" distB="0" distL="0" distR="0" wp14:anchorId="57DE91C0" wp14:editId="272451F3">
            <wp:extent cx="4454957" cy="2961313"/>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66667" cy="2969097"/>
                    </a:xfrm>
                    <a:prstGeom prst="rect">
                      <a:avLst/>
                    </a:prstGeom>
                  </pic:spPr>
                </pic:pic>
              </a:graphicData>
            </a:graphic>
          </wp:inline>
        </w:drawing>
      </w:r>
    </w:p>
    <w:p w:rsidR="0033452C" w:rsidRPr="00567F50" w:rsidRDefault="0007558E" w:rsidP="00CD3CBB">
      <w:pPr>
        <w:spacing w:line="276" w:lineRule="auto"/>
        <w:ind w:leftChars="1080" w:left="2268" w:rightChars="471" w:right="989"/>
        <w:jc w:val="left"/>
        <w:rPr>
          <w:rFonts w:ascii="仿宋" w:eastAsia="仿宋" w:hAnsi="仿宋"/>
          <w:color w:val="7F7F7F"/>
          <w:sz w:val="18"/>
          <w:szCs w:val="18"/>
        </w:rPr>
      </w:pPr>
      <w:r w:rsidRPr="00567F50">
        <w:rPr>
          <w:rFonts w:ascii="仿宋" w:eastAsia="仿宋" w:hAnsi="仿宋" w:hint="eastAsia"/>
          <w:color w:val="7F7F7F"/>
          <w:sz w:val="18"/>
          <w:szCs w:val="18"/>
        </w:rPr>
        <w:t>数据来源：万得资讯、交银施罗德基金   日期区间：201</w:t>
      </w:r>
      <w:r w:rsidR="009704A2" w:rsidRPr="00567F50">
        <w:rPr>
          <w:rFonts w:ascii="仿宋" w:eastAsia="仿宋" w:hAnsi="仿宋" w:hint="eastAsia"/>
          <w:color w:val="7F7F7F"/>
          <w:sz w:val="18"/>
          <w:szCs w:val="18"/>
        </w:rPr>
        <w:t>4</w:t>
      </w:r>
      <w:r w:rsidR="009B7744" w:rsidRPr="00567F50">
        <w:rPr>
          <w:rFonts w:ascii="仿宋" w:eastAsia="仿宋" w:hAnsi="仿宋" w:hint="eastAsia"/>
          <w:color w:val="7F7F7F"/>
          <w:sz w:val="18"/>
          <w:szCs w:val="18"/>
        </w:rPr>
        <w:t>1</w:t>
      </w:r>
      <w:r w:rsidR="00C62D3F">
        <w:rPr>
          <w:rFonts w:ascii="仿宋" w:eastAsia="仿宋" w:hAnsi="仿宋" w:hint="eastAsia"/>
          <w:color w:val="7F7F7F"/>
          <w:sz w:val="18"/>
          <w:szCs w:val="18"/>
        </w:rPr>
        <w:t>2</w:t>
      </w:r>
      <w:r w:rsidR="00015295">
        <w:rPr>
          <w:rFonts w:ascii="仿宋" w:eastAsia="仿宋" w:hAnsi="仿宋"/>
          <w:color w:val="7F7F7F"/>
          <w:sz w:val="18"/>
          <w:szCs w:val="18"/>
        </w:rPr>
        <w:t>22</w:t>
      </w:r>
      <w:r w:rsidR="00A17215" w:rsidRPr="00567F50">
        <w:rPr>
          <w:rFonts w:ascii="仿宋" w:eastAsia="仿宋" w:hAnsi="仿宋" w:hint="eastAsia"/>
          <w:color w:val="7F7F7F"/>
          <w:sz w:val="18"/>
          <w:szCs w:val="18"/>
        </w:rPr>
        <w:t>-2014</w:t>
      </w:r>
      <w:r w:rsidR="009B7744" w:rsidRPr="00567F50">
        <w:rPr>
          <w:rFonts w:ascii="仿宋" w:eastAsia="仿宋" w:hAnsi="仿宋" w:hint="eastAsia"/>
          <w:color w:val="7F7F7F"/>
          <w:sz w:val="18"/>
          <w:szCs w:val="18"/>
        </w:rPr>
        <w:t>1</w:t>
      </w:r>
      <w:r w:rsidR="00C62D3F">
        <w:rPr>
          <w:rFonts w:ascii="仿宋" w:eastAsia="仿宋" w:hAnsi="仿宋"/>
          <w:color w:val="7F7F7F"/>
          <w:sz w:val="18"/>
          <w:szCs w:val="18"/>
        </w:rPr>
        <w:t>2</w:t>
      </w:r>
      <w:r w:rsidR="00015295">
        <w:rPr>
          <w:rFonts w:ascii="仿宋" w:eastAsia="仿宋" w:hAnsi="仿宋"/>
          <w:color w:val="7F7F7F"/>
          <w:sz w:val="18"/>
          <w:szCs w:val="18"/>
        </w:rPr>
        <w:t>26</w:t>
      </w:r>
    </w:p>
    <w:p w:rsidR="00893F4E" w:rsidRDefault="00893F4E" w:rsidP="00521849">
      <w:pPr>
        <w:ind w:firstLineChars="500" w:firstLine="2209"/>
        <w:rPr>
          <w:rFonts w:ascii="仿宋" w:eastAsia="仿宋" w:hAnsi="仿宋"/>
          <w:b/>
          <w:color w:val="082F6B"/>
          <w:sz w:val="44"/>
          <w:szCs w:val="44"/>
        </w:rPr>
      </w:pPr>
    </w:p>
    <w:p w:rsidR="0013534F" w:rsidRPr="00567F50" w:rsidRDefault="00EB5FBB" w:rsidP="00521849">
      <w:pPr>
        <w:ind w:firstLineChars="500" w:firstLine="2209"/>
        <w:rPr>
          <w:rFonts w:ascii="仿宋" w:eastAsia="仿宋" w:hAnsi="仿宋"/>
          <w:b/>
          <w:color w:val="082F6B"/>
          <w:sz w:val="36"/>
          <w:szCs w:val="36"/>
        </w:rPr>
      </w:pPr>
      <w:r w:rsidRPr="00C052C3">
        <w:rPr>
          <w:rFonts w:ascii="仿宋" w:eastAsia="仿宋" w:hAnsi="仿宋" w:hint="eastAsia"/>
          <w:b/>
          <w:color w:val="082F6B"/>
          <w:sz w:val="44"/>
          <w:szCs w:val="44"/>
        </w:rPr>
        <w:t>宏观经济</w:t>
      </w:r>
      <w:r w:rsidR="00EA4F19">
        <w:rPr>
          <w:rFonts w:ascii="仿宋" w:eastAsia="仿宋" w:hAnsi="仿宋" w:hint="eastAsia"/>
          <w:b/>
          <w:color w:val="082F6B"/>
          <w:sz w:val="44"/>
          <w:szCs w:val="44"/>
        </w:rPr>
        <w:t>与</w:t>
      </w:r>
      <w:r w:rsidR="00EA4F19">
        <w:rPr>
          <w:rFonts w:ascii="仿宋" w:eastAsia="仿宋" w:hAnsi="仿宋"/>
          <w:b/>
          <w:color w:val="082F6B"/>
          <w:sz w:val="44"/>
          <w:szCs w:val="44"/>
        </w:rPr>
        <w:t>债券市场</w:t>
      </w:r>
      <w:r w:rsidR="00F75495" w:rsidRPr="00C052C3">
        <w:rPr>
          <w:rFonts w:ascii="仿宋" w:eastAsia="仿宋" w:hAnsi="仿宋" w:hint="eastAsia"/>
          <w:b/>
          <w:color w:val="082F6B"/>
          <w:sz w:val="36"/>
          <w:szCs w:val="36"/>
        </w:rPr>
        <w:t>201</w:t>
      </w:r>
      <w:r w:rsidR="003A2050" w:rsidRPr="00C052C3">
        <w:rPr>
          <w:rFonts w:ascii="仿宋" w:eastAsia="仿宋" w:hAnsi="仿宋" w:hint="eastAsia"/>
          <w:b/>
          <w:color w:val="082F6B"/>
          <w:sz w:val="36"/>
          <w:szCs w:val="36"/>
        </w:rPr>
        <w:t>4</w:t>
      </w:r>
      <w:r w:rsidR="006F1594" w:rsidRPr="00C052C3">
        <w:rPr>
          <w:rFonts w:ascii="仿宋" w:eastAsia="仿宋" w:hAnsi="仿宋" w:hint="eastAsia"/>
          <w:b/>
          <w:color w:val="082F6B"/>
          <w:sz w:val="36"/>
          <w:szCs w:val="36"/>
        </w:rPr>
        <w:t>1</w:t>
      </w:r>
      <w:r w:rsidR="00D07EE2">
        <w:rPr>
          <w:rFonts w:ascii="仿宋" w:eastAsia="仿宋" w:hAnsi="仿宋"/>
          <w:b/>
          <w:color w:val="082F6B"/>
          <w:sz w:val="36"/>
          <w:szCs w:val="36"/>
        </w:rPr>
        <w:t>2</w:t>
      </w:r>
      <w:r w:rsidR="00B52ABD">
        <w:rPr>
          <w:rFonts w:ascii="仿宋" w:eastAsia="仿宋" w:hAnsi="仿宋"/>
          <w:b/>
          <w:color w:val="082F6B"/>
          <w:sz w:val="36"/>
          <w:szCs w:val="36"/>
        </w:rPr>
        <w:t>22</w:t>
      </w:r>
      <w:r w:rsidR="001769D6" w:rsidRPr="00C052C3">
        <w:rPr>
          <w:rFonts w:ascii="仿宋" w:eastAsia="仿宋" w:hAnsi="仿宋" w:hint="eastAsia"/>
          <w:b/>
          <w:color w:val="082F6B"/>
          <w:sz w:val="36"/>
          <w:szCs w:val="36"/>
        </w:rPr>
        <w:t>-2014</w:t>
      </w:r>
      <w:r w:rsidR="006F1594" w:rsidRPr="00C052C3">
        <w:rPr>
          <w:rFonts w:ascii="仿宋" w:eastAsia="仿宋" w:hAnsi="仿宋" w:hint="eastAsia"/>
          <w:b/>
          <w:color w:val="082F6B"/>
          <w:sz w:val="36"/>
          <w:szCs w:val="36"/>
        </w:rPr>
        <w:t>1</w:t>
      </w:r>
      <w:r w:rsidR="00D07EE2">
        <w:rPr>
          <w:rFonts w:ascii="仿宋" w:eastAsia="仿宋" w:hAnsi="仿宋"/>
          <w:b/>
          <w:color w:val="082F6B"/>
          <w:sz w:val="36"/>
          <w:szCs w:val="36"/>
        </w:rPr>
        <w:t>2</w:t>
      </w:r>
      <w:r w:rsidR="00B52ABD">
        <w:rPr>
          <w:rFonts w:ascii="仿宋" w:eastAsia="仿宋" w:hAnsi="仿宋"/>
          <w:b/>
          <w:color w:val="082F6B"/>
          <w:sz w:val="36"/>
          <w:szCs w:val="36"/>
        </w:rPr>
        <w:t>26</w:t>
      </w:r>
    </w:p>
    <w:p w:rsidR="00B7035E" w:rsidRPr="00567F50" w:rsidRDefault="00C55358" w:rsidP="00B7035E">
      <w:pPr>
        <w:spacing w:line="276" w:lineRule="auto"/>
        <w:ind w:leftChars="1080" w:left="2268" w:rightChars="471" w:right="989"/>
        <w:jc w:val="left"/>
        <w:rPr>
          <w:rFonts w:ascii="仿宋" w:eastAsia="仿宋" w:hAnsi="仿宋"/>
          <w:b/>
          <w:color w:val="0088CC"/>
          <w:sz w:val="24"/>
          <w:szCs w:val="24"/>
        </w:rPr>
      </w:pPr>
      <w:r w:rsidRPr="00567F50">
        <w:rPr>
          <w:rFonts w:ascii="仿宋" w:eastAsia="仿宋" w:hAnsi="仿宋" w:hint="eastAsia"/>
          <w:b/>
          <w:color w:val="0088CC"/>
          <w:sz w:val="24"/>
          <w:szCs w:val="24"/>
        </w:rPr>
        <w:t>交银施罗德</w:t>
      </w:r>
      <w:r w:rsidR="00A604AA">
        <w:rPr>
          <w:rFonts w:ascii="仿宋" w:eastAsia="仿宋" w:hAnsi="仿宋" w:hint="eastAsia"/>
          <w:b/>
          <w:color w:val="0088CC"/>
          <w:sz w:val="24"/>
          <w:szCs w:val="24"/>
        </w:rPr>
        <w:t>权益部</w:t>
      </w:r>
      <w:r w:rsidR="00EA4F19">
        <w:rPr>
          <w:rFonts w:ascii="仿宋" w:eastAsia="仿宋" w:hAnsi="仿宋" w:hint="eastAsia"/>
          <w:b/>
          <w:color w:val="0088CC"/>
          <w:sz w:val="24"/>
          <w:szCs w:val="24"/>
        </w:rPr>
        <w:t>、</w:t>
      </w:r>
      <w:r w:rsidR="00EA4F19">
        <w:rPr>
          <w:rFonts w:ascii="仿宋" w:eastAsia="仿宋" w:hAnsi="仿宋"/>
          <w:b/>
          <w:color w:val="0088CC"/>
          <w:sz w:val="24"/>
          <w:szCs w:val="24"/>
        </w:rPr>
        <w:t>固定收益部</w:t>
      </w:r>
    </w:p>
    <w:p w:rsidR="00240811" w:rsidRDefault="00D30FEA" w:rsidP="00D17564">
      <w:pPr>
        <w:spacing w:after="240" w:line="300" w:lineRule="auto"/>
        <w:ind w:leftChars="1080" w:left="2268" w:rightChars="471" w:right="989"/>
        <w:jc w:val="left"/>
        <w:rPr>
          <w:rFonts w:ascii="仿宋" w:eastAsia="仿宋" w:hAnsi="仿宋"/>
          <w:sz w:val="24"/>
          <w:szCs w:val="24"/>
        </w:rPr>
      </w:pPr>
      <w:r w:rsidRPr="006B23B9">
        <w:rPr>
          <w:rFonts w:ascii="仿宋" w:eastAsia="仿宋" w:hAnsi="仿宋" w:hint="eastAsia"/>
          <w:b/>
          <w:color w:val="0088CC"/>
          <w:position w:val="4"/>
          <w:sz w:val="15"/>
          <w:szCs w:val="15"/>
        </w:rPr>
        <w:t>●</w:t>
      </w:r>
      <w:r w:rsidR="00B71FF4">
        <w:rPr>
          <w:rFonts w:ascii="仿宋" w:eastAsia="仿宋" w:hAnsi="仿宋" w:hint="eastAsia"/>
          <w:b/>
          <w:sz w:val="24"/>
          <w:szCs w:val="24"/>
        </w:rPr>
        <w:t>宏观经济</w:t>
      </w:r>
      <w:r w:rsidR="00D17564" w:rsidRPr="00D17564">
        <w:rPr>
          <w:rFonts w:ascii="仿宋" w:eastAsia="仿宋" w:hAnsi="仿宋" w:hint="eastAsia"/>
          <w:b/>
          <w:sz w:val="24"/>
          <w:szCs w:val="24"/>
        </w:rPr>
        <w:t>：</w:t>
      </w:r>
      <w:r w:rsidR="00B71FF4" w:rsidRPr="00B71FF4">
        <w:rPr>
          <w:rFonts w:ascii="仿宋" w:eastAsia="仿宋" w:hAnsi="仿宋" w:hint="eastAsia"/>
          <w:sz w:val="24"/>
          <w:szCs w:val="24"/>
        </w:rPr>
        <w:t>央行对银行存款口径做出调整，将部分原属于同业存款项</w:t>
      </w:r>
      <w:proofErr w:type="gramStart"/>
      <w:r w:rsidR="00B71FF4" w:rsidRPr="00B71FF4">
        <w:rPr>
          <w:rFonts w:ascii="仿宋" w:eastAsia="仿宋" w:hAnsi="仿宋" w:hint="eastAsia"/>
          <w:sz w:val="24"/>
          <w:szCs w:val="24"/>
        </w:rPr>
        <w:t>下存款</w:t>
      </w:r>
      <w:proofErr w:type="gramEnd"/>
      <w:r w:rsidR="00B71FF4" w:rsidRPr="00B71FF4">
        <w:rPr>
          <w:rFonts w:ascii="仿宋" w:eastAsia="仿宋" w:hAnsi="仿宋" w:hint="eastAsia"/>
          <w:sz w:val="24"/>
          <w:szCs w:val="24"/>
        </w:rPr>
        <w:t>纳入各项存款范围，新纳入各项存款口径的存款是指存款类金融机构吸收的证券及交易结算类存放，银行业非存款类存放，SPV存放，其他金融机构存放以及境外金融机构存放；且新纳入存款口径的各项存款法定存款准备金率暂定为0。</w:t>
      </w:r>
    </w:p>
    <w:p w:rsidR="00B71FF4" w:rsidRPr="00B71FF4" w:rsidRDefault="00B71FF4" w:rsidP="00D17564">
      <w:pPr>
        <w:spacing w:after="240" w:line="300" w:lineRule="auto"/>
        <w:ind w:leftChars="1080" w:left="2268" w:rightChars="471" w:right="989"/>
        <w:jc w:val="left"/>
        <w:rPr>
          <w:rFonts w:ascii="仿宋" w:eastAsia="仿宋" w:hAnsi="仿宋" w:hint="eastAsia"/>
          <w:sz w:val="24"/>
          <w:szCs w:val="24"/>
        </w:rPr>
      </w:pPr>
      <w:r w:rsidRPr="00B71FF4">
        <w:rPr>
          <w:rFonts w:ascii="仿宋" w:eastAsia="仿宋" w:hAnsi="仿宋" w:hint="eastAsia"/>
          <w:sz w:val="24"/>
          <w:szCs w:val="24"/>
        </w:rPr>
        <w:t>就本次新</w:t>
      </w:r>
      <w:proofErr w:type="gramStart"/>
      <w:r w:rsidRPr="00B71FF4">
        <w:rPr>
          <w:rFonts w:ascii="仿宋" w:eastAsia="仿宋" w:hAnsi="仿宋" w:hint="eastAsia"/>
          <w:sz w:val="24"/>
          <w:szCs w:val="24"/>
        </w:rPr>
        <w:t>规</w:t>
      </w:r>
      <w:proofErr w:type="gramEnd"/>
      <w:r w:rsidRPr="00B71FF4">
        <w:rPr>
          <w:rFonts w:ascii="仿宋" w:eastAsia="仿宋" w:hAnsi="仿宋" w:hint="eastAsia"/>
          <w:sz w:val="24"/>
          <w:szCs w:val="24"/>
        </w:rPr>
        <w:t>来看，执行新的存款口径后，银行贷存比将有所下降，从而银行吸收存款的压力将有所减轻；同时准备金暂定为零有利于稳定资金面及降低银行资金成本，贷存比的缓解也一定程度上有利于降低融资利率；存款口径调整后存款收益率曲线可能趋于收敛，央行对存款利率的调节作用增强，有利于推进利率市场化。</w:t>
      </w:r>
    </w:p>
    <w:p w:rsidR="00EA4F19" w:rsidRPr="00EA4F19" w:rsidRDefault="00EA4F19" w:rsidP="00EA4F19">
      <w:pPr>
        <w:spacing w:after="240" w:line="300" w:lineRule="auto"/>
        <w:ind w:leftChars="1080" w:left="2268" w:rightChars="471" w:right="989"/>
        <w:jc w:val="left"/>
        <w:rPr>
          <w:rFonts w:ascii="仿宋" w:eastAsia="仿宋" w:hAnsi="仿宋"/>
          <w:sz w:val="24"/>
          <w:szCs w:val="24"/>
        </w:rPr>
      </w:pPr>
      <w:bookmarkStart w:id="0" w:name="_GoBack"/>
      <w:bookmarkEnd w:id="0"/>
      <w:r w:rsidRPr="006B23B9">
        <w:rPr>
          <w:rFonts w:ascii="仿宋" w:eastAsia="仿宋" w:hAnsi="仿宋" w:hint="eastAsia"/>
          <w:b/>
          <w:color w:val="0088CC"/>
          <w:position w:val="4"/>
          <w:sz w:val="15"/>
          <w:szCs w:val="15"/>
        </w:rPr>
        <w:t>●</w:t>
      </w:r>
      <w:r w:rsidRPr="00EA4F19">
        <w:rPr>
          <w:rFonts w:ascii="仿宋" w:eastAsia="仿宋" w:hAnsi="仿宋" w:hint="eastAsia"/>
          <w:b/>
          <w:sz w:val="24"/>
          <w:szCs w:val="24"/>
        </w:rPr>
        <w:t>公开市场业务:</w:t>
      </w:r>
      <w:r w:rsidR="00B52ABD" w:rsidRPr="00B52ABD">
        <w:rPr>
          <w:rFonts w:hint="eastAsia"/>
        </w:rPr>
        <w:t xml:space="preserve"> </w:t>
      </w:r>
      <w:r w:rsidR="00B52ABD" w:rsidRPr="00B52ABD">
        <w:rPr>
          <w:rFonts w:ascii="仿宋" w:eastAsia="仿宋" w:hAnsi="仿宋" w:hint="eastAsia"/>
          <w:sz w:val="24"/>
          <w:szCs w:val="24"/>
        </w:rPr>
        <w:t>本周中国人民银行连续第八周暂停公开市场操作，同期亦无正回购或央票到期，央行维持无投放无回笼的中性操作，全周资金面逐渐宽松。</w:t>
      </w:r>
    </w:p>
    <w:p w:rsidR="00EA4F19" w:rsidRPr="00EA4F19" w:rsidRDefault="00EA4F19" w:rsidP="00EA4F19">
      <w:pPr>
        <w:spacing w:after="240" w:line="300" w:lineRule="auto"/>
        <w:ind w:leftChars="1080" w:left="2268" w:rightChars="471" w:right="989"/>
        <w:jc w:val="left"/>
        <w:rPr>
          <w:rFonts w:ascii="仿宋" w:eastAsia="仿宋" w:hAnsi="仿宋"/>
          <w:sz w:val="24"/>
          <w:szCs w:val="24"/>
        </w:rPr>
      </w:pPr>
      <w:r w:rsidRPr="006B23B9">
        <w:rPr>
          <w:rFonts w:ascii="仿宋" w:eastAsia="仿宋" w:hAnsi="仿宋" w:hint="eastAsia"/>
          <w:b/>
          <w:color w:val="0088CC"/>
          <w:position w:val="4"/>
          <w:sz w:val="15"/>
          <w:szCs w:val="15"/>
        </w:rPr>
        <w:t>●</w:t>
      </w:r>
      <w:r w:rsidRPr="00EA4F19">
        <w:rPr>
          <w:rFonts w:ascii="仿宋" w:eastAsia="仿宋" w:hAnsi="仿宋" w:hint="eastAsia"/>
          <w:b/>
          <w:sz w:val="24"/>
          <w:szCs w:val="24"/>
        </w:rPr>
        <w:t xml:space="preserve">债券市场: </w:t>
      </w:r>
      <w:r w:rsidR="00B52ABD" w:rsidRPr="00B52ABD">
        <w:rPr>
          <w:rFonts w:ascii="仿宋" w:eastAsia="仿宋" w:hAnsi="仿宋" w:hint="eastAsia"/>
          <w:sz w:val="24"/>
          <w:szCs w:val="24"/>
        </w:rPr>
        <w:t>本周债券各期限收益率下行明显，受资金面带动，短</w:t>
      </w:r>
      <w:proofErr w:type="gramStart"/>
      <w:r w:rsidR="00B52ABD" w:rsidRPr="00B52ABD">
        <w:rPr>
          <w:rFonts w:ascii="仿宋" w:eastAsia="仿宋" w:hAnsi="仿宋" w:hint="eastAsia"/>
          <w:sz w:val="24"/>
          <w:szCs w:val="24"/>
        </w:rPr>
        <w:t>端表现</w:t>
      </w:r>
      <w:proofErr w:type="gramEnd"/>
      <w:r w:rsidR="00B52ABD" w:rsidRPr="00B52ABD">
        <w:rPr>
          <w:rFonts w:ascii="仿宋" w:eastAsia="仿宋" w:hAnsi="仿宋" w:hint="eastAsia"/>
          <w:sz w:val="24"/>
          <w:szCs w:val="24"/>
        </w:rPr>
        <w:t>优于长</w:t>
      </w:r>
      <w:r w:rsidR="00B52ABD" w:rsidRPr="00B52ABD">
        <w:rPr>
          <w:rFonts w:ascii="仿宋" w:eastAsia="仿宋" w:hAnsi="仿宋" w:hint="eastAsia"/>
          <w:sz w:val="24"/>
          <w:szCs w:val="24"/>
        </w:rPr>
        <w:lastRenderedPageBreak/>
        <w:t>端，收益率曲线陡峭化下行。具体而言，国债方面，3个月和1年期收益率分别下行12BP和20BP左右，而3年、5年、7年、去年期下行在5~10BP之间；政策性金融债方面，其中3个月利率大幅下行超过45BP，1年期品种则下行24BP左右，3年、5年、7年及10年期品种下行在10~20BP之间；</w:t>
      </w:r>
      <w:proofErr w:type="gramStart"/>
      <w:r w:rsidR="00B52ABD" w:rsidRPr="00B52ABD">
        <w:rPr>
          <w:rFonts w:ascii="仿宋" w:eastAsia="仿宋" w:hAnsi="仿宋" w:hint="eastAsia"/>
          <w:sz w:val="24"/>
          <w:szCs w:val="24"/>
        </w:rPr>
        <w:t>央票方面</w:t>
      </w:r>
      <w:proofErr w:type="gramEnd"/>
      <w:r w:rsidR="00B52ABD" w:rsidRPr="00B52ABD">
        <w:rPr>
          <w:rFonts w:ascii="仿宋" w:eastAsia="仿宋" w:hAnsi="仿宋" w:hint="eastAsia"/>
          <w:sz w:val="24"/>
          <w:szCs w:val="24"/>
        </w:rPr>
        <w:t>，本周7天及14天品种收益率分别大幅下行55BP和25BP左右，6个月、9个月1年以及2年期收益率下行幅度在10~20BP之间，3年期品种收益率下行8BP左右。</w:t>
      </w:r>
    </w:p>
    <w:p w:rsidR="00D17564" w:rsidRPr="006C6A10" w:rsidRDefault="00D17564" w:rsidP="00D17564">
      <w:pPr>
        <w:spacing w:after="240" w:line="300" w:lineRule="auto"/>
        <w:ind w:leftChars="1080" w:left="2268" w:rightChars="471" w:right="989"/>
        <w:jc w:val="left"/>
        <w:rPr>
          <w:rFonts w:ascii="仿宋" w:eastAsia="仿宋" w:hAnsi="仿宋"/>
          <w:sz w:val="24"/>
          <w:szCs w:val="24"/>
        </w:rPr>
      </w:pPr>
    </w:p>
    <w:p w:rsidR="00B7035E" w:rsidRPr="00567F50" w:rsidRDefault="00C61E9D" w:rsidP="00F804BC">
      <w:pPr>
        <w:widowControl/>
        <w:ind w:leftChars="3500" w:left="7350"/>
        <w:rPr>
          <w:rFonts w:ascii="仿宋" w:eastAsia="仿宋" w:hAnsi="仿宋"/>
          <w:sz w:val="24"/>
          <w:szCs w:val="24"/>
        </w:rPr>
      </w:pPr>
      <w:r w:rsidRPr="00567F50">
        <w:rPr>
          <w:rFonts w:ascii="仿宋" w:eastAsia="仿宋" w:hAnsi="仿宋"/>
          <w:b/>
          <w:noProof/>
          <w:color w:val="000080"/>
          <w:sz w:val="32"/>
          <w:szCs w:val="32"/>
        </w:rPr>
        <w:drawing>
          <wp:inline distT="0" distB="0" distL="0" distR="0">
            <wp:extent cx="2154555" cy="429260"/>
            <wp:effectExtent l="19050" t="0" r="0" b="0"/>
            <wp:docPr id="3" name="图片 3"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2"/>
                    <pic:cNvPicPr>
                      <a:picLocks noChangeAspect="1" noChangeArrowheads="1"/>
                    </pic:cNvPicPr>
                  </pic:nvPicPr>
                  <pic:blipFill>
                    <a:blip r:embed="rId10"/>
                    <a:srcRect/>
                    <a:stretch>
                      <a:fillRect/>
                    </a:stretch>
                  </pic:blipFill>
                  <pic:spPr bwMode="auto">
                    <a:xfrm>
                      <a:off x="0" y="0"/>
                      <a:ext cx="2154555" cy="429260"/>
                    </a:xfrm>
                    <a:prstGeom prst="rect">
                      <a:avLst/>
                    </a:prstGeom>
                    <a:noFill/>
                    <a:ln w="9525">
                      <a:noFill/>
                      <a:miter lim="800000"/>
                      <a:headEnd/>
                      <a:tailEnd/>
                    </a:ln>
                  </pic:spPr>
                </pic:pic>
              </a:graphicData>
            </a:graphic>
          </wp:inline>
        </w:drawing>
      </w:r>
    </w:p>
    <w:tbl>
      <w:tblPr>
        <w:tblW w:w="10060" w:type="dxa"/>
        <w:jc w:val="center"/>
        <w:tblLook w:val="04A0" w:firstRow="1" w:lastRow="0" w:firstColumn="1" w:lastColumn="0" w:noHBand="0" w:noVBand="1"/>
      </w:tblPr>
      <w:tblGrid>
        <w:gridCol w:w="1282"/>
        <w:gridCol w:w="879"/>
        <w:gridCol w:w="437"/>
        <w:gridCol w:w="365"/>
        <w:gridCol w:w="860"/>
        <w:gridCol w:w="297"/>
        <w:gridCol w:w="731"/>
        <w:gridCol w:w="992"/>
        <w:gridCol w:w="13"/>
        <w:gridCol w:w="979"/>
        <w:gridCol w:w="1029"/>
        <w:gridCol w:w="420"/>
        <w:gridCol w:w="558"/>
        <w:gridCol w:w="1218"/>
      </w:tblGrid>
      <w:tr w:rsidR="00A21430" w:rsidRPr="00567F50" w:rsidTr="007C7F71">
        <w:trPr>
          <w:trHeight w:val="255"/>
          <w:jc w:val="center"/>
        </w:trPr>
        <w:tc>
          <w:tcPr>
            <w:tcW w:w="2161" w:type="dxa"/>
            <w:gridSpan w:val="2"/>
            <w:vMerge w:val="restart"/>
            <w:tcBorders>
              <w:top w:val="single" w:sz="12" w:space="0" w:color="AA9678"/>
              <w:left w:val="single" w:sz="4" w:space="0" w:color="FFFFFF"/>
              <w:bottom w:val="single" w:sz="4" w:space="0" w:color="auto"/>
              <w:right w:val="single" w:sz="2" w:space="0" w:color="001E3E"/>
            </w:tcBorders>
            <w:shd w:val="clear" w:color="auto" w:fill="002E60"/>
            <w:noWrap/>
            <w:vAlign w:val="center"/>
            <w:hideMark/>
          </w:tcPr>
          <w:p w:rsidR="00A21430" w:rsidRPr="00567F50" w:rsidRDefault="00A21430" w:rsidP="00274C7A">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基金名称</w:t>
            </w:r>
          </w:p>
        </w:tc>
        <w:tc>
          <w:tcPr>
            <w:tcW w:w="802" w:type="dxa"/>
            <w:gridSpan w:val="2"/>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567F50" w:rsidRDefault="00A21430" w:rsidP="00274C7A">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最新</w:t>
            </w:r>
            <w:r w:rsidRPr="00567F50">
              <w:rPr>
                <w:rFonts w:ascii="仿宋" w:eastAsia="仿宋" w:hAnsi="仿宋" w:cs="Arial"/>
                <w:b/>
                <w:bCs/>
                <w:color w:val="FFFFFF"/>
                <w:kern w:val="0"/>
                <w:sz w:val="18"/>
                <w:szCs w:val="18"/>
              </w:rPr>
              <w:br/>
            </w:r>
            <w:r w:rsidRPr="00567F50">
              <w:rPr>
                <w:rFonts w:ascii="仿宋" w:eastAsia="仿宋" w:hAnsi="仿宋" w:cs="Arial" w:hint="eastAsia"/>
                <w:b/>
                <w:bCs/>
                <w:color w:val="FFFFFF"/>
                <w:kern w:val="0"/>
                <w:sz w:val="18"/>
                <w:szCs w:val="18"/>
              </w:rPr>
              <w:t>净值</w:t>
            </w:r>
          </w:p>
        </w:tc>
        <w:tc>
          <w:tcPr>
            <w:tcW w:w="860" w:type="dxa"/>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567F50" w:rsidRDefault="00A21430" w:rsidP="00274C7A">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累计</w:t>
            </w:r>
            <w:r w:rsidRPr="00567F50">
              <w:rPr>
                <w:rFonts w:ascii="仿宋" w:eastAsia="仿宋" w:hAnsi="仿宋" w:cs="Arial"/>
                <w:b/>
                <w:bCs/>
                <w:color w:val="FFFFFF"/>
                <w:kern w:val="0"/>
                <w:sz w:val="18"/>
                <w:szCs w:val="18"/>
              </w:rPr>
              <w:br/>
            </w:r>
            <w:r w:rsidRPr="00567F50">
              <w:rPr>
                <w:rFonts w:ascii="仿宋" w:eastAsia="仿宋" w:hAnsi="仿宋" w:cs="Arial" w:hint="eastAsia"/>
                <w:b/>
                <w:bCs/>
                <w:color w:val="FFFFFF"/>
                <w:kern w:val="0"/>
                <w:sz w:val="18"/>
                <w:szCs w:val="18"/>
              </w:rPr>
              <w:t>净值</w:t>
            </w:r>
          </w:p>
        </w:tc>
        <w:tc>
          <w:tcPr>
            <w:tcW w:w="6237" w:type="dxa"/>
            <w:gridSpan w:val="9"/>
            <w:tcBorders>
              <w:top w:val="single" w:sz="12" w:space="0" w:color="AA9678"/>
              <w:left w:val="single" w:sz="2" w:space="0" w:color="001E3E"/>
              <w:bottom w:val="single" w:sz="4" w:space="0" w:color="887456"/>
              <w:right w:val="single" w:sz="4" w:space="0" w:color="FFFFFF"/>
            </w:tcBorders>
            <w:shd w:val="clear" w:color="auto" w:fill="002E60"/>
            <w:noWrap/>
            <w:vAlign w:val="center"/>
            <w:hideMark/>
          </w:tcPr>
          <w:p w:rsidR="00A21430" w:rsidRPr="00567F50" w:rsidRDefault="00A21430" w:rsidP="00274C7A">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基金回报</w:t>
            </w:r>
          </w:p>
        </w:tc>
      </w:tr>
      <w:tr w:rsidR="00A21430" w:rsidRPr="00567F50" w:rsidTr="007C7F71">
        <w:trPr>
          <w:trHeight w:val="255"/>
          <w:jc w:val="center"/>
        </w:trPr>
        <w:tc>
          <w:tcPr>
            <w:tcW w:w="2161" w:type="dxa"/>
            <w:gridSpan w:val="2"/>
            <w:vMerge/>
            <w:tcBorders>
              <w:top w:val="single" w:sz="4" w:space="0" w:color="auto"/>
              <w:left w:val="single" w:sz="4" w:space="0" w:color="FFFFFF"/>
              <w:bottom w:val="single" w:sz="2" w:space="0" w:color="001E3E"/>
              <w:right w:val="single" w:sz="2" w:space="0" w:color="001E3E"/>
            </w:tcBorders>
            <w:shd w:val="clear" w:color="auto" w:fill="002E60"/>
            <w:vAlign w:val="center"/>
            <w:hideMark/>
          </w:tcPr>
          <w:p w:rsidR="00A21430" w:rsidRPr="00567F50" w:rsidRDefault="00A21430" w:rsidP="00274C7A">
            <w:pPr>
              <w:widowControl/>
              <w:jc w:val="center"/>
              <w:rPr>
                <w:rFonts w:ascii="仿宋" w:eastAsia="仿宋" w:hAnsi="仿宋" w:cs="Arial"/>
                <w:b/>
                <w:bCs/>
                <w:color w:val="FFFFFF"/>
                <w:kern w:val="0"/>
                <w:sz w:val="18"/>
                <w:szCs w:val="18"/>
              </w:rPr>
            </w:pPr>
          </w:p>
        </w:tc>
        <w:tc>
          <w:tcPr>
            <w:tcW w:w="802" w:type="dxa"/>
            <w:gridSpan w:val="2"/>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567F50" w:rsidRDefault="00A21430" w:rsidP="00274C7A">
            <w:pPr>
              <w:widowControl/>
              <w:jc w:val="center"/>
              <w:rPr>
                <w:rFonts w:ascii="仿宋" w:eastAsia="仿宋" w:hAnsi="仿宋" w:cs="Arial"/>
                <w:b/>
                <w:bCs/>
                <w:color w:val="FFFFFF"/>
                <w:kern w:val="0"/>
                <w:sz w:val="18"/>
                <w:szCs w:val="18"/>
              </w:rPr>
            </w:pPr>
          </w:p>
        </w:tc>
        <w:tc>
          <w:tcPr>
            <w:tcW w:w="860" w:type="dxa"/>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567F50" w:rsidRDefault="00A21430" w:rsidP="00274C7A">
            <w:pPr>
              <w:widowControl/>
              <w:jc w:val="center"/>
              <w:rPr>
                <w:rFonts w:ascii="仿宋" w:eastAsia="仿宋" w:hAnsi="仿宋" w:cs="Arial"/>
                <w:b/>
                <w:bCs/>
                <w:color w:val="FFFFFF"/>
                <w:kern w:val="0"/>
                <w:sz w:val="18"/>
                <w:szCs w:val="18"/>
              </w:rPr>
            </w:pPr>
          </w:p>
        </w:tc>
        <w:tc>
          <w:tcPr>
            <w:tcW w:w="1028" w:type="dxa"/>
            <w:gridSpan w:val="2"/>
            <w:tcBorders>
              <w:top w:val="single" w:sz="4" w:space="0" w:color="887456"/>
              <w:left w:val="single" w:sz="2" w:space="0" w:color="001E3E"/>
              <w:bottom w:val="single" w:sz="2" w:space="0" w:color="001E3E"/>
              <w:right w:val="single" w:sz="4" w:space="0" w:color="6C5C44"/>
            </w:tcBorders>
            <w:shd w:val="clear" w:color="auto" w:fill="AA9678"/>
            <w:noWrap/>
            <w:vAlign w:val="center"/>
            <w:hideMark/>
          </w:tcPr>
          <w:p w:rsidR="00A21430" w:rsidRPr="00567F50" w:rsidRDefault="00A21430" w:rsidP="00C43FA3">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最近一</w:t>
            </w:r>
            <w:r w:rsidR="00C43FA3" w:rsidRPr="00567F50">
              <w:rPr>
                <w:rFonts w:ascii="仿宋" w:eastAsia="仿宋" w:hAnsi="仿宋" w:cs="Arial" w:hint="eastAsia"/>
                <w:b/>
                <w:bCs/>
                <w:color w:val="FFFFFF"/>
                <w:kern w:val="0"/>
                <w:sz w:val="18"/>
                <w:szCs w:val="18"/>
              </w:rPr>
              <w:t>天</w:t>
            </w:r>
          </w:p>
        </w:tc>
        <w:tc>
          <w:tcPr>
            <w:tcW w:w="992" w:type="dxa"/>
            <w:tcBorders>
              <w:top w:val="single" w:sz="4" w:space="0" w:color="887456"/>
              <w:left w:val="single" w:sz="4" w:space="0" w:color="6C5C44"/>
              <w:bottom w:val="single" w:sz="2" w:space="0" w:color="001E3E"/>
              <w:right w:val="single" w:sz="4" w:space="0" w:color="6C5C44"/>
            </w:tcBorders>
            <w:shd w:val="clear" w:color="auto" w:fill="BEAF98"/>
            <w:noWrap/>
            <w:vAlign w:val="center"/>
            <w:hideMark/>
          </w:tcPr>
          <w:p w:rsidR="00A21430" w:rsidRPr="00567F50" w:rsidRDefault="00A4569B" w:rsidP="00352804">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三月</w:t>
            </w:r>
          </w:p>
        </w:tc>
        <w:tc>
          <w:tcPr>
            <w:tcW w:w="992"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hideMark/>
          </w:tcPr>
          <w:p w:rsidR="00A21430" w:rsidRPr="00567F50" w:rsidRDefault="00A4569B" w:rsidP="00352804">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六月</w:t>
            </w:r>
          </w:p>
        </w:tc>
        <w:tc>
          <w:tcPr>
            <w:tcW w:w="1029" w:type="dxa"/>
            <w:tcBorders>
              <w:top w:val="single" w:sz="4" w:space="0" w:color="887456"/>
              <w:left w:val="single" w:sz="4" w:space="0" w:color="6C5C44"/>
              <w:bottom w:val="single" w:sz="2" w:space="0" w:color="001E3E"/>
              <w:right w:val="single" w:sz="4" w:space="0" w:color="6C5C44"/>
            </w:tcBorders>
            <w:shd w:val="clear" w:color="auto" w:fill="BEAF98"/>
            <w:noWrap/>
            <w:vAlign w:val="center"/>
          </w:tcPr>
          <w:p w:rsidR="00A21430" w:rsidRPr="00567F50" w:rsidRDefault="00A4569B" w:rsidP="00352804">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一年</w:t>
            </w:r>
          </w:p>
        </w:tc>
        <w:tc>
          <w:tcPr>
            <w:tcW w:w="978"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tcPr>
          <w:p w:rsidR="00A21430" w:rsidRPr="00567F50" w:rsidRDefault="007C7F71" w:rsidP="00352804">
            <w:pPr>
              <w:jc w:val="center"/>
              <w:rPr>
                <w:rFonts w:ascii="仿宋" w:eastAsia="仿宋" w:hAnsi="仿宋" w:cs="Arial"/>
                <w:b/>
                <w:bCs/>
                <w:color w:val="FFFFFF"/>
                <w:kern w:val="0"/>
                <w:sz w:val="18"/>
                <w:szCs w:val="18"/>
              </w:rPr>
            </w:pPr>
            <w:r>
              <w:rPr>
                <w:rFonts w:ascii="仿宋" w:eastAsia="仿宋" w:hAnsi="仿宋" w:cs="Arial" w:hint="eastAsia"/>
                <w:b/>
                <w:bCs/>
                <w:color w:val="FFFFFF"/>
                <w:kern w:val="0"/>
                <w:sz w:val="18"/>
                <w:szCs w:val="18"/>
              </w:rPr>
              <w:t>成立至今</w:t>
            </w:r>
          </w:p>
        </w:tc>
        <w:tc>
          <w:tcPr>
            <w:tcW w:w="1218" w:type="dxa"/>
            <w:tcBorders>
              <w:top w:val="single" w:sz="4" w:space="0" w:color="887456"/>
              <w:left w:val="single" w:sz="4" w:space="0" w:color="6C5C44"/>
              <w:bottom w:val="single" w:sz="2" w:space="0" w:color="001E3E"/>
              <w:right w:val="single" w:sz="4" w:space="0" w:color="948A54"/>
            </w:tcBorders>
            <w:shd w:val="clear" w:color="auto" w:fill="BEAF98"/>
            <w:noWrap/>
            <w:vAlign w:val="center"/>
          </w:tcPr>
          <w:p w:rsidR="00A21430" w:rsidRPr="00567F50" w:rsidRDefault="007C7F71" w:rsidP="00A21430">
            <w:pPr>
              <w:widowControl/>
              <w:snapToGrid w:val="0"/>
              <w:jc w:val="center"/>
              <w:rPr>
                <w:rFonts w:ascii="仿宋" w:eastAsia="仿宋" w:hAnsi="仿宋" w:cs="Arial"/>
                <w:b/>
                <w:bCs/>
                <w:color w:val="FFFFFF"/>
                <w:kern w:val="0"/>
                <w:sz w:val="18"/>
                <w:szCs w:val="18"/>
              </w:rPr>
            </w:pPr>
            <w:proofErr w:type="gramStart"/>
            <w:r>
              <w:rPr>
                <w:rFonts w:ascii="仿宋" w:eastAsia="仿宋" w:hAnsi="仿宋" w:cs="Arial" w:hint="eastAsia"/>
                <w:b/>
                <w:bCs/>
                <w:color w:val="FFFFFF"/>
                <w:kern w:val="0"/>
                <w:sz w:val="18"/>
                <w:szCs w:val="18"/>
              </w:rPr>
              <w:t>年化收益率</w:t>
            </w:r>
            <w:proofErr w:type="gramEnd"/>
          </w:p>
        </w:tc>
      </w:tr>
      <w:tr w:rsidR="007C7F71" w:rsidRPr="00567F50" w:rsidTr="007C7F71">
        <w:trPr>
          <w:trHeight w:val="235"/>
          <w:jc w:val="center"/>
        </w:trPr>
        <w:tc>
          <w:tcPr>
            <w:tcW w:w="2161" w:type="dxa"/>
            <w:gridSpan w:val="2"/>
            <w:tcBorders>
              <w:top w:val="single" w:sz="2" w:space="0" w:color="001E3E"/>
              <w:left w:val="single" w:sz="4" w:space="0" w:color="FFFFFF"/>
              <w:bottom w:val="single" w:sz="4" w:space="0" w:color="AA9678"/>
              <w:right w:val="single" w:sz="4" w:space="0" w:color="AA9678"/>
            </w:tcBorders>
            <w:shd w:val="clear" w:color="auto" w:fill="auto"/>
            <w:noWrap/>
            <w:vAlign w:val="center"/>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交银精选</w:t>
            </w:r>
          </w:p>
        </w:tc>
        <w:tc>
          <w:tcPr>
            <w:tcW w:w="802" w:type="dxa"/>
            <w:gridSpan w:val="2"/>
            <w:tcBorders>
              <w:top w:val="single" w:sz="2" w:space="0" w:color="001E3E"/>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0.7441</w:t>
            </w:r>
          </w:p>
        </w:tc>
        <w:tc>
          <w:tcPr>
            <w:tcW w:w="860" w:type="dxa"/>
            <w:tcBorders>
              <w:top w:val="single" w:sz="2" w:space="0" w:color="001E3E"/>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2.9359</w:t>
            </w:r>
          </w:p>
        </w:tc>
        <w:tc>
          <w:tcPr>
            <w:tcW w:w="1028" w:type="dxa"/>
            <w:gridSpan w:val="2"/>
            <w:tcBorders>
              <w:top w:val="single" w:sz="2" w:space="0" w:color="001E3E"/>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1.21%</w:t>
            </w:r>
          </w:p>
        </w:tc>
        <w:tc>
          <w:tcPr>
            <w:tcW w:w="992" w:type="dxa"/>
            <w:tcBorders>
              <w:top w:val="single" w:sz="2" w:space="0" w:color="001E3E"/>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3.71%</w:t>
            </w:r>
          </w:p>
        </w:tc>
        <w:tc>
          <w:tcPr>
            <w:tcW w:w="992" w:type="dxa"/>
            <w:gridSpan w:val="2"/>
            <w:tcBorders>
              <w:top w:val="single" w:sz="2" w:space="0" w:color="001E3E"/>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12.59%</w:t>
            </w:r>
          </w:p>
        </w:tc>
        <w:tc>
          <w:tcPr>
            <w:tcW w:w="1029" w:type="dxa"/>
            <w:tcBorders>
              <w:top w:val="single" w:sz="2" w:space="0" w:color="001E3E"/>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2.40%</w:t>
            </w:r>
          </w:p>
        </w:tc>
        <w:tc>
          <w:tcPr>
            <w:tcW w:w="978" w:type="dxa"/>
            <w:gridSpan w:val="2"/>
            <w:tcBorders>
              <w:top w:val="single" w:sz="2" w:space="0" w:color="001E3E"/>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249.10%</w:t>
            </w:r>
          </w:p>
        </w:tc>
        <w:tc>
          <w:tcPr>
            <w:tcW w:w="1218" w:type="dxa"/>
            <w:tcBorders>
              <w:top w:val="single" w:sz="2" w:space="0" w:color="001E3E"/>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14.48%</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交银稳健</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1.2862</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2.9212</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1.57%</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12.17%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25.56%</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14.72%</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221.09%</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14.64%</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银成长</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3.2432</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3.6482</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1.54%</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3.54%</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14.05%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7.64%</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273.42%</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17.47%</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交银蓝筹</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0.8127</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0.8277</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2.16%</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8.90%</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18.61%</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9.88%</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-17.60%</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-2.59%</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交银增利A/B</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1.0762</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1.4882</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0.29%</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7.12%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11.43%</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19.13%</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59.00%</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7.12%</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交银增利C</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1.0742</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1.4562</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0.29%</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7.01%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11.19%</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18.64%</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54.39%</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6.65%</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交银环球</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1.645</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1.839</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-0.06%</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0.61%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1.23%</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6.89%</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89.11%</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10.56%</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交银先锋</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1.3313</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1.4103</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1.56%</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6.27%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18.57%</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15.08%</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42.14%</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6.35%</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治理ETF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1.03</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1.147</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4.04%</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52.82%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73.69%</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68.30%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14.63%</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2.63%</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银治理</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1.145</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1.145</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3.81%</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49.67%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69.13%</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64.04%</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14.50%</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2.62%</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银主题</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1.234</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1.249</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1.48%</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57.40%</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62.80%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59.84%</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25.12%</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5.11%</w:t>
            </w:r>
          </w:p>
        </w:tc>
      </w:tr>
      <w:tr w:rsidR="007C7F71" w:rsidRPr="00567F50" w:rsidTr="007C7F71">
        <w:trPr>
          <w:trHeight w:val="334"/>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银趋势</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0.946</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0.946</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1.50%</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5.70%</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21.75%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20.51%</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-5.40%</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-1.37%</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交银添利</w:t>
            </w:r>
            <w:r>
              <w:rPr>
                <w:rFonts w:ascii="仿宋" w:eastAsia="仿宋" w:hAnsi="仿宋" w:cs="Arial" w:hint="eastAsia"/>
                <w:b/>
                <w:color w:val="002854"/>
                <w:kern w:val="0"/>
                <w:sz w:val="20"/>
                <w:szCs w:val="18"/>
              </w:rPr>
              <w:t>(LOF)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1.149</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1.26</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0.09%</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7.18%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11.12%</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15.26%</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27.67%</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6.44%</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交银制造</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1.354</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1.354</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-0.07%</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0.07%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17.03%</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20.04%</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35.40%</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9.00%</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proofErr w:type="gramStart"/>
            <w:r w:rsidRPr="008001D1">
              <w:rPr>
                <w:rFonts w:ascii="仿宋" w:eastAsia="仿宋" w:hAnsi="仿宋" w:cs="Arial" w:hint="eastAsia"/>
                <w:b/>
                <w:color w:val="002854"/>
                <w:kern w:val="0"/>
                <w:sz w:val="18"/>
                <w:szCs w:val="18"/>
              </w:rPr>
              <w:t>交银深证</w:t>
            </w:r>
            <w:proofErr w:type="gramEnd"/>
            <w:r w:rsidRPr="008001D1">
              <w:rPr>
                <w:rFonts w:ascii="仿宋" w:eastAsia="仿宋" w:hAnsi="仿宋" w:cs="Arial" w:hint="eastAsia"/>
                <w:b/>
                <w:color w:val="002854"/>
                <w:kern w:val="0"/>
                <w:sz w:val="18"/>
                <w:szCs w:val="18"/>
              </w:rPr>
              <w:t>300价值ETF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1.33</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1.33</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2.62%</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30.65%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51.31%</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47.29%</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33.00%</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9.13%</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proofErr w:type="gramStart"/>
            <w:r w:rsidRPr="00567F50">
              <w:rPr>
                <w:rFonts w:ascii="仿宋" w:eastAsia="仿宋" w:hAnsi="仿宋" w:cs="Arial" w:hint="eastAsia"/>
                <w:b/>
                <w:color w:val="002854"/>
                <w:kern w:val="0"/>
                <w:sz w:val="20"/>
                <w:szCs w:val="18"/>
              </w:rPr>
              <w:t>交银双利</w:t>
            </w:r>
            <w:proofErr w:type="gramEnd"/>
            <w:r w:rsidRPr="00567F50">
              <w:rPr>
                <w:rFonts w:ascii="仿宋" w:eastAsia="仿宋" w:hAnsi="仿宋" w:cs="Arial" w:hint="eastAsia"/>
                <w:b/>
                <w:color w:val="002854"/>
                <w:kern w:val="0"/>
                <w:sz w:val="20"/>
                <w:szCs w:val="18"/>
              </w:rPr>
              <w:t>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1.306</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1.464</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0.77%</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16.34%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24.64%</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32.13%</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50.60%</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13.42%</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7C7F71" w:rsidRPr="00567F50" w:rsidRDefault="007C7F71" w:rsidP="007C7F71">
            <w:pPr>
              <w:widowControl/>
              <w:jc w:val="center"/>
              <w:rPr>
                <w:rFonts w:ascii="仿宋" w:eastAsia="仿宋" w:hAnsi="仿宋" w:cs="Arial"/>
                <w:b/>
                <w:color w:val="002854"/>
                <w:kern w:val="0"/>
                <w:sz w:val="20"/>
                <w:szCs w:val="18"/>
              </w:rPr>
            </w:pPr>
            <w:proofErr w:type="gramStart"/>
            <w:r w:rsidRPr="00567F50">
              <w:rPr>
                <w:rFonts w:ascii="仿宋" w:eastAsia="仿宋" w:hAnsi="仿宋" w:cs="Arial" w:hint="eastAsia"/>
                <w:b/>
                <w:color w:val="002854"/>
                <w:kern w:val="0"/>
                <w:sz w:val="20"/>
                <w:szCs w:val="18"/>
              </w:rPr>
              <w:t>交银双利</w:t>
            </w:r>
            <w:proofErr w:type="gramEnd"/>
            <w:r w:rsidRPr="00567F50">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1.289</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1.444</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0.86%</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16.28%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24.33%</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31.62%</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48.41%</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12.91%</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银价值</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1.293</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1.293</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2.46%</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29.04%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48.45%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44.15%</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29.30%</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8.24%</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交银行业</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1.524</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1.614</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2.63%</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16.34%</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7C7F71" w:rsidRPr="00FF0CBA" w:rsidRDefault="007C7F71" w:rsidP="007C7F71">
            <w:pPr>
              <w:jc w:val="center"/>
            </w:pPr>
            <w:r w:rsidRPr="00FF0CBA">
              <w:t>35.23%</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38.92%</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48.15%</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14.54%</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银资源</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1.156</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1.179</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-0.09%</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-7.15%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7C7F71" w:rsidRPr="00FF0CBA" w:rsidRDefault="007C7F71" w:rsidP="007C7F71">
            <w:pPr>
              <w:jc w:val="center"/>
            </w:pPr>
            <w:r w:rsidRPr="00FF0CBA">
              <w:t>-4.15%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-5.18%</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17.77%</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6.51%</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银荣安</w:t>
            </w:r>
            <w:proofErr w:type="gramEnd"/>
            <w:r w:rsidRPr="00567F50">
              <w:rPr>
                <w:rFonts w:ascii="仿宋" w:eastAsia="仿宋" w:hAnsi="仿宋" w:cs="Arial" w:hint="eastAsia"/>
                <w:b/>
                <w:color w:val="002854"/>
                <w:kern w:val="0"/>
                <w:sz w:val="20"/>
                <w:szCs w:val="18"/>
              </w:rPr>
              <w:t>保本</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1.133</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1.264</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1.43%</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10.72%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14.76%</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18.06%</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28.59%</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10.50%</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交银核心</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1.605</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1.605</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3.15%</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40.54%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65.29%</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60.66%</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60.50%</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21.82%</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lastRenderedPageBreak/>
              <w:t>交银等权</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1.452</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1.491</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1.54%</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25.71%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48.16%</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38.45%</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50.63%</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21.16%</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银纯债</w:t>
            </w:r>
            <w:proofErr w:type="gramEnd"/>
            <w:r w:rsidRPr="00567F50">
              <w:rPr>
                <w:rFonts w:ascii="仿宋" w:eastAsia="仿宋" w:hAnsi="仿宋" w:cs="Arial" w:hint="eastAsia"/>
                <w:b/>
                <w:color w:val="002854"/>
                <w:kern w:val="0"/>
                <w:sz w:val="20"/>
                <w:szCs w:val="18"/>
              </w:rPr>
              <w:t>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1.064</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1.096</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-0.19%</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0.18%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3.61%</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10.10%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9.65%</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4.67%</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银纯债</w:t>
            </w:r>
            <w:proofErr w:type="gramEnd"/>
            <w:r w:rsidRPr="00567F50">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1.052</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1.083</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-0.19%</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0.18%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3.45%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9.44%</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8.33%</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4.04%</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rPr>
              <w:t>交银双轮动A/B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1.052</w:t>
            </w:r>
          </w:p>
        </w:tc>
        <w:tc>
          <w:tcPr>
            <w:tcW w:w="860"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1.097</w:t>
            </w:r>
          </w:p>
        </w:tc>
        <w:tc>
          <w:tcPr>
            <w:tcW w:w="102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-0.10%</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1.04%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4.06%</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10.04%</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7C7F71" w:rsidRPr="00FF0CBA" w:rsidRDefault="007C7F71" w:rsidP="007C7F71">
            <w:pPr>
              <w:jc w:val="center"/>
            </w:pPr>
            <w:r w:rsidRPr="00FF0CBA">
              <w:t>9.81%</w:t>
            </w:r>
          </w:p>
        </w:tc>
        <w:tc>
          <w:tcPr>
            <w:tcW w:w="1218" w:type="dxa"/>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5.69%</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C7F71" w:rsidRPr="00567F50" w:rsidRDefault="007C7F71" w:rsidP="007C7F71">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交银双轮动</w:t>
            </w:r>
            <w:r w:rsidRPr="00567F50">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1.046</w:t>
            </w:r>
          </w:p>
        </w:tc>
        <w:tc>
          <w:tcPr>
            <w:tcW w:w="860"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1.088</w:t>
            </w:r>
          </w:p>
        </w:tc>
        <w:tc>
          <w:tcPr>
            <w:tcW w:w="102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-0.10%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0.95%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3.68%</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9.45%</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7C7F71" w:rsidRPr="00FF0CBA" w:rsidRDefault="007C7F71" w:rsidP="007C7F71">
            <w:pPr>
              <w:jc w:val="center"/>
            </w:pPr>
            <w:r w:rsidRPr="00FF0CBA">
              <w:t>8.89%</w:t>
            </w:r>
          </w:p>
        </w:tc>
        <w:tc>
          <w:tcPr>
            <w:tcW w:w="1218" w:type="dxa"/>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5.17%</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rPr>
              <w:t>交银荣祥保</w:t>
            </w:r>
            <w:r w:rsidRPr="00567F50">
              <w:rPr>
                <w:rFonts w:ascii="仿宋" w:eastAsia="仿宋" w:hAnsi="仿宋" w:cs="Arial" w:hint="eastAsia"/>
                <w:b/>
                <w:color w:val="002854"/>
                <w:kern w:val="0"/>
                <w:sz w:val="20"/>
                <w:szCs w:val="18"/>
              </w:rPr>
              <w:t>本</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1.08</w:t>
            </w:r>
          </w:p>
        </w:tc>
        <w:tc>
          <w:tcPr>
            <w:tcW w:w="860"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1.222</w:t>
            </w:r>
          </w:p>
        </w:tc>
        <w:tc>
          <w:tcPr>
            <w:tcW w:w="1028" w:type="dxa"/>
            <w:gridSpan w:val="2"/>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1.50%</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10.40%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14.84%</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18.71%</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23.40%</w:t>
            </w:r>
          </w:p>
        </w:tc>
        <w:tc>
          <w:tcPr>
            <w:tcW w:w="1218"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13.39%</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C7F71" w:rsidRPr="00567F50" w:rsidRDefault="007C7F71" w:rsidP="007C7F71">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w:t>
            </w:r>
            <w:proofErr w:type="gramStart"/>
            <w:r w:rsidRPr="00567F50">
              <w:rPr>
                <w:rFonts w:ascii="仿宋" w:eastAsia="仿宋" w:hAnsi="仿宋" w:cs="Arial" w:hint="eastAsia"/>
                <w:b/>
                <w:color w:val="002854"/>
                <w:kern w:val="0"/>
                <w:sz w:val="20"/>
              </w:rPr>
              <w:t>银成长</w:t>
            </w:r>
            <w:proofErr w:type="gramEnd"/>
            <w:r w:rsidRPr="00567F50">
              <w:rPr>
                <w:rFonts w:ascii="仿宋" w:eastAsia="仿宋" w:hAnsi="仿宋" w:cs="Arial" w:hint="eastAsia"/>
                <w:b/>
                <w:color w:val="002854"/>
                <w:kern w:val="0"/>
                <w:sz w:val="20"/>
              </w:rPr>
              <w:t>30</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1.139</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1.139</w:t>
            </w:r>
          </w:p>
        </w:tc>
        <w:tc>
          <w:tcPr>
            <w:tcW w:w="1028"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1.33%</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5.27%</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18.89%</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12.66%</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13.90%</w:t>
            </w:r>
          </w:p>
        </w:tc>
        <w:tc>
          <w:tcPr>
            <w:tcW w:w="1218"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8.71%</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C7F71" w:rsidRPr="00567F50" w:rsidRDefault="007C7F71" w:rsidP="007C7F71">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交银月月丰A</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1.18</w:t>
            </w:r>
          </w:p>
        </w:tc>
        <w:tc>
          <w:tcPr>
            <w:tcW w:w="860"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1.18</w:t>
            </w:r>
          </w:p>
        </w:tc>
        <w:tc>
          <w:tcPr>
            <w:tcW w:w="1028" w:type="dxa"/>
            <w:gridSpan w:val="2"/>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0.17%</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7.37%</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11.01%</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16.37%</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18.00%</w:t>
            </w:r>
          </w:p>
        </w:tc>
        <w:tc>
          <w:tcPr>
            <w:tcW w:w="1218"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12.84%</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C7F71" w:rsidRPr="00567F50" w:rsidRDefault="007C7F71" w:rsidP="007C7F71">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交银月月丰C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1.172</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1.172</w:t>
            </w:r>
          </w:p>
        </w:tc>
        <w:tc>
          <w:tcPr>
            <w:tcW w:w="1028"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0.17%</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7.23%</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10.67%</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15.70%</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17.20%</w:t>
            </w:r>
          </w:p>
        </w:tc>
        <w:tc>
          <w:tcPr>
            <w:tcW w:w="1218"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12.28%</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C7F71" w:rsidRPr="00567F50" w:rsidRDefault="007C7F71" w:rsidP="007C7F71">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w:t>
            </w:r>
            <w:proofErr w:type="gramStart"/>
            <w:r w:rsidRPr="00567F50">
              <w:rPr>
                <w:rFonts w:ascii="仿宋" w:eastAsia="仿宋" w:hAnsi="仿宋" w:cs="Arial" w:hint="eastAsia"/>
                <w:b/>
                <w:color w:val="002854"/>
                <w:kern w:val="0"/>
                <w:sz w:val="20"/>
              </w:rPr>
              <w:t>银双息平衡</w:t>
            </w:r>
            <w:proofErr w:type="gramEnd"/>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1.272</w:t>
            </w:r>
          </w:p>
        </w:tc>
        <w:tc>
          <w:tcPr>
            <w:tcW w:w="860"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1.272</w:t>
            </w:r>
          </w:p>
        </w:tc>
        <w:tc>
          <w:tcPr>
            <w:tcW w:w="1028" w:type="dxa"/>
            <w:gridSpan w:val="2"/>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2.33%</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12.57%</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24.10%</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26.19%</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27.20%</w:t>
            </w:r>
          </w:p>
        </w:tc>
        <w:tc>
          <w:tcPr>
            <w:tcW w:w="1218"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20.17%</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C7F71" w:rsidRPr="00567F50" w:rsidRDefault="007C7F71" w:rsidP="007C7F71">
            <w:pPr>
              <w:widowControl/>
              <w:jc w:val="center"/>
              <w:rPr>
                <w:rFonts w:ascii="仿宋" w:eastAsia="仿宋" w:hAnsi="仿宋" w:cs="Arial"/>
                <w:b/>
                <w:color w:val="002854"/>
                <w:kern w:val="0"/>
                <w:sz w:val="20"/>
              </w:rPr>
            </w:pPr>
            <w:proofErr w:type="gramStart"/>
            <w:r w:rsidRPr="00567F50">
              <w:rPr>
                <w:rFonts w:ascii="仿宋" w:eastAsia="仿宋" w:hAnsi="仿宋" w:cs="Arial" w:hint="eastAsia"/>
                <w:b/>
                <w:color w:val="002854"/>
                <w:kern w:val="0"/>
                <w:sz w:val="20"/>
              </w:rPr>
              <w:t>交银荣泰</w:t>
            </w:r>
            <w:proofErr w:type="gramEnd"/>
            <w:r w:rsidRPr="00567F50">
              <w:rPr>
                <w:rFonts w:ascii="仿宋" w:eastAsia="仿宋" w:hAnsi="仿宋" w:cs="Arial" w:hint="eastAsia"/>
                <w:b/>
                <w:color w:val="002854"/>
                <w:kern w:val="0"/>
                <w:sz w:val="20"/>
              </w:rPr>
              <w:t>保本</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1.125</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1.17</w:t>
            </w:r>
          </w:p>
        </w:tc>
        <w:tc>
          <w:tcPr>
            <w:tcW w:w="1028"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1.08%</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9.30%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12.83%</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17.45%</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17.45%</w:t>
            </w:r>
          </w:p>
        </w:tc>
        <w:tc>
          <w:tcPr>
            <w:tcW w:w="1218"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17.40%</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7C7F71" w:rsidRPr="00567F50" w:rsidRDefault="007C7F71" w:rsidP="007C7F71">
            <w:pPr>
              <w:jc w:val="center"/>
            </w:pPr>
            <w:r w:rsidRPr="00567F50">
              <w:rPr>
                <w:rFonts w:ascii="仿宋" w:eastAsia="仿宋" w:hAnsi="仿宋" w:cs="Arial" w:hint="eastAsia"/>
                <w:b/>
                <w:color w:val="002854"/>
                <w:kern w:val="0"/>
                <w:sz w:val="20"/>
              </w:rPr>
              <w:t>交银强化回报A/B</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7C7F71" w:rsidRPr="00FF0CBA" w:rsidRDefault="007C7F71" w:rsidP="007C7F71">
            <w:pPr>
              <w:jc w:val="center"/>
            </w:pPr>
            <w:r w:rsidRPr="00FF0CBA">
              <w:t>1.034</w:t>
            </w:r>
          </w:p>
        </w:tc>
        <w:tc>
          <w:tcPr>
            <w:tcW w:w="860"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1.074</w:t>
            </w:r>
          </w:p>
        </w:tc>
        <w:tc>
          <w:tcPr>
            <w:tcW w:w="1028" w:type="dxa"/>
            <w:gridSpan w:val="2"/>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0.19%</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2.55%</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5.47%</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7.47%</w:t>
            </w:r>
          </w:p>
        </w:tc>
        <w:tc>
          <w:tcPr>
            <w:tcW w:w="1218" w:type="dxa"/>
            <w:tcBorders>
              <w:top w:val="single" w:sz="4" w:space="0" w:color="AA9678"/>
              <w:left w:val="single" w:sz="4" w:space="0" w:color="AA9678"/>
              <w:bottom w:val="single" w:sz="4" w:space="0" w:color="AA9678"/>
              <w:right w:val="single" w:sz="4" w:space="0" w:color="948A54"/>
            </w:tcBorders>
            <w:shd w:val="pct5" w:color="auto" w:fill="auto"/>
          </w:tcPr>
          <w:p w:rsidR="007C7F71" w:rsidRPr="00FF0CBA" w:rsidRDefault="007C7F71" w:rsidP="007C7F71">
            <w:pPr>
              <w:jc w:val="center"/>
            </w:pPr>
            <w:r w:rsidRPr="00FF0CBA">
              <w:t>8.24%</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C7F71" w:rsidRPr="00567F50" w:rsidRDefault="007C7F71" w:rsidP="007C7F71">
            <w:pPr>
              <w:jc w:val="center"/>
            </w:pPr>
            <w:r w:rsidRPr="00567F50">
              <w:rPr>
                <w:rFonts w:ascii="仿宋" w:eastAsia="仿宋" w:hAnsi="仿宋" w:cs="Arial" w:hint="eastAsia"/>
                <w:b/>
                <w:color w:val="002854"/>
                <w:kern w:val="0"/>
                <w:sz w:val="20"/>
              </w:rPr>
              <w:t>交银强化回报C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1.032</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1.072</w:t>
            </w:r>
          </w:p>
        </w:tc>
        <w:tc>
          <w:tcPr>
            <w:tcW w:w="1028"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0.10%</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2.35%</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5.16%</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7.27%</w:t>
            </w:r>
          </w:p>
        </w:tc>
        <w:tc>
          <w:tcPr>
            <w:tcW w:w="1218"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8.02%</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F2F2F2" w:themeFill="background1" w:themeFillShade="F2"/>
            <w:noWrap/>
          </w:tcPr>
          <w:p w:rsidR="007C7F71" w:rsidRPr="00567F50" w:rsidRDefault="007C7F71" w:rsidP="007C7F71">
            <w:pPr>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交银新成长</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noWrap/>
          </w:tcPr>
          <w:p w:rsidR="007C7F71" w:rsidRPr="00FF0CBA" w:rsidRDefault="007C7F71" w:rsidP="007C7F71">
            <w:pPr>
              <w:jc w:val="center"/>
            </w:pPr>
            <w:r w:rsidRPr="00FF0CBA">
              <w:t>1.076</w:t>
            </w:r>
          </w:p>
        </w:tc>
        <w:tc>
          <w:tcPr>
            <w:tcW w:w="860"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1.076</w:t>
            </w:r>
          </w:p>
        </w:tc>
        <w:tc>
          <w:tcPr>
            <w:tcW w:w="1028"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1.89%</w:t>
            </w:r>
          </w:p>
        </w:tc>
        <w:tc>
          <w:tcPr>
            <w:tcW w:w="992"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3.56%</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7.28%</w:t>
            </w:r>
          </w:p>
        </w:tc>
        <w:tc>
          <w:tcPr>
            <w:tcW w:w="1029"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7.60%</w:t>
            </w:r>
          </w:p>
        </w:tc>
        <w:tc>
          <w:tcPr>
            <w:tcW w:w="1218"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12.27%</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C7F71" w:rsidRPr="00567F50" w:rsidRDefault="007C7F71" w:rsidP="007C7F71">
            <w:pPr>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交银周期回报</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7C7F71" w:rsidRPr="00FF0CBA" w:rsidRDefault="007C7F71" w:rsidP="007C7F71">
            <w:pPr>
              <w:jc w:val="center"/>
            </w:pPr>
            <w:r w:rsidRPr="00FF0CBA">
              <w:t>1.091</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1.171</w:t>
            </w:r>
          </w:p>
        </w:tc>
        <w:tc>
          <w:tcPr>
            <w:tcW w:w="1028"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1.49%</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11.34%</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16.66%</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17.13%</w:t>
            </w:r>
          </w:p>
        </w:tc>
        <w:tc>
          <w:tcPr>
            <w:tcW w:w="1218" w:type="dxa"/>
            <w:tcBorders>
              <w:top w:val="single" w:sz="4" w:space="0" w:color="AA9678"/>
              <w:left w:val="single" w:sz="4" w:space="0" w:color="AA9678"/>
              <w:bottom w:val="single" w:sz="4" w:space="0" w:color="AA9678"/>
              <w:right w:val="single" w:sz="4" w:space="0" w:color="948A54"/>
            </w:tcBorders>
            <w:shd w:val="clear" w:color="auto" w:fill="auto"/>
          </w:tcPr>
          <w:p w:rsidR="007C7F71" w:rsidRPr="00FF0CBA" w:rsidRDefault="007C7F71" w:rsidP="007C7F71">
            <w:pPr>
              <w:jc w:val="center"/>
            </w:pPr>
            <w:r w:rsidRPr="00FF0CBA">
              <w:t>30.31%</w:t>
            </w:r>
          </w:p>
        </w:tc>
      </w:tr>
      <w:tr w:rsidR="007C7F71" w:rsidRPr="00567F50" w:rsidTr="007C7F71">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F2F2F2" w:themeFill="background1" w:themeFillShade="F2"/>
            <w:noWrap/>
          </w:tcPr>
          <w:p w:rsidR="007C7F71" w:rsidRPr="00567F50" w:rsidRDefault="007C7F71" w:rsidP="007C7F71">
            <w:pPr>
              <w:jc w:val="center"/>
            </w:pPr>
            <w:r w:rsidRPr="00567F50">
              <w:rPr>
                <w:rFonts w:ascii="仿宋" w:eastAsia="仿宋" w:hAnsi="仿宋" w:cs="Arial" w:hint="eastAsia"/>
                <w:b/>
                <w:color w:val="002854"/>
                <w:kern w:val="0"/>
                <w:sz w:val="20"/>
              </w:rPr>
              <w:t>交银丰盈</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noWrap/>
          </w:tcPr>
          <w:p w:rsidR="007C7F71" w:rsidRPr="00FF0CBA" w:rsidRDefault="007C7F71" w:rsidP="007C7F71">
            <w:pPr>
              <w:jc w:val="center"/>
            </w:pPr>
            <w:r w:rsidRPr="00FF0CBA">
              <w:t>1.016</w:t>
            </w:r>
          </w:p>
        </w:tc>
        <w:tc>
          <w:tcPr>
            <w:tcW w:w="860"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1.016</w:t>
            </w:r>
          </w:p>
        </w:tc>
        <w:tc>
          <w:tcPr>
            <w:tcW w:w="1028"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0.10%</w:t>
            </w:r>
          </w:p>
        </w:tc>
        <w:tc>
          <w:tcPr>
            <w:tcW w:w="992"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0.49%</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w:t>
            </w:r>
          </w:p>
        </w:tc>
        <w:tc>
          <w:tcPr>
            <w:tcW w:w="1029"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FF0CBA" w:rsidRDefault="007C7F71" w:rsidP="007C7F71">
            <w:pPr>
              <w:jc w:val="center"/>
            </w:pPr>
            <w:r w:rsidRPr="00FF0CBA">
              <w:t>1.60%</w:t>
            </w:r>
          </w:p>
        </w:tc>
        <w:tc>
          <w:tcPr>
            <w:tcW w:w="1218"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Default="007C7F71" w:rsidP="007C7F71">
            <w:pPr>
              <w:jc w:val="center"/>
            </w:pPr>
            <w:r w:rsidRPr="00FF0CBA">
              <w:t>4.32%</w:t>
            </w:r>
          </w:p>
        </w:tc>
      </w:tr>
      <w:tr w:rsidR="007C7F71" w:rsidRPr="00567F50" w:rsidTr="003B2F8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7C7F71" w:rsidRPr="00567F50" w:rsidRDefault="007C7F71" w:rsidP="007C7F71">
            <w:pPr>
              <w:jc w:val="center"/>
              <w:rPr>
                <w:rFonts w:ascii="仿宋" w:eastAsia="仿宋" w:hAnsi="仿宋" w:cs="Arial"/>
                <w:b/>
                <w:color w:val="002854"/>
                <w:kern w:val="0"/>
                <w:sz w:val="20"/>
              </w:rPr>
            </w:pPr>
            <w:hyperlink r:id="rId11" w:tgtFrame="_blank" w:history="1">
              <w:r w:rsidRPr="00777819">
                <w:rPr>
                  <w:rFonts w:ascii="仿宋" w:eastAsia="仿宋" w:hAnsi="仿宋" w:cs="Arial" w:hint="eastAsia"/>
                  <w:b/>
                  <w:color w:val="002854"/>
                  <w:kern w:val="0"/>
                  <w:sz w:val="20"/>
                </w:rPr>
                <w:t>交银丰润A</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7C7F71" w:rsidRPr="00794618" w:rsidRDefault="007C7F71" w:rsidP="007C7F71">
            <w:pPr>
              <w:jc w:val="center"/>
            </w:pPr>
            <w:r w:rsidRPr="00794618">
              <w:t>0.985</w:t>
            </w:r>
          </w:p>
        </w:tc>
        <w:tc>
          <w:tcPr>
            <w:tcW w:w="860" w:type="dxa"/>
            <w:tcBorders>
              <w:top w:val="single" w:sz="4" w:space="0" w:color="AA9678"/>
              <w:left w:val="single" w:sz="4" w:space="0" w:color="AA9678"/>
              <w:bottom w:val="single" w:sz="4" w:space="0" w:color="AA9678"/>
              <w:right w:val="single" w:sz="4" w:space="0" w:color="948A54"/>
            </w:tcBorders>
            <w:shd w:val="clear" w:color="auto" w:fill="auto"/>
          </w:tcPr>
          <w:p w:rsidR="007C7F71" w:rsidRPr="00794618" w:rsidRDefault="007C7F71" w:rsidP="007C7F71">
            <w:pPr>
              <w:jc w:val="center"/>
            </w:pPr>
            <w:r w:rsidRPr="00794618">
              <w:t>0.985</w:t>
            </w:r>
          </w:p>
        </w:tc>
        <w:tc>
          <w:tcPr>
            <w:tcW w:w="1028"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794618" w:rsidRDefault="007C7F71" w:rsidP="007C7F71">
            <w:pPr>
              <w:jc w:val="center"/>
            </w:pPr>
            <w:r w:rsidRPr="00794618">
              <w:t>--</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7C7F71" w:rsidRPr="00794618" w:rsidRDefault="007C7F71" w:rsidP="007C7F71">
            <w:pPr>
              <w:jc w:val="center"/>
            </w:pPr>
            <w:r w:rsidRPr="00794618">
              <w:t>--</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794618" w:rsidRDefault="007C7F71" w:rsidP="007C7F71">
            <w:pPr>
              <w:jc w:val="center"/>
            </w:pPr>
            <w:r w:rsidRPr="00794618">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7C7F71" w:rsidRPr="00794618" w:rsidRDefault="007C7F71" w:rsidP="007C7F71">
            <w:pPr>
              <w:jc w:val="center"/>
            </w:pPr>
            <w:r w:rsidRPr="00794618">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7C7F71" w:rsidRPr="00794618" w:rsidRDefault="007C7F71" w:rsidP="007C7F71">
            <w:pPr>
              <w:jc w:val="center"/>
            </w:pPr>
            <w:r w:rsidRPr="00794618">
              <w:t>--</w:t>
            </w:r>
          </w:p>
        </w:tc>
        <w:tc>
          <w:tcPr>
            <w:tcW w:w="1218" w:type="dxa"/>
            <w:tcBorders>
              <w:top w:val="single" w:sz="4" w:space="0" w:color="AA9678"/>
              <w:left w:val="single" w:sz="4" w:space="0" w:color="AA9678"/>
              <w:bottom w:val="single" w:sz="4" w:space="0" w:color="AA9678"/>
              <w:right w:val="single" w:sz="4" w:space="0" w:color="948A54"/>
            </w:tcBorders>
            <w:shd w:val="clear" w:color="auto" w:fill="auto"/>
          </w:tcPr>
          <w:p w:rsidR="007C7F71" w:rsidRDefault="007C7F71" w:rsidP="007C7F71">
            <w:pPr>
              <w:jc w:val="center"/>
            </w:pPr>
            <w:r w:rsidRPr="00794618">
              <w:t>--</w:t>
            </w:r>
          </w:p>
        </w:tc>
      </w:tr>
      <w:tr w:rsidR="007C7F71" w:rsidRPr="00567F50" w:rsidTr="00B8647D">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F2F2F2" w:themeFill="background1" w:themeFillShade="F2"/>
            <w:noWrap/>
          </w:tcPr>
          <w:p w:rsidR="007C7F71" w:rsidRPr="00567F50" w:rsidRDefault="007C7F71" w:rsidP="007C7F71">
            <w:pPr>
              <w:jc w:val="center"/>
              <w:rPr>
                <w:rFonts w:ascii="仿宋" w:eastAsia="仿宋" w:hAnsi="仿宋" w:cs="Arial"/>
                <w:b/>
                <w:color w:val="002854"/>
                <w:kern w:val="0"/>
                <w:sz w:val="20"/>
              </w:rPr>
            </w:pPr>
            <w:r w:rsidRPr="00777819">
              <w:rPr>
                <w:rFonts w:ascii="仿宋" w:eastAsia="仿宋" w:hAnsi="仿宋" w:cs="Arial" w:hint="eastAsia"/>
                <w:b/>
                <w:color w:val="002854"/>
                <w:kern w:val="0"/>
                <w:sz w:val="20"/>
              </w:rPr>
              <w:t>交银丰润</w:t>
            </w:r>
            <w:r>
              <w:rPr>
                <w:rFonts w:ascii="仿宋" w:eastAsia="仿宋" w:hAnsi="仿宋" w:cs="Arial" w:hint="eastAsia"/>
                <w:b/>
                <w:color w:val="002854"/>
                <w:kern w:val="0"/>
                <w:sz w:val="20"/>
              </w:rPr>
              <w:t>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noWrap/>
          </w:tcPr>
          <w:p w:rsidR="007C7F71" w:rsidRPr="004E1B6D" w:rsidRDefault="007C7F71" w:rsidP="007C7F71">
            <w:pPr>
              <w:jc w:val="center"/>
            </w:pPr>
            <w:r w:rsidRPr="004E1B6D">
              <w:t>0.985</w:t>
            </w:r>
          </w:p>
        </w:tc>
        <w:tc>
          <w:tcPr>
            <w:tcW w:w="860"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4E1B6D" w:rsidRDefault="007C7F71" w:rsidP="007C7F71">
            <w:pPr>
              <w:jc w:val="center"/>
            </w:pPr>
            <w:r w:rsidRPr="004E1B6D">
              <w:t>0.985</w:t>
            </w:r>
          </w:p>
        </w:tc>
        <w:tc>
          <w:tcPr>
            <w:tcW w:w="1028"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4E1B6D" w:rsidRDefault="007C7F71" w:rsidP="007C7F71">
            <w:pPr>
              <w:jc w:val="center"/>
            </w:pPr>
            <w:r w:rsidRPr="004E1B6D">
              <w:t>--</w:t>
            </w:r>
          </w:p>
        </w:tc>
        <w:tc>
          <w:tcPr>
            <w:tcW w:w="992"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4E1B6D" w:rsidRDefault="007C7F71" w:rsidP="007C7F71">
            <w:pPr>
              <w:jc w:val="center"/>
            </w:pPr>
            <w:r w:rsidRPr="004E1B6D">
              <w:t>--</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4E1B6D" w:rsidRDefault="007C7F71" w:rsidP="007C7F71">
            <w:pPr>
              <w:jc w:val="center"/>
            </w:pPr>
            <w:r w:rsidRPr="004E1B6D">
              <w:t>--</w:t>
            </w:r>
          </w:p>
        </w:tc>
        <w:tc>
          <w:tcPr>
            <w:tcW w:w="1029"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4E1B6D" w:rsidRDefault="007C7F71" w:rsidP="007C7F71">
            <w:pPr>
              <w:jc w:val="center"/>
            </w:pPr>
            <w:r w:rsidRPr="004E1B6D">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Pr="004E1B6D" w:rsidRDefault="007C7F71" w:rsidP="007C7F71">
            <w:pPr>
              <w:jc w:val="center"/>
            </w:pPr>
            <w:r w:rsidRPr="004E1B6D">
              <w:t>--</w:t>
            </w:r>
          </w:p>
        </w:tc>
        <w:tc>
          <w:tcPr>
            <w:tcW w:w="1218"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tcPr>
          <w:p w:rsidR="007C7F71" w:rsidRDefault="007C7F71" w:rsidP="007C7F71">
            <w:pPr>
              <w:jc w:val="center"/>
            </w:pPr>
            <w:r w:rsidRPr="004E1B6D">
              <w:t>--</w:t>
            </w:r>
          </w:p>
        </w:tc>
      </w:tr>
      <w:tr w:rsidR="005E6CAD" w:rsidRPr="00567F50" w:rsidTr="007C7F71">
        <w:trPr>
          <w:trHeight w:val="255"/>
          <w:jc w:val="center"/>
        </w:trPr>
        <w:tc>
          <w:tcPr>
            <w:tcW w:w="2161" w:type="dxa"/>
            <w:gridSpan w:val="2"/>
            <w:tcBorders>
              <w:top w:val="single" w:sz="4" w:space="0" w:color="AA9678"/>
            </w:tcBorders>
            <w:shd w:val="clear" w:color="auto" w:fill="auto"/>
            <w:noWrap/>
          </w:tcPr>
          <w:p w:rsidR="005E6CAD" w:rsidRPr="00567F50" w:rsidRDefault="005E6CAD" w:rsidP="005E6CAD">
            <w:pPr>
              <w:widowControl/>
              <w:rPr>
                <w:rFonts w:ascii="仿宋" w:eastAsia="仿宋" w:hAnsi="仿宋" w:cs="Arial"/>
                <w:b/>
                <w:color w:val="002854"/>
                <w:kern w:val="0"/>
                <w:sz w:val="20"/>
              </w:rPr>
            </w:pPr>
          </w:p>
        </w:tc>
        <w:tc>
          <w:tcPr>
            <w:tcW w:w="7899" w:type="dxa"/>
            <w:gridSpan w:val="12"/>
            <w:tcBorders>
              <w:top w:val="single" w:sz="4" w:space="0" w:color="AA9678"/>
            </w:tcBorders>
            <w:shd w:val="clear" w:color="auto" w:fill="auto"/>
            <w:noWrap/>
          </w:tcPr>
          <w:p w:rsidR="00967A1A" w:rsidRPr="00567F50" w:rsidRDefault="00967A1A" w:rsidP="00B12C2F">
            <w:pPr>
              <w:jc w:val="center"/>
              <w:rPr>
                <w:rFonts w:ascii="仿宋" w:eastAsia="仿宋" w:hAnsi="仿宋" w:cs="Arial"/>
                <w:b/>
                <w:color w:val="002854"/>
                <w:kern w:val="0"/>
                <w:sz w:val="20"/>
              </w:rPr>
            </w:pPr>
          </w:p>
        </w:tc>
      </w:tr>
      <w:tr w:rsidR="005E6CAD" w:rsidRPr="00567F50" w:rsidTr="007C7F71">
        <w:tblPrEx>
          <w:jc w:val="left"/>
        </w:tblPrEx>
        <w:trPr>
          <w:gridBefore w:val="1"/>
          <w:gridAfter w:val="2"/>
          <w:wBefore w:w="1282" w:type="dxa"/>
          <w:wAfter w:w="1776" w:type="dxa"/>
          <w:trHeight w:val="255"/>
        </w:trPr>
        <w:tc>
          <w:tcPr>
            <w:tcW w:w="1316" w:type="dxa"/>
            <w:gridSpan w:val="2"/>
            <w:tcBorders>
              <w:top w:val="single" w:sz="12" w:space="0" w:color="AA9678"/>
              <w:left w:val="single" w:sz="4" w:space="0" w:color="FFFFFF"/>
              <w:bottom w:val="single" w:sz="4" w:space="0" w:color="auto"/>
              <w:right w:val="single" w:sz="2" w:space="0" w:color="001E3E"/>
            </w:tcBorders>
            <w:shd w:val="clear" w:color="auto" w:fill="002E60"/>
            <w:noWrap/>
            <w:vAlign w:val="center"/>
            <w:hideMark/>
          </w:tcPr>
          <w:p w:rsidR="005E6CAD" w:rsidRPr="00567F50" w:rsidRDefault="005E6CAD" w:rsidP="00274C7A">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基金名称</w:t>
            </w:r>
          </w:p>
        </w:tc>
        <w:tc>
          <w:tcPr>
            <w:tcW w:w="1522" w:type="dxa"/>
            <w:gridSpan w:val="3"/>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5E6CAD" w:rsidRPr="00567F50" w:rsidRDefault="005E6CAD" w:rsidP="00274C7A">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万份收益(元)</w:t>
            </w:r>
          </w:p>
        </w:tc>
        <w:tc>
          <w:tcPr>
            <w:tcW w:w="1736" w:type="dxa"/>
            <w:gridSpan w:val="3"/>
            <w:tcBorders>
              <w:top w:val="single" w:sz="12" w:space="0" w:color="AA9678"/>
              <w:left w:val="single" w:sz="2" w:space="0" w:color="001E3E"/>
              <w:bottom w:val="single" w:sz="2" w:space="0" w:color="001E3E"/>
              <w:right w:val="single" w:sz="4" w:space="0" w:color="FFFFFF"/>
            </w:tcBorders>
            <w:shd w:val="clear" w:color="auto" w:fill="002E60"/>
            <w:noWrap/>
            <w:vAlign w:val="center"/>
            <w:hideMark/>
          </w:tcPr>
          <w:p w:rsidR="005E6CAD" w:rsidRPr="00567F50" w:rsidRDefault="005E6CAD" w:rsidP="00274C7A">
            <w:pPr>
              <w:jc w:val="center"/>
              <w:rPr>
                <w:rFonts w:ascii="仿宋" w:eastAsia="仿宋" w:hAnsi="仿宋" w:cs="Arial"/>
                <w:b/>
                <w:bCs/>
                <w:color w:val="FFFFFF"/>
                <w:kern w:val="0"/>
                <w:sz w:val="18"/>
                <w:szCs w:val="18"/>
              </w:rPr>
            </w:pPr>
            <w:proofErr w:type="gramStart"/>
            <w:r w:rsidRPr="00567F50">
              <w:rPr>
                <w:rFonts w:ascii="仿宋" w:eastAsia="仿宋" w:hAnsi="仿宋" w:cs="Arial" w:hint="eastAsia"/>
                <w:b/>
                <w:bCs/>
                <w:color w:val="FFFFFF"/>
                <w:kern w:val="0"/>
                <w:sz w:val="18"/>
                <w:szCs w:val="18"/>
              </w:rPr>
              <w:t>七日年化收益率</w:t>
            </w:r>
            <w:proofErr w:type="gramEnd"/>
          </w:p>
        </w:tc>
        <w:tc>
          <w:tcPr>
            <w:tcW w:w="2428" w:type="dxa"/>
            <w:gridSpan w:val="3"/>
            <w:tcBorders>
              <w:top w:val="single" w:sz="12" w:space="0" w:color="AA9678"/>
              <w:left w:val="single" w:sz="2" w:space="0" w:color="001E3E"/>
              <w:bottom w:val="single" w:sz="2" w:space="0" w:color="001E3E"/>
              <w:right w:val="single" w:sz="4" w:space="0" w:color="FFFFFF"/>
            </w:tcBorders>
            <w:shd w:val="clear" w:color="auto" w:fill="002E60"/>
          </w:tcPr>
          <w:p w:rsidR="005E6CAD" w:rsidRPr="00567F50" w:rsidRDefault="005E6CAD" w:rsidP="00274C7A">
            <w:pPr>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最新运作</w:t>
            </w:r>
            <w:proofErr w:type="gramStart"/>
            <w:r w:rsidRPr="00567F50">
              <w:rPr>
                <w:rFonts w:ascii="仿宋" w:eastAsia="仿宋" w:hAnsi="仿宋" w:cs="Arial" w:hint="eastAsia"/>
                <w:b/>
                <w:bCs/>
                <w:color w:val="FFFFFF"/>
                <w:kern w:val="0"/>
                <w:sz w:val="18"/>
                <w:szCs w:val="18"/>
              </w:rPr>
              <w:t>期年化</w:t>
            </w:r>
            <w:proofErr w:type="gramEnd"/>
            <w:r w:rsidRPr="00567F50">
              <w:rPr>
                <w:rFonts w:ascii="仿宋" w:eastAsia="仿宋" w:hAnsi="仿宋" w:cs="Arial" w:hint="eastAsia"/>
                <w:b/>
                <w:bCs/>
                <w:color w:val="FFFFFF"/>
                <w:kern w:val="0"/>
                <w:sz w:val="18"/>
                <w:szCs w:val="18"/>
              </w:rPr>
              <w:t>收益率</w:t>
            </w:r>
          </w:p>
        </w:tc>
      </w:tr>
      <w:tr w:rsidR="007C7F71" w:rsidRPr="00567F50" w:rsidTr="007C7F71">
        <w:tblPrEx>
          <w:jc w:val="left"/>
        </w:tblPrEx>
        <w:trPr>
          <w:gridBefore w:val="1"/>
          <w:gridAfter w:val="2"/>
          <w:wBefore w:w="1282" w:type="dxa"/>
          <w:wAfter w:w="1776" w:type="dxa"/>
          <w:trHeight w:val="255"/>
        </w:trPr>
        <w:tc>
          <w:tcPr>
            <w:tcW w:w="1316" w:type="dxa"/>
            <w:gridSpan w:val="2"/>
            <w:tcBorders>
              <w:top w:val="single" w:sz="12" w:space="0" w:color="AA9678"/>
              <w:left w:val="single" w:sz="4" w:space="0" w:color="FFFFFF"/>
              <w:bottom w:val="single" w:sz="4" w:space="0" w:color="auto"/>
              <w:right w:val="single" w:sz="2" w:space="0" w:color="001E3E"/>
            </w:tcBorders>
            <w:shd w:val="clear" w:color="auto" w:fill="F2F2F2" w:themeFill="background1" w:themeFillShade="F2"/>
            <w:noWrap/>
            <w:vAlign w:val="center"/>
            <w:hideMark/>
          </w:tcPr>
          <w:p w:rsidR="007C7F71" w:rsidRPr="00567F50" w:rsidRDefault="007C7F71" w:rsidP="007C7F71">
            <w:pPr>
              <w:widowControl/>
              <w:jc w:val="center"/>
            </w:pPr>
            <w:r w:rsidRPr="00567F50">
              <w:rPr>
                <w:rFonts w:ascii="仿宋" w:eastAsia="仿宋" w:hAnsi="仿宋" w:cs="Arial" w:hint="eastAsia"/>
                <w:b/>
                <w:color w:val="002854"/>
                <w:kern w:val="0"/>
                <w:sz w:val="20"/>
                <w:szCs w:val="18"/>
              </w:rPr>
              <w:t>交银现金宝</w:t>
            </w:r>
          </w:p>
        </w:tc>
        <w:tc>
          <w:tcPr>
            <w:tcW w:w="1522" w:type="dxa"/>
            <w:gridSpan w:val="3"/>
            <w:tcBorders>
              <w:top w:val="single" w:sz="12" w:space="0" w:color="AA9678"/>
              <w:left w:val="single" w:sz="2" w:space="0" w:color="001E3E"/>
              <w:bottom w:val="single" w:sz="4" w:space="0" w:color="auto"/>
              <w:right w:val="single" w:sz="2" w:space="0" w:color="001E3E"/>
            </w:tcBorders>
            <w:shd w:val="clear" w:color="auto" w:fill="F2F2F2" w:themeFill="background1" w:themeFillShade="F2"/>
            <w:noWrap/>
            <w:vAlign w:val="center"/>
            <w:hideMark/>
          </w:tcPr>
          <w:p w:rsidR="007C7F71" w:rsidRPr="007C7F71" w:rsidRDefault="007C7F71" w:rsidP="007C7F71">
            <w:pPr>
              <w:jc w:val="center"/>
            </w:pPr>
            <w:r w:rsidRPr="007C7F71">
              <w:rPr>
                <w:rFonts w:hint="eastAsia"/>
              </w:rPr>
              <w:t xml:space="preserve">1.1658 </w:t>
            </w:r>
          </w:p>
        </w:tc>
        <w:tc>
          <w:tcPr>
            <w:tcW w:w="1736" w:type="dxa"/>
            <w:gridSpan w:val="3"/>
            <w:tcBorders>
              <w:top w:val="single" w:sz="12" w:space="0" w:color="AA9678"/>
              <w:left w:val="single" w:sz="2" w:space="0" w:color="001E3E"/>
              <w:bottom w:val="single" w:sz="2" w:space="0" w:color="001E3E"/>
              <w:right w:val="single" w:sz="4" w:space="0" w:color="FFFFFF"/>
            </w:tcBorders>
            <w:shd w:val="clear" w:color="auto" w:fill="F2F2F2" w:themeFill="background1" w:themeFillShade="F2"/>
            <w:noWrap/>
            <w:vAlign w:val="center"/>
            <w:hideMark/>
          </w:tcPr>
          <w:p w:rsidR="007C7F71" w:rsidRPr="007C7F71" w:rsidRDefault="007C7F71" w:rsidP="007C7F71">
            <w:pPr>
              <w:jc w:val="center"/>
              <w:rPr>
                <w:rFonts w:hint="eastAsia"/>
              </w:rPr>
            </w:pPr>
            <w:r w:rsidRPr="007C7F71">
              <w:rPr>
                <w:rFonts w:hint="eastAsia"/>
              </w:rPr>
              <w:t>2.899 %</w:t>
            </w:r>
          </w:p>
        </w:tc>
        <w:tc>
          <w:tcPr>
            <w:tcW w:w="2428" w:type="dxa"/>
            <w:gridSpan w:val="3"/>
            <w:tcBorders>
              <w:top w:val="single" w:sz="12" w:space="0" w:color="AA9678"/>
              <w:left w:val="single" w:sz="2" w:space="0" w:color="001E3E"/>
              <w:bottom w:val="single" w:sz="2" w:space="0" w:color="001E3E"/>
              <w:right w:val="single" w:sz="4" w:space="0" w:color="FFFFFF"/>
            </w:tcBorders>
            <w:shd w:val="clear" w:color="auto" w:fill="F2F2F2" w:themeFill="background1" w:themeFillShade="F2"/>
            <w:vAlign w:val="center"/>
          </w:tcPr>
          <w:p w:rsidR="007C7F71" w:rsidRPr="009476C8" w:rsidRDefault="007C7F71" w:rsidP="007C7F71">
            <w:pPr>
              <w:jc w:val="center"/>
            </w:pPr>
            <w:r w:rsidRPr="002D0CC4">
              <w:rPr>
                <w:rFonts w:hint="eastAsia"/>
              </w:rPr>
              <w:t>--</w:t>
            </w:r>
          </w:p>
        </w:tc>
      </w:tr>
      <w:tr w:rsidR="007C7F71" w:rsidRPr="00567F50" w:rsidTr="007C7F71">
        <w:tblPrEx>
          <w:jc w:val="left"/>
        </w:tblPrEx>
        <w:trPr>
          <w:gridBefore w:val="1"/>
          <w:gridAfter w:val="2"/>
          <w:wBefore w:w="1282" w:type="dxa"/>
          <w:wAfter w:w="1776" w:type="dxa"/>
          <w:trHeight w:val="255"/>
        </w:trPr>
        <w:tc>
          <w:tcPr>
            <w:tcW w:w="1316" w:type="dxa"/>
            <w:gridSpan w:val="2"/>
            <w:tcBorders>
              <w:top w:val="single" w:sz="2" w:space="0" w:color="001E3E"/>
              <w:left w:val="single" w:sz="4" w:space="0" w:color="FFFFFF"/>
              <w:bottom w:val="single" w:sz="4" w:space="0" w:color="AA9678"/>
              <w:right w:val="single" w:sz="4" w:space="0" w:color="AA9678"/>
            </w:tcBorders>
            <w:shd w:val="clear" w:color="auto" w:fill="auto"/>
            <w:noWrap/>
            <w:vAlign w:val="center"/>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银货币</w:t>
            </w:r>
            <w:proofErr w:type="gramEnd"/>
            <w:r w:rsidRPr="00567F50">
              <w:rPr>
                <w:rFonts w:ascii="仿宋" w:eastAsia="仿宋" w:hAnsi="仿宋" w:cs="Arial" w:hint="eastAsia"/>
                <w:b/>
                <w:color w:val="002854"/>
                <w:kern w:val="0"/>
                <w:sz w:val="20"/>
                <w:szCs w:val="18"/>
              </w:rPr>
              <w:t>A</w:t>
            </w:r>
          </w:p>
        </w:tc>
        <w:tc>
          <w:tcPr>
            <w:tcW w:w="1522" w:type="dxa"/>
            <w:gridSpan w:val="3"/>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7C7F71" w:rsidRPr="007C7F71" w:rsidRDefault="007C7F71" w:rsidP="007C7F71">
            <w:pPr>
              <w:jc w:val="center"/>
            </w:pPr>
            <w:r w:rsidRPr="007C7F71">
              <w:rPr>
                <w:rFonts w:hint="eastAsia"/>
              </w:rPr>
              <w:t xml:space="preserve">0.9194 </w:t>
            </w:r>
          </w:p>
        </w:tc>
        <w:tc>
          <w:tcPr>
            <w:tcW w:w="1736" w:type="dxa"/>
            <w:gridSpan w:val="3"/>
            <w:tcBorders>
              <w:top w:val="single" w:sz="2" w:space="0" w:color="001E3E"/>
              <w:left w:val="single" w:sz="4" w:space="0" w:color="AA9678"/>
              <w:bottom w:val="single" w:sz="4" w:space="0" w:color="AA9678"/>
            </w:tcBorders>
            <w:shd w:val="clear" w:color="auto" w:fill="auto"/>
            <w:noWrap/>
            <w:vAlign w:val="center"/>
            <w:hideMark/>
          </w:tcPr>
          <w:p w:rsidR="007C7F71" w:rsidRPr="007C7F71" w:rsidRDefault="007C7F71" w:rsidP="007C7F71">
            <w:pPr>
              <w:jc w:val="center"/>
              <w:rPr>
                <w:rFonts w:hint="eastAsia"/>
              </w:rPr>
            </w:pPr>
            <w:r w:rsidRPr="007C7F71">
              <w:rPr>
                <w:rFonts w:hint="eastAsia"/>
              </w:rPr>
              <w:t>3.070 %</w:t>
            </w:r>
          </w:p>
        </w:tc>
        <w:tc>
          <w:tcPr>
            <w:tcW w:w="2428" w:type="dxa"/>
            <w:gridSpan w:val="3"/>
            <w:tcBorders>
              <w:top w:val="single" w:sz="2" w:space="0" w:color="001E3E"/>
              <w:left w:val="single" w:sz="4" w:space="0" w:color="AA9678"/>
              <w:bottom w:val="single" w:sz="4" w:space="0" w:color="AA9678"/>
            </w:tcBorders>
            <w:vAlign w:val="center"/>
          </w:tcPr>
          <w:p w:rsidR="007C7F71" w:rsidRPr="009476C8" w:rsidRDefault="007C7F71" w:rsidP="007C7F71">
            <w:pPr>
              <w:jc w:val="center"/>
            </w:pPr>
            <w:r w:rsidRPr="002D0CC4">
              <w:rPr>
                <w:rFonts w:hint="eastAsia"/>
              </w:rPr>
              <w:t>--</w:t>
            </w:r>
          </w:p>
        </w:tc>
      </w:tr>
      <w:tr w:rsidR="007C7F71" w:rsidRPr="00567F50" w:rsidTr="007C7F71">
        <w:tblPrEx>
          <w:jc w:val="left"/>
        </w:tblPrEx>
        <w:trPr>
          <w:gridBefore w:val="1"/>
          <w:gridAfter w:val="2"/>
          <w:wBefore w:w="1282" w:type="dxa"/>
          <w:wAfter w:w="1776" w:type="dxa"/>
          <w:trHeight w:val="337"/>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银货币</w:t>
            </w:r>
            <w:proofErr w:type="gramEnd"/>
            <w:r w:rsidRPr="00567F50">
              <w:rPr>
                <w:rFonts w:ascii="仿宋" w:eastAsia="仿宋" w:hAnsi="仿宋" w:cs="Arial" w:hint="eastAsia"/>
                <w:b/>
                <w:color w:val="002854"/>
                <w:kern w:val="0"/>
                <w:sz w:val="20"/>
                <w:szCs w:val="18"/>
              </w:rPr>
              <w:t>B</w:t>
            </w:r>
          </w:p>
        </w:tc>
        <w:tc>
          <w:tcPr>
            <w:tcW w:w="1522"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7C7F71" w:rsidRPr="007C7F71" w:rsidRDefault="007C7F71" w:rsidP="007C7F71">
            <w:pPr>
              <w:jc w:val="center"/>
            </w:pPr>
            <w:r w:rsidRPr="007C7F71">
              <w:rPr>
                <w:rFonts w:hint="eastAsia"/>
              </w:rPr>
              <w:t xml:space="preserve">0.9860 </w:t>
            </w:r>
          </w:p>
        </w:tc>
        <w:tc>
          <w:tcPr>
            <w:tcW w:w="1736" w:type="dxa"/>
            <w:gridSpan w:val="3"/>
            <w:tcBorders>
              <w:top w:val="single" w:sz="4" w:space="0" w:color="AA9678"/>
              <w:left w:val="single" w:sz="4" w:space="0" w:color="AA9678"/>
              <w:bottom w:val="single" w:sz="4" w:space="0" w:color="AA9678"/>
            </w:tcBorders>
            <w:shd w:val="pct5" w:color="auto" w:fill="auto"/>
            <w:noWrap/>
            <w:vAlign w:val="center"/>
          </w:tcPr>
          <w:p w:rsidR="007C7F71" w:rsidRPr="007C7F71" w:rsidRDefault="007C7F71" w:rsidP="007C7F71">
            <w:pPr>
              <w:jc w:val="center"/>
              <w:rPr>
                <w:rFonts w:hint="eastAsia"/>
              </w:rPr>
            </w:pPr>
            <w:r w:rsidRPr="007C7F71">
              <w:rPr>
                <w:rFonts w:hint="eastAsia"/>
              </w:rPr>
              <w:t>3.314 %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7C7F71" w:rsidRPr="009476C8" w:rsidRDefault="007C7F71" w:rsidP="007C7F71">
            <w:pPr>
              <w:jc w:val="center"/>
            </w:pPr>
            <w:r w:rsidRPr="002D0CC4">
              <w:rPr>
                <w:rFonts w:hint="eastAsia"/>
              </w:rPr>
              <w:t>--</w:t>
            </w:r>
          </w:p>
        </w:tc>
      </w:tr>
      <w:tr w:rsidR="007C7F71" w:rsidRPr="00567F50" w:rsidTr="007C7F71">
        <w:tblPrEx>
          <w:jc w:val="left"/>
        </w:tblPrEx>
        <w:trPr>
          <w:gridBefore w:val="1"/>
          <w:gridAfter w:val="2"/>
          <w:wBefore w:w="1282" w:type="dxa"/>
          <w:wAfter w:w="1776"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交银21天A</w:t>
            </w:r>
          </w:p>
        </w:tc>
        <w:tc>
          <w:tcPr>
            <w:tcW w:w="1522"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tcPr>
          <w:p w:rsidR="007C7F71" w:rsidRPr="007C7F71" w:rsidRDefault="007C7F71" w:rsidP="007C7F71">
            <w:pPr>
              <w:jc w:val="center"/>
            </w:pPr>
            <w:r w:rsidRPr="007C7F71">
              <w:rPr>
                <w:rFonts w:hint="eastAsia"/>
              </w:rPr>
              <w:t xml:space="preserve">0.8664 </w:t>
            </w:r>
          </w:p>
        </w:tc>
        <w:tc>
          <w:tcPr>
            <w:tcW w:w="1736" w:type="dxa"/>
            <w:gridSpan w:val="3"/>
            <w:tcBorders>
              <w:top w:val="single" w:sz="4" w:space="0" w:color="AA9678"/>
              <w:left w:val="single" w:sz="4" w:space="0" w:color="AA9678"/>
              <w:bottom w:val="single" w:sz="4" w:space="0" w:color="AA9678"/>
            </w:tcBorders>
            <w:shd w:val="clear" w:color="auto" w:fill="auto"/>
            <w:noWrap/>
            <w:vAlign w:val="center"/>
          </w:tcPr>
          <w:p w:rsidR="007C7F71" w:rsidRPr="007C7F71" w:rsidRDefault="007C7F71" w:rsidP="007C7F71">
            <w:pPr>
              <w:jc w:val="center"/>
              <w:rPr>
                <w:rFonts w:hint="eastAsia"/>
              </w:rPr>
            </w:pPr>
            <w:r w:rsidRPr="007C7F71">
              <w:rPr>
                <w:rFonts w:hint="eastAsia"/>
              </w:rPr>
              <w:t xml:space="preserve">2.964 % </w:t>
            </w:r>
          </w:p>
        </w:tc>
        <w:tc>
          <w:tcPr>
            <w:tcW w:w="2428" w:type="dxa"/>
            <w:gridSpan w:val="3"/>
            <w:tcBorders>
              <w:top w:val="single" w:sz="4" w:space="0" w:color="AA9678"/>
              <w:left w:val="single" w:sz="4" w:space="0" w:color="AA9678"/>
              <w:bottom w:val="single" w:sz="4" w:space="0" w:color="AA9678"/>
            </w:tcBorders>
            <w:vAlign w:val="center"/>
          </w:tcPr>
          <w:p w:rsidR="007C7F71" w:rsidRPr="007C7F71" w:rsidRDefault="007C7F71" w:rsidP="007C7F71">
            <w:pPr>
              <w:jc w:val="center"/>
              <w:rPr>
                <w:rFonts w:hint="eastAsia"/>
              </w:rPr>
            </w:pPr>
            <w:r w:rsidRPr="007C7F71">
              <w:rPr>
                <w:rFonts w:hint="eastAsia"/>
              </w:rPr>
              <w:t xml:space="preserve">3.138% </w:t>
            </w:r>
          </w:p>
        </w:tc>
      </w:tr>
      <w:tr w:rsidR="007C7F71" w:rsidRPr="00567F50" w:rsidTr="007C7F71">
        <w:tblPrEx>
          <w:jc w:val="left"/>
        </w:tblPrEx>
        <w:trPr>
          <w:gridBefore w:val="1"/>
          <w:gridAfter w:val="2"/>
          <w:wBefore w:w="1282" w:type="dxa"/>
          <w:wAfter w:w="1776"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交银21天B</w:t>
            </w:r>
          </w:p>
        </w:tc>
        <w:tc>
          <w:tcPr>
            <w:tcW w:w="1522"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7C7F71" w:rsidRPr="007C7F71" w:rsidRDefault="007C7F71" w:rsidP="007C7F71">
            <w:pPr>
              <w:jc w:val="center"/>
            </w:pPr>
            <w:r w:rsidRPr="007C7F71">
              <w:rPr>
                <w:rFonts w:hint="eastAsia"/>
              </w:rPr>
              <w:t xml:space="preserve">0.9448 </w:t>
            </w:r>
          </w:p>
        </w:tc>
        <w:tc>
          <w:tcPr>
            <w:tcW w:w="1736" w:type="dxa"/>
            <w:gridSpan w:val="3"/>
            <w:tcBorders>
              <w:top w:val="single" w:sz="4" w:space="0" w:color="AA9678"/>
              <w:left w:val="single" w:sz="4" w:space="0" w:color="AA9678"/>
              <w:bottom w:val="single" w:sz="4" w:space="0" w:color="AA9678"/>
            </w:tcBorders>
            <w:shd w:val="pct5" w:color="auto" w:fill="auto"/>
            <w:noWrap/>
            <w:vAlign w:val="center"/>
          </w:tcPr>
          <w:p w:rsidR="007C7F71" w:rsidRPr="007C7F71" w:rsidRDefault="007C7F71" w:rsidP="007C7F71">
            <w:pPr>
              <w:jc w:val="center"/>
              <w:rPr>
                <w:rFonts w:hint="eastAsia"/>
              </w:rPr>
            </w:pPr>
            <w:r w:rsidRPr="007C7F71">
              <w:rPr>
                <w:rFonts w:hint="eastAsia"/>
              </w:rPr>
              <w:t xml:space="preserve">3.259 %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7C7F71" w:rsidRPr="007C7F71" w:rsidRDefault="007C7F71" w:rsidP="007C7F71">
            <w:pPr>
              <w:jc w:val="center"/>
              <w:rPr>
                <w:rFonts w:hint="eastAsia"/>
              </w:rPr>
            </w:pPr>
            <w:r w:rsidRPr="007C7F71">
              <w:rPr>
                <w:rFonts w:hint="eastAsia"/>
              </w:rPr>
              <w:t xml:space="preserve">3.501% </w:t>
            </w:r>
          </w:p>
        </w:tc>
      </w:tr>
      <w:tr w:rsidR="007C7F71" w:rsidRPr="00567F50" w:rsidTr="007C7F71">
        <w:tblPrEx>
          <w:jc w:val="left"/>
        </w:tblPrEx>
        <w:trPr>
          <w:gridBefore w:val="1"/>
          <w:gridAfter w:val="2"/>
          <w:wBefore w:w="1282" w:type="dxa"/>
          <w:wAfter w:w="1776"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交银60天A</w:t>
            </w:r>
          </w:p>
        </w:tc>
        <w:tc>
          <w:tcPr>
            <w:tcW w:w="1522"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tcPr>
          <w:p w:rsidR="007C7F71" w:rsidRPr="007C7F71" w:rsidRDefault="007C7F71" w:rsidP="007C7F71">
            <w:pPr>
              <w:jc w:val="center"/>
            </w:pPr>
            <w:r w:rsidRPr="007C7F71">
              <w:rPr>
                <w:rFonts w:hint="eastAsia"/>
              </w:rPr>
              <w:t xml:space="preserve">2.2270 </w:t>
            </w:r>
          </w:p>
        </w:tc>
        <w:tc>
          <w:tcPr>
            <w:tcW w:w="1736" w:type="dxa"/>
            <w:gridSpan w:val="3"/>
            <w:tcBorders>
              <w:top w:val="single" w:sz="4" w:space="0" w:color="AA9678"/>
              <w:left w:val="single" w:sz="4" w:space="0" w:color="AA9678"/>
              <w:bottom w:val="single" w:sz="4" w:space="0" w:color="AA9678"/>
            </w:tcBorders>
            <w:shd w:val="clear" w:color="auto" w:fill="auto"/>
            <w:noWrap/>
            <w:vAlign w:val="center"/>
          </w:tcPr>
          <w:p w:rsidR="007C7F71" w:rsidRPr="007C7F71" w:rsidRDefault="007C7F71" w:rsidP="007C7F71">
            <w:pPr>
              <w:jc w:val="center"/>
              <w:rPr>
                <w:rFonts w:hint="eastAsia"/>
              </w:rPr>
            </w:pPr>
            <w:r w:rsidRPr="007C7F71">
              <w:rPr>
                <w:rFonts w:hint="eastAsia"/>
              </w:rPr>
              <w:t xml:space="preserve">4.408 % </w:t>
            </w:r>
          </w:p>
        </w:tc>
        <w:tc>
          <w:tcPr>
            <w:tcW w:w="2428" w:type="dxa"/>
            <w:gridSpan w:val="3"/>
            <w:tcBorders>
              <w:top w:val="single" w:sz="4" w:space="0" w:color="AA9678"/>
              <w:left w:val="single" w:sz="4" w:space="0" w:color="AA9678"/>
              <w:bottom w:val="single" w:sz="4" w:space="0" w:color="AA9678"/>
            </w:tcBorders>
            <w:shd w:val="clear" w:color="auto" w:fill="auto"/>
            <w:vAlign w:val="center"/>
          </w:tcPr>
          <w:p w:rsidR="007C7F71" w:rsidRPr="007C7F71" w:rsidRDefault="007C7F71" w:rsidP="007C7F71">
            <w:pPr>
              <w:jc w:val="center"/>
              <w:rPr>
                <w:rFonts w:hint="eastAsia"/>
              </w:rPr>
            </w:pPr>
            <w:r w:rsidRPr="007C7F71">
              <w:rPr>
                <w:rFonts w:hint="eastAsia"/>
              </w:rPr>
              <w:t xml:space="preserve">4.674% </w:t>
            </w:r>
          </w:p>
        </w:tc>
      </w:tr>
      <w:tr w:rsidR="007C7F71" w:rsidRPr="00567F50" w:rsidTr="007C7F71">
        <w:tblPrEx>
          <w:jc w:val="left"/>
        </w:tblPrEx>
        <w:trPr>
          <w:gridBefore w:val="1"/>
          <w:gridAfter w:val="2"/>
          <w:wBefore w:w="1282" w:type="dxa"/>
          <w:wAfter w:w="1776"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7C7F71" w:rsidRPr="00567F50" w:rsidRDefault="007C7F71" w:rsidP="007C7F7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交银60天B</w:t>
            </w:r>
          </w:p>
        </w:tc>
        <w:tc>
          <w:tcPr>
            <w:tcW w:w="1522"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7C7F71" w:rsidRPr="007C7F71" w:rsidRDefault="007C7F71" w:rsidP="007C7F71">
            <w:pPr>
              <w:jc w:val="center"/>
            </w:pPr>
            <w:r w:rsidRPr="007C7F71">
              <w:rPr>
                <w:rFonts w:hint="eastAsia"/>
              </w:rPr>
              <w:t xml:space="preserve">2.3064 </w:t>
            </w:r>
          </w:p>
        </w:tc>
        <w:tc>
          <w:tcPr>
            <w:tcW w:w="1736" w:type="dxa"/>
            <w:gridSpan w:val="3"/>
            <w:tcBorders>
              <w:top w:val="single" w:sz="4" w:space="0" w:color="AA9678"/>
              <w:left w:val="single" w:sz="4" w:space="0" w:color="AA9678"/>
              <w:bottom w:val="single" w:sz="4" w:space="0" w:color="AA9678"/>
            </w:tcBorders>
            <w:shd w:val="pct5" w:color="auto" w:fill="auto"/>
            <w:noWrap/>
            <w:vAlign w:val="center"/>
          </w:tcPr>
          <w:p w:rsidR="007C7F71" w:rsidRPr="007C7F71" w:rsidRDefault="007C7F71" w:rsidP="007C7F71">
            <w:pPr>
              <w:jc w:val="center"/>
              <w:rPr>
                <w:rFonts w:hint="eastAsia"/>
              </w:rPr>
            </w:pPr>
            <w:r w:rsidRPr="007C7F71">
              <w:rPr>
                <w:rFonts w:hint="eastAsia"/>
              </w:rPr>
              <w:t xml:space="preserve">4.698 %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7C7F71" w:rsidRPr="007C7F71" w:rsidRDefault="007C7F71" w:rsidP="007C7F71">
            <w:pPr>
              <w:jc w:val="center"/>
              <w:rPr>
                <w:rFonts w:hint="eastAsia"/>
              </w:rPr>
            </w:pPr>
            <w:r w:rsidRPr="007C7F71">
              <w:rPr>
                <w:rFonts w:hint="eastAsia"/>
              </w:rPr>
              <w:t>4.151%</w:t>
            </w:r>
          </w:p>
        </w:tc>
      </w:tr>
    </w:tbl>
    <w:p w:rsidR="00B7035E" w:rsidRPr="00A94D2A" w:rsidRDefault="00B7035E" w:rsidP="008001D1">
      <w:pPr>
        <w:spacing w:line="360" w:lineRule="auto"/>
        <w:ind w:leftChars="404" w:left="848" w:rightChars="471" w:right="989" w:firstLineChars="80" w:firstLine="120"/>
        <w:jc w:val="center"/>
        <w:rPr>
          <w:rFonts w:ascii="仿宋" w:eastAsia="仿宋" w:hAnsi="仿宋"/>
          <w:color w:val="808080"/>
          <w:sz w:val="15"/>
          <w:szCs w:val="15"/>
        </w:rPr>
      </w:pPr>
      <w:r w:rsidRPr="00A94D2A">
        <w:rPr>
          <w:rFonts w:ascii="仿宋" w:eastAsia="仿宋" w:hAnsi="仿宋" w:hint="eastAsia"/>
          <w:color w:val="808080"/>
          <w:sz w:val="15"/>
          <w:szCs w:val="15"/>
        </w:rPr>
        <w:t>数据来源：交银施罗德、</w:t>
      </w:r>
      <w:r w:rsidR="00B1287C" w:rsidRPr="00A94D2A">
        <w:rPr>
          <w:rFonts w:ascii="仿宋" w:eastAsia="仿宋" w:hAnsi="仿宋" w:hint="eastAsia"/>
          <w:color w:val="808080"/>
          <w:sz w:val="15"/>
          <w:szCs w:val="15"/>
        </w:rPr>
        <w:t>万得</w:t>
      </w:r>
      <w:r w:rsidRPr="00A94D2A">
        <w:rPr>
          <w:rFonts w:ascii="仿宋" w:eastAsia="仿宋" w:hAnsi="仿宋" w:hint="eastAsia"/>
          <w:color w:val="808080"/>
          <w:sz w:val="15"/>
          <w:szCs w:val="15"/>
        </w:rPr>
        <w:t>资讯</w:t>
      </w:r>
      <w:r w:rsidR="00B1287C" w:rsidRPr="00A94D2A">
        <w:rPr>
          <w:rFonts w:ascii="仿宋" w:eastAsia="仿宋" w:hAnsi="仿宋" w:hint="eastAsia"/>
          <w:color w:val="808080"/>
          <w:sz w:val="15"/>
          <w:szCs w:val="15"/>
        </w:rPr>
        <w:t>、财汇资讯</w:t>
      </w:r>
      <w:r w:rsidRPr="00A94D2A">
        <w:rPr>
          <w:rFonts w:ascii="仿宋" w:eastAsia="仿宋" w:hAnsi="仿宋" w:hint="eastAsia"/>
          <w:color w:val="808080"/>
          <w:sz w:val="15"/>
          <w:szCs w:val="15"/>
        </w:rPr>
        <w:t>，截至</w:t>
      </w:r>
      <w:r w:rsidR="00444E6C" w:rsidRPr="00A94D2A">
        <w:rPr>
          <w:rFonts w:ascii="仿宋" w:eastAsia="仿宋" w:hAnsi="仿宋" w:hint="eastAsia"/>
          <w:color w:val="808080"/>
          <w:sz w:val="15"/>
          <w:szCs w:val="15"/>
        </w:rPr>
        <w:t>201</w:t>
      </w:r>
      <w:r w:rsidR="003100F4" w:rsidRPr="00A94D2A">
        <w:rPr>
          <w:rFonts w:ascii="仿宋" w:eastAsia="仿宋" w:hAnsi="仿宋" w:hint="eastAsia"/>
          <w:color w:val="808080"/>
          <w:sz w:val="15"/>
          <w:szCs w:val="15"/>
        </w:rPr>
        <w:t>4</w:t>
      </w:r>
      <w:r w:rsidR="00444E6C" w:rsidRPr="00A94D2A">
        <w:rPr>
          <w:rFonts w:ascii="仿宋" w:eastAsia="仿宋" w:hAnsi="仿宋" w:hint="eastAsia"/>
          <w:color w:val="808080"/>
          <w:sz w:val="15"/>
          <w:szCs w:val="15"/>
        </w:rPr>
        <w:t>年</w:t>
      </w:r>
      <w:r w:rsidR="00705DFA" w:rsidRPr="00A94D2A">
        <w:rPr>
          <w:rFonts w:ascii="仿宋" w:eastAsia="仿宋" w:hAnsi="仿宋" w:hint="eastAsia"/>
          <w:color w:val="808080"/>
          <w:sz w:val="15"/>
          <w:szCs w:val="15"/>
        </w:rPr>
        <w:t>1</w:t>
      </w:r>
      <w:r w:rsidR="00D07EE2">
        <w:rPr>
          <w:rFonts w:ascii="仿宋" w:eastAsia="仿宋" w:hAnsi="仿宋" w:hint="eastAsia"/>
          <w:color w:val="808080"/>
          <w:sz w:val="15"/>
          <w:szCs w:val="15"/>
        </w:rPr>
        <w:t>2</w:t>
      </w:r>
      <w:r w:rsidRPr="00A94D2A">
        <w:rPr>
          <w:rFonts w:ascii="仿宋" w:eastAsia="仿宋" w:hAnsi="仿宋" w:hint="eastAsia"/>
          <w:color w:val="808080"/>
          <w:sz w:val="15"/>
          <w:szCs w:val="15"/>
        </w:rPr>
        <w:t>月</w:t>
      </w:r>
      <w:r w:rsidR="007C7F71">
        <w:rPr>
          <w:rFonts w:ascii="仿宋" w:eastAsia="仿宋" w:hAnsi="仿宋" w:hint="eastAsia"/>
          <w:color w:val="808080"/>
          <w:sz w:val="15"/>
          <w:szCs w:val="15"/>
        </w:rPr>
        <w:t>26</w:t>
      </w:r>
      <w:r w:rsidR="006C10E3" w:rsidRPr="00A94D2A">
        <w:rPr>
          <w:rFonts w:ascii="仿宋" w:eastAsia="仿宋" w:hAnsi="仿宋" w:hint="eastAsia"/>
          <w:color w:val="808080"/>
          <w:sz w:val="15"/>
          <w:szCs w:val="15"/>
        </w:rPr>
        <w:t>日，</w:t>
      </w:r>
      <w:r w:rsidR="000661EB" w:rsidRPr="00A94D2A">
        <w:rPr>
          <w:rFonts w:ascii="仿宋" w:eastAsia="仿宋" w:hAnsi="仿宋" w:hint="eastAsia"/>
          <w:color w:val="808080"/>
          <w:sz w:val="15"/>
          <w:szCs w:val="15"/>
        </w:rPr>
        <w:t>交银</w:t>
      </w:r>
      <w:r w:rsidR="00975C88" w:rsidRPr="00A94D2A">
        <w:rPr>
          <w:rFonts w:ascii="仿宋" w:eastAsia="仿宋" w:hAnsi="仿宋" w:hint="eastAsia"/>
          <w:color w:val="808080"/>
          <w:sz w:val="15"/>
          <w:szCs w:val="15"/>
        </w:rPr>
        <w:t>环球、交</w:t>
      </w:r>
      <w:proofErr w:type="gramStart"/>
      <w:r w:rsidR="00975C88" w:rsidRPr="00A94D2A">
        <w:rPr>
          <w:rFonts w:ascii="仿宋" w:eastAsia="仿宋" w:hAnsi="仿宋" w:hint="eastAsia"/>
          <w:color w:val="808080"/>
          <w:sz w:val="15"/>
          <w:szCs w:val="15"/>
        </w:rPr>
        <w:t>银</w:t>
      </w:r>
      <w:r w:rsidR="000661EB" w:rsidRPr="00A94D2A">
        <w:rPr>
          <w:rFonts w:ascii="仿宋" w:eastAsia="仿宋" w:hAnsi="仿宋" w:hint="eastAsia"/>
          <w:color w:val="808080"/>
          <w:sz w:val="15"/>
          <w:szCs w:val="15"/>
        </w:rPr>
        <w:t>资源</w:t>
      </w:r>
      <w:proofErr w:type="gramEnd"/>
      <w:r w:rsidR="000661EB" w:rsidRPr="00A94D2A">
        <w:rPr>
          <w:rFonts w:ascii="仿宋" w:eastAsia="仿宋" w:hAnsi="仿宋" w:hint="eastAsia"/>
          <w:color w:val="808080"/>
          <w:sz w:val="15"/>
          <w:szCs w:val="15"/>
        </w:rPr>
        <w:t>净值数据截至201</w:t>
      </w:r>
      <w:r w:rsidR="003100F4" w:rsidRPr="00A94D2A">
        <w:rPr>
          <w:rFonts w:ascii="仿宋" w:eastAsia="仿宋" w:hAnsi="仿宋" w:hint="eastAsia"/>
          <w:color w:val="808080"/>
          <w:sz w:val="15"/>
          <w:szCs w:val="15"/>
        </w:rPr>
        <w:t>4</w:t>
      </w:r>
      <w:r w:rsidR="000661EB" w:rsidRPr="00A94D2A">
        <w:rPr>
          <w:rFonts w:ascii="仿宋" w:eastAsia="仿宋" w:hAnsi="仿宋" w:hint="eastAsia"/>
          <w:color w:val="808080"/>
          <w:sz w:val="15"/>
          <w:szCs w:val="15"/>
        </w:rPr>
        <w:t>年</w:t>
      </w:r>
      <w:r w:rsidR="00673B2C">
        <w:rPr>
          <w:rFonts w:ascii="仿宋" w:eastAsia="仿宋" w:hAnsi="仿宋" w:hint="eastAsia"/>
          <w:color w:val="808080"/>
          <w:sz w:val="15"/>
          <w:szCs w:val="15"/>
        </w:rPr>
        <w:t>1</w:t>
      </w:r>
      <w:r w:rsidR="00D07EE2">
        <w:rPr>
          <w:rFonts w:ascii="仿宋" w:eastAsia="仿宋" w:hAnsi="仿宋"/>
          <w:color w:val="808080"/>
          <w:sz w:val="15"/>
          <w:szCs w:val="15"/>
        </w:rPr>
        <w:t>2</w:t>
      </w:r>
      <w:r w:rsidR="000661EB" w:rsidRPr="00A94D2A">
        <w:rPr>
          <w:rFonts w:ascii="仿宋" w:eastAsia="仿宋" w:hAnsi="仿宋" w:hint="eastAsia"/>
          <w:color w:val="808080"/>
          <w:sz w:val="15"/>
          <w:szCs w:val="15"/>
        </w:rPr>
        <w:t>月</w:t>
      </w:r>
      <w:r w:rsidR="007C7F71">
        <w:rPr>
          <w:rFonts w:ascii="仿宋" w:eastAsia="仿宋" w:hAnsi="仿宋" w:hint="eastAsia"/>
          <w:color w:val="808080"/>
          <w:sz w:val="15"/>
          <w:szCs w:val="15"/>
        </w:rPr>
        <w:t>25</w:t>
      </w:r>
      <w:r w:rsidR="00C741F1" w:rsidRPr="00A94D2A">
        <w:rPr>
          <w:rFonts w:ascii="仿宋" w:eastAsia="仿宋" w:hAnsi="仿宋" w:hint="eastAsia"/>
          <w:color w:val="808080"/>
          <w:sz w:val="15"/>
          <w:szCs w:val="15"/>
        </w:rPr>
        <w:t>日</w:t>
      </w:r>
      <w:r w:rsidR="00806CF9" w:rsidRPr="00A94D2A">
        <w:rPr>
          <w:rFonts w:ascii="仿宋" w:eastAsia="仿宋" w:hAnsi="仿宋" w:hint="eastAsia"/>
          <w:color w:val="808080"/>
          <w:sz w:val="15"/>
          <w:szCs w:val="15"/>
        </w:rPr>
        <w:t>。</w:t>
      </w:r>
    </w:p>
    <w:sectPr w:rsidR="00B7035E" w:rsidRPr="00A94D2A" w:rsidSect="009173CC">
      <w:headerReference w:type="default" r:id="rId12"/>
      <w:footerReference w:type="default" r:id="rId13"/>
      <w:headerReference w:type="first" r:id="rId14"/>
      <w:pgSz w:w="11906" w:h="16838"/>
      <w:pgMar w:top="1814" w:right="0" w:bottom="1440" w:left="0" w:header="0" w:footer="459"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1D6" w:rsidRDefault="005411D6" w:rsidP="000E7112">
      <w:r>
        <w:separator/>
      </w:r>
    </w:p>
  </w:endnote>
  <w:endnote w:type="continuationSeparator" w:id="0">
    <w:p w:rsidR="005411D6" w:rsidRDefault="005411D6" w:rsidP="000E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30" w:rsidRDefault="00F22930" w:rsidP="00210641">
    <w:pPr>
      <w:pStyle w:val="a3"/>
    </w:pPr>
  </w:p>
  <w:p w:rsidR="00F22930" w:rsidRDefault="00F22930" w:rsidP="00210641">
    <w:pPr>
      <w:pStyle w:val="a3"/>
    </w:pPr>
    <w:r>
      <w:rPr>
        <w:noProof/>
      </w:rPr>
      <w:drawing>
        <wp:inline distT="0" distB="0" distL="0" distR="0">
          <wp:extent cx="6400800" cy="95250"/>
          <wp:effectExtent l="19050" t="0" r="0" b="0"/>
          <wp:docPr id="5" name="图片 5" descr="说明: p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p003"/>
                  <pic:cNvPicPr>
                    <a:picLocks noChangeAspect="1" noChangeArrowheads="1"/>
                  </pic:cNvPicPr>
                </pic:nvPicPr>
                <pic:blipFill>
                  <a:blip r:embed="rId1"/>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F22930" w:rsidRDefault="00F22930" w:rsidP="006A5CE8">
    <w:pPr>
      <w:pStyle w:val="a4"/>
      <w:jc w:val="center"/>
    </w:pPr>
    <w:r>
      <w:rPr>
        <w:noProof/>
      </w:rPr>
      <w:drawing>
        <wp:inline distT="0" distB="0" distL="0" distR="0">
          <wp:extent cx="6003290" cy="652133"/>
          <wp:effectExtent l="19050" t="0" r="0" b="0"/>
          <wp:docPr id="6" name="图片 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
                  <pic:cNvPicPr>
                    <a:picLocks noChangeAspect="1" noChangeArrowheads="1"/>
                  </pic:cNvPicPr>
                </pic:nvPicPr>
                <pic:blipFill>
                  <a:blip r:embed="rId2"/>
                  <a:stretch>
                    <a:fillRect/>
                  </a:stretch>
                </pic:blipFill>
                <pic:spPr bwMode="auto">
                  <a:xfrm>
                    <a:off x="0" y="0"/>
                    <a:ext cx="6003290" cy="652133"/>
                  </a:xfrm>
                  <a:prstGeom prst="rect">
                    <a:avLst/>
                  </a:prstGeom>
                  <a:noFill/>
                  <a:ln w="9525">
                    <a:noFill/>
                    <a:miter lim="800000"/>
                    <a:headEnd/>
                    <a:tailEnd/>
                  </a:ln>
                </pic:spPr>
              </pic:pic>
            </a:graphicData>
          </a:graphic>
        </wp:inline>
      </w:drawing>
    </w:r>
    <w:r w:rsidRPr="006A5CE8">
      <w:t xml:space="preserve"> </w:t>
    </w:r>
    <w:r>
      <w:rPr>
        <w:lang w:val="zh-CN"/>
      </w:rPr>
      <w:t xml:space="preserve"> </w:t>
    </w:r>
    <w:r w:rsidRPr="006A5CE8">
      <w:rPr>
        <w:b/>
        <w:color w:val="0088CC"/>
        <w:sz w:val="24"/>
        <w:szCs w:val="24"/>
      </w:rPr>
      <w:fldChar w:fldCharType="begin"/>
    </w:r>
    <w:r w:rsidRPr="006A5CE8">
      <w:rPr>
        <w:b/>
        <w:color w:val="0088CC"/>
      </w:rPr>
      <w:instrText>PAGE</w:instrText>
    </w:r>
    <w:r w:rsidRPr="006A5CE8">
      <w:rPr>
        <w:b/>
        <w:color w:val="0088CC"/>
        <w:sz w:val="24"/>
        <w:szCs w:val="24"/>
      </w:rPr>
      <w:fldChar w:fldCharType="separate"/>
    </w:r>
    <w:r w:rsidR="00B71FF4">
      <w:rPr>
        <w:b/>
        <w:noProof/>
        <w:color w:val="0088CC"/>
      </w:rPr>
      <w:t>12</w:t>
    </w:r>
    <w:r w:rsidRPr="006A5CE8">
      <w:rPr>
        <w:b/>
        <w:color w:val="0088CC"/>
        <w:sz w:val="24"/>
        <w:szCs w:val="24"/>
      </w:rPr>
      <w:fldChar w:fldCharType="end"/>
    </w:r>
    <w:r w:rsidRPr="006A5CE8">
      <w:rPr>
        <w:b/>
        <w:lang w:val="zh-CN"/>
      </w:rPr>
      <w:t xml:space="preserve"> </w:t>
    </w:r>
    <w:r w:rsidRPr="006A5CE8">
      <w:rPr>
        <w:b/>
        <w:color w:val="7F7F7F"/>
        <w:lang w:val="zh-CN"/>
      </w:rPr>
      <w:t xml:space="preserve">/ </w:t>
    </w:r>
    <w:r w:rsidRPr="006A5CE8">
      <w:rPr>
        <w:b/>
        <w:color w:val="7F7F7F"/>
        <w:sz w:val="24"/>
        <w:szCs w:val="24"/>
      </w:rPr>
      <w:fldChar w:fldCharType="begin"/>
    </w:r>
    <w:r w:rsidRPr="006A5CE8">
      <w:rPr>
        <w:b/>
        <w:color w:val="7F7F7F"/>
      </w:rPr>
      <w:instrText>NUMPAGES</w:instrText>
    </w:r>
    <w:r w:rsidRPr="006A5CE8">
      <w:rPr>
        <w:b/>
        <w:color w:val="7F7F7F"/>
        <w:sz w:val="24"/>
        <w:szCs w:val="24"/>
      </w:rPr>
      <w:fldChar w:fldCharType="separate"/>
    </w:r>
    <w:r w:rsidR="00B71FF4">
      <w:rPr>
        <w:b/>
        <w:noProof/>
        <w:color w:val="7F7F7F"/>
      </w:rPr>
      <w:t>13</w:t>
    </w:r>
    <w:r w:rsidRPr="006A5CE8">
      <w:rPr>
        <w:b/>
        <w:color w:val="7F7F7F"/>
        <w:sz w:val="24"/>
        <w:szCs w:val="24"/>
      </w:rPr>
      <w:fldChar w:fldCharType="end"/>
    </w:r>
  </w:p>
  <w:p w:rsidR="00F22930" w:rsidRDefault="00F22930" w:rsidP="00210641">
    <w:pPr>
      <w:pStyle w:val="a3"/>
    </w:pPr>
  </w:p>
  <w:p w:rsidR="00F22930" w:rsidRDefault="00F229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1D6" w:rsidRDefault="005411D6" w:rsidP="000E7112">
      <w:r>
        <w:separator/>
      </w:r>
    </w:p>
  </w:footnote>
  <w:footnote w:type="continuationSeparator" w:id="0">
    <w:p w:rsidR="005411D6" w:rsidRDefault="005411D6" w:rsidP="000E7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30" w:rsidRDefault="00F22930" w:rsidP="00F804BC">
    <w:pPr>
      <w:pStyle w:val="a3"/>
      <w:ind w:rightChars="-857" w:right="-1800"/>
      <w:jc w:val="left"/>
      <w:rPr>
        <w:noProof/>
      </w:rPr>
    </w:pPr>
    <w:r>
      <w:rPr>
        <w:noProof/>
      </w:rPr>
      <mc:AlternateContent>
        <mc:Choice Requires="wps">
          <w:drawing>
            <wp:anchor distT="0" distB="0" distL="114300" distR="114300" simplePos="0" relativeHeight="251657216" behindDoc="0" locked="0" layoutInCell="1" allowOverlap="1" wp14:anchorId="1B85508F" wp14:editId="64704CC6">
              <wp:simplePos x="0" y="0"/>
              <wp:positionH relativeFrom="column">
                <wp:posOffset>2112645</wp:posOffset>
              </wp:positionH>
              <wp:positionV relativeFrom="paragraph">
                <wp:posOffset>955675</wp:posOffset>
              </wp:positionV>
              <wp:extent cx="1864995" cy="239395"/>
              <wp:effectExtent l="0" t="0" r="0" b="825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22930" w:rsidRPr="009830F8" w:rsidRDefault="00F22930">
                          <w:pPr>
                            <w:rPr>
                              <w:rFonts w:ascii="Arial" w:hAnsi="宋体" w:cs="Arial"/>
                              <w:b/>
                              <w:color w:val="FFFFFF"/>
                              <w:sz w:val="18"/>
                              <w:szCs w:val="18"/>
                            </w:rPr>
                          </w:pPr>
                          <w:r w:rsidRPr="00655522">
                            <w:rPr>
                              <w:rFonts w:ascii="Arial" w:hAnsi="Arial" w:cs="Arial"/>
                              <w:b/>
                              <w:color w:val="FFFFFF"/>
                              <w:sz w:val="18"/>
                              <w:szCs w:val="18"/>
                            </w:rPr>
                            <w:t>201</w:t>
                          </w:r>
                          <w:r>
                            <w:rPr>
                              <w:rFonts w:ascii="Arial" w:hAnsi="Arial" w:cs="Arial" w:hint="eastAsia"/>
                              <w:b/>
                              <w:color w:val="FFFFFF"/>
                              <w:sz w:val="18"/>
                              <w:szCs w:val="18"/>
                            </w:rPr>
                            <w:t>4</w:t>
                          </w:r>
                          <w:r w:rsidRPr="00655522">
                            <w:rPr>
                              <w:rFonts w:ascii="Arial" w:hAnsi="宋体" w:cs="Arial"/>
                              <w:b/>
                              <w:color w:val="FFFFFF"/>
                              <w:sz w:val="18"/>
                              <w:szCs w:val="18"/>
                            </w:rPr>
                            <w:t>年</w:t>
                          </w:r>
                          <w:r>
                            <w:rPr>
                              <w:rFonts w:ascii="Arial" w:hAnsi="宋体" w:cs="Arial" w:hint="eastAsia"/>
                              <w:b/>
                              <w:color w:val="FFFFFF"/>
                              <w:sz w:val="18"/>
                              <w:szCs w:val="18"/>
                            </w:rPr>
                            <w:t>12</w:t>
                          </w:r>
                          <w:r w:rsidRPr="00655522">
                            <w:rPr>
                              <w:rFonts w:ascii="Arial" w:hAnsi="宋体" w:cs="Arial"/>
                              <w:b/>
                              <w:color w:val="FFFFFF"/>
                              <w:sz w:val="18"/>
                              <w:szCs w:val="18"/>
                            </w:rPr>
                            <w:t>月</w:t>
                          </w:r>
                          <w:r>
                            <w:rPr>
                              <w:rFonts w:ascii="Arial" w:hAnsi="宋体" w:cs="Arial" w:hint="eastAsia"/>
                              <w:b/>
                              <w:color w:val="FFFFFF"/>
                              <w:sz w:val="18"/>
                              <w:szCs w:val="18"/>
                            </w:rPr>
                            <w:t>2</w:t>
                          </w:r>
                          <w:r>
                            <w:rPr>
                              <w:rFonts w:ascii="Arial" w:hAnsi="宋体" w:cs="Arial"/>
                              <w:b/>
                              <w:color w:val="FFFFFF"/>
                              <w:sz w:val="18"/>
                              <w:szCs w:val="18"/>
                            </w:rPr>
                            <w:t>9</w:t>
                          </w:r>
                          <w:r w:rsidRPr="00655522">
                            <w:rPr>
                              <w:rFonts w:ascii="Arial" w:hAnsi="宋体" w:cs="Arial"/>
                              <w:b/>
                              <w:color w:val="FFFFFF"/>
                              <w:sz w:val="18"/>
                              <w:szCs w:val="18"/>
                            </w:rPr>
                            <w:t>日</w:t>
                          </w:r>
                          <w:r w:rsidRPr="00655522">
                            <w:rPr>
                              <w:rFonts w:ascii="Arial" w:hAnsi="Arial" w:cs="Arial"/>
                              <w:b/>
                              <w:color w:val="FFFFFF"/>
                              <w:sz w:val="18"/>
                              <w:szCs w:val="18"/>
                            </w:rPr>
                            <w:t xml:space="preserve">  </w:t>
                          </w:r>
                          <w:r w:rsidRPr="00655522">
                            <w:rPr>
                              <w:rFonts w:ascii="Arial" w:hAnsi="宋体" w:cs="Arial"/>
                              <w:b/>
                              <w:color w:val="FFFFFF"/>
                              <w:sz w:val="18"/>
                              <w:szCs w:val="18"/>
                            </w:rPr>
                            <w:t>总第</w:t>
                          </w:r>
                          <w:r>
                            <w:rPr>
                              <w:rFonts w:ascii="Arial" w:hAnsi="宋体" w:cs="Arial" w:hint="eastAsia"/>
                              <w:b/>
                              <w:color w:val="FFFFFF"/>
                              <w:sz w:val="18"/>
                              <w:szCs w:val="18"/>
                            </w:rPr>
                            <w:t>40</w:t>
                          </w:r>
                          <w:r>
                            <w:rPr>
                              <w:rFonts w:ascii="Arial" w:hAnsi="宋体" w:cs="Arial"/>
                              <w:b/>
                              <w:color w:val="FFFFFF"/>
                              <w:sz w:val="18"/>
                              <w:szCs w:val="18"/>
                            </w:rPr>
                            <w:t>3</w:t>
                          </w:r>
                          <w:r w:rsidRPr="00655522">
                            <w:rPr>
                              <w:rFonts w:ascii="Arial" w:hAnsi="宋体" w:cs="Arial"/>
                              <w:b/>
                              <w:color w:val="FFFFFF"/>
                              <w:sz w:val="18"/>
                              <w:szCs w:val="18"/>
                            </w:rPr>
                            <w:t>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85508F" id="_x0000_t202" coordsize="21600,21600" o:spt="202" path="m,l,21600r21600,l21600,xe">
              <v:stroke joinstyle="miter"/>
              <v:path gradientshapeok="t" o:connecttype="rect"/>
            </v:shapetype>
            <v:shape id="Text Box 3" o:spid="_x0000_s1026" type="#_x0000_t202" style="position:absolute;margin-left:166.35pt;margin-top:75.25pt;width:146.85pt;height:18.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dBrgIAALoFAAAOAAAAZHJzL2Uyb0RvYy54bWysVMlu2zAQvRfoPxC8K1pM25IQuUgsqyiQ&#10;LkDSD6AlyiIqkSpJW0qL/nuHlO046aUbD8SQM3yzPc71m7Fr0YEpzaXIcHgVYMREKSsudhn+/FB4&#10;MUbaUFHRVgqW4Uem8ZvV61fXQ5+ySDayrZhCACJ0OvQZbozpU9/XZcM6qq9kzwQoa6k6auCodn6l&#10;6ADoXetHQbDwB6mqXsmSaQ23+aTEK4df16w0H+taM4PaDENsxu3K7Vu7+6trmu4U7RteHsOgfxFF&#10;R7kAp2eonBqK9or/AtXxUkkta3NVys6Xdc1L5nKAbMLgRTb3De2ZywWKo/tzmfT/gy0/HD4pxCvo&#10;XYiRoB306IGNBt3KEc1seYZep2B134OdGeEaTF2qur+T5ReNhFw3VOzYjVJyaBitILzQvvQvnk44&#10;2oJsh/eyAjd0b6QDGmvV2dpBNRCgQ5sez62xoZTWZbwgSTLHqARdNEtmIFsXND297pU2b5nskBUy&#10;rKD1Dp0e7rSZTE8m1pmQBW9buKdpK55dAOZ0A77hqdXZKFw3vydBsok3MfFItNh4JMhz76ZYE29R&#10;hMt5PsvX6zz8Yf2GJG14VTFh3ZyYFZLf69yR4xMnztzSsuWVhbMhabXbrluFDhSYXbh1LMiFmf88&#10;DFcvyOVFSmFEgtso8YpFvPRIQeZesgxiLwiT22QRkITkxfOU7rhg/54SGjKczKP5RKY/zo2mHTcw&#10;O1reZTgO7LIFoKml4EZUTjaUt5N8UQob/lMpoN2nRjvCWo5ObDXjdgQUy+KtrB6BukoCs4CfMPBA&#10;aKT6htEAwyPD+uueKoZR+04A/ZOQEDtt3IHMlxEc1KVme6mhogSoDBuMJnFtpgm17xXfNeDp9OFu&#10;4MsU3LH5KarjR4MB4ZI6DjM7gS7Pzupp5K5+AgAA//8DAFBLAwQUAAYACAAAACEAfag4K+EAAAAL&#10;AQAADwAAAGRycy9kb3ducmV2LnhtbEyPwU7DMAyG70i8Q2QkLhNL166lKk0nhMRhRzYO7JY1pu3W&#10;OF2TbYWnx5zgaP+ffn8uV5PtxQVH3zlSsJhHIJBqZzpqFLxvXx9yED5oMrp3hAq+0MOqur0pdWHc&#10;ld7wsgmN4BLyhVbQhjAUUvq6Rav93A1InH260erA49hIM+orl9texlGUSas74gutHvClxfq4OVsF&#10;6VrWdnv4mC3z7GTTYbb7Xic7pe7vpucnEAGn8AfDrz6rQ8VOe3cm40WvIEniR0Y5SKMUBBNZnC1B&#10;7HmT5zHIqpT/f6h+AAAA//8DAFBLAQItABQABgAIAAAAIQC2gziS/gAAAOEBAAATAAAAAAAAAAAA&#10;AAAAAAAAAABbQ29udGVudF9UeXBlc10ueG1sUEsBAi0AFAAGAAgAAAAhADj9If/WAAAAlAEAAAsA&#10;AAAAAAAAAAAAAAAALwEAAF9yZWxzLy5yZWxzUEsBAi0AFAAGAAgAAAAhAM92R0GuAgAAugUAAA4A&#10;AAAAAAAAAAAAAAAALgIAAGRycy9lMm9Eb2MueG1sUEsBAi0AFAAGAAgAAAAhAH2oOCvhAAAACwEA&#10;AA8AAAAAAAAAAAAAAAAACAUAAGRycy9kb3ducmV2LnhtbFBLBQYAAAAABAAEAPMAAAAWBgAAAAA=&#10;" filled="f" stroked="f" strokecolor="white">
              <v:textbox style="mso-fit-shape-to-text:t">
                <w:txbxContent>
                  <w:p w:rsidR="00F22930" w:rsidRPr="009830F8" w:rsidRDefault="00F22930">
                    <w:pPr>
                      <w:rPr>
                        <w:rFonts w:ascii="Arial" w:hAnsi="宋体" w:cs="Arial"/>
                        <w:b/>
                        <w:color w:val="FFFFFF"/>
                        <w:sz w:val="18"/>
                        <w:szCs w:val="18"/>
                      </w:rPr>
                    </w:pPr>
                    <w:r w:rsidRPr="00655522">
                      <w:rPr>
                        <w:rFonts w:ascii="Arial" w:hAnsi="Arial" w:cs="Arial"/>
                        <w:b/>
                        <w:color w:val="FFFFFF"/>
                        <w:sz w:val="18"/>
                        <w:szCs w:val="18"/>
                      </w:rPr>
                      <w:t>201</w:t>
                    </w:r>
                    <w:r>
                      <w:rPr>
                        <w:rFonts w:ascii="Arial" w:hAnsi="Arial" w:cs="Arial" w:hint="eastAsia"/>
                        <w:b/>
                        <w:color w:val="FFFFFF"/>
                        <w:sz w:val="18"/>
                        <w:szCs w:val="18"/>
                      </w:rPr>
                      <w:t>4</w:t>
                    </w:r>
                    <w:r w:rsidRPr="00655522">
                      <w:rPr>
                        <w:rFonts w:ascii="Arial" w:hAnsi="宋体" w:cs="Arial"/>
                        <w:b/>
                        <w:color w:val="FFFFFF"/>
                        <w:sz w:val="18"/>
                        <w:szCs w:val="18"/>
                      </w:rPr>
                      <w:t>年</w:t>
                    </w:r>
                    <w:r>
                      <w:rPr>
                        <w:rFonts w:ascii="Arial" w:hAnsi="宋体" w:cs="Arial" w:hint="eastAsia"/>
                        <w:b/>
                        <w:color w:val="FFFFFF"/>
                        <w:sz w:val="18"/>
                        <w:szCs w:val="18"/>
                      </w:rPr>
                      <w:t>12</w:t>
                    </w:r>
                    <w:r w:rsidRPr="00655522">
                      <w:rPr>
                        <w:rFonts w:ascii="Arial" w:hAnsi="宋体" w:cs="Arial"/>
                        <w:b/>
                        <w:color w:val="FFFFFF"/>
                        <w:sz w:val="18"/>
                        <w:szCs w:val="18"/>
                      </w:rPr>
                      <w:t>月</w:t>
                    </w:r>
                    <w:r>
                      <w:rPr>
                        <w:rFonts w:ascii="Arial" w:hAnsi="宋体" w:cs="Arial" w:hint="eastAsia"/>
                        <w:b/>
                        <w:color w:val="FFFFFF"/>
                        <w:sz w:val="18"/>
                        <w:szCs w:val="18"/>
                      </w:rPr>
                      <w:t>2</w:t>
                    </w:r>
                    <w:r>
                      <w:rPr>
                        <w:rFonts w:ascii="Arial" w:hAnsi="宋体" w:cs="Arial"/>
                        <w:b/>
                        <w:color w:val="FFFFFF"/>
                        <w:sz w:val="18"/>
                        <w:szCs w:val="18"/>
                      </w:rPr>
                      <w:t>9</w:t>
                    </w:r>
                    <w:r w:rsidRPr="00655522">
                      <w:rPr>
                        <w:rFonts w:ascii="Arial" w:hAnsi="宋体" w:cs="Arial"/>
                        <w:b/>
                        <w:color w:val="FFFFFF"/>
                        <w:sz w:val="18"/>
                        <w:szCs w:val="18"/>
                      </w:rPr>
                      <w:t>日</w:t>
                    </w:r>
                    <w:r w:rsidRPr="00655522">
                      <w:rPr>
                        <w:rFonts w:ascii="Arial" w:hAnsi="Arial" w:cs="Arial"/>
                        <w:b/>
                        <w:color w:val="FFFFFF"/>
                        <w:sz w:val="18"/>
                        <w:szCs w:val="18"/>
                      </w:rPr>
                      <w:t xml:space="preserve">  </w:t>
                    </w:r>
                    <w:r w:rsidRPr="00655522">
                      <w:rPr>
                        <w:rFonts w:ascii="Arial" w:hAnsi="宋体" w:cs="Arial"/>
                        <w:b/>
                        <w:color w:val="FFFFFF"/>
                        <w:sz w:val="18"/>
                        <w:szCs w:val="18"/>
                      </w:rPr>
                      <w:t>总第</w:t>
                    </w:r>
                    <w:r>
                      <w:rPr>
                        <w:rFonts w:ascii="Arial" w:hAnsi="宋体" w:cs="Arial" w:hint="eastAsia"/>
                        <w:b/>
                        <w:color w:val="FFFFFF"/>
                        <w:sz w:val="18"/>
                        <w:szCs w:val="18"/>
                      </w:rPr>
                      <w:t>40</w:t>
                    </w:r>
                    <w:r>
                      <w:rPr>
                        <w:rFonts w:ascii="Arial" w:hAnsi="宋体" w:cs="Arial"/>
                        <w:b/>
                        <w:color w:val="FFFFFF"/>
                        <w:sz w:val="18"/>
                        <w:szCs w:val="18"/>
                      </w:rPr>
                      <w:t>3</w:t>
                    </w:r>
                    <w:r w:rsidRPr="00655522">
                      <w:rPr>
                        <w:rFonts w:ascii="Arial" w:hAnsi="宋体" w:cs="Arial"/>
                        <w:b/>
                        <w:color w:val="FFFFFF"/>
                        <w:sz w:val="18"/>
                        <w:szCs w:val="18"/>
                      </w:rPr>
                      <w:t>期</w:t>
                    </w:r>
                  </w:p>
                </w:txbxContent>
              </v:textbox>
            </v:shape>
          </w:pict>
        </mc:Fallback>
      </mc:AlternateContent>
    </w:r>
    <w:r>
      <w:rPr>
        <w:noProof/>
      </w:rPr>
      <w:drawing>
        <wp:inline distT="0" distB="0" distL="0" distR="0" wp14:anchorId="3C6927C4" wp14:editId="29276445">
          <wp:extent cx="7506335" cy="125603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
                  <a:srcRect/>
                  <a:stretch>
                    <a:fillRect/>
                  </a:stretch>
                </pic:blipFill>
                <pic:spPr bwMode="auto">
                  <a:xfrm>
                    <a:off x="0" y="0"/>
                    <a:ext cx="7506335" cy="1256030"/>
                  </a:xfrm>
                  <a:prstGeom prst="rect">
                    <a:avLst/>
                  </a:prstGeom>
                  <a:noFill/>
                  <a:ln w="9525">
                    <a:noFill/>
                    <a:miter lim="800000"/>
                    <a:headEnd/>
                    <a:tailEnd/>
                  </a:ln>
                </pic:spPr>
              </pic:pic>
            </a:graphicData>
          </a:graphic>
        </wp:inline>
      </w:drawing>
    </w:r>
  </w:p>
  <w:p w:rsidR="00F22930" w:rsidRDefault="00F22930" w:rsidP="00761FFD">
    <w:pPr>
      <w:pStyle w:val="a3"/>
      <w:ind w:rightChars="-857" w:right="-1800"/>
    </w:pPr>
  </w:p>
  <w:p w:rsidR="00F22930" w:rsidRDefault="00F229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30" w:rsidRDefault="00F22930" w:rsidP="00655522">
    <w:pPr>
      <w:pStyle w:val="a3"/>
      <w:ind w:rightChars="-857" w:right="-1800"/>
      <w:rPr>
        <w:noProof/>
      </w:rPr>
    </w:pPr>
  </w:p>
  <w:p w:rsidR="00F22930" w:rsidRDefault="00F22930" w:rsidP="00F804BC">
    <w:pPr>
      <w:pStyle w:val="a3"/>
      <w:ind w:rightChars="-857" w:right="-1800"/>
      <w:jc w:val="left"/>
      <w:rPr>
        <w:noProof/>
      </w:rPr>
    </w:pPr>
    <w:r>
      <w:rPr>
        <w:noProof/>
      </w:rPr>
      <w:drawing>
        <wp:anchor distT="0" distB="0" distL="114300" distR="114300" simplePos="0" relativeHeight="251656191" behindDoc="1" locked="0" layoutInCell="1" allowOverlap="1" wp14:anchorId="290A29F7" wp14:editId="05F8BF34">
          <wp:simplePos x="0" y="0"/>
          <wp:positionH relativeFrom="column">
            <wp:posOffset>495605</wp:posOffset>
          </wp:positionH>
          <wp:positionV relativeFrom="paragraph">
            <wp:posOffset>1286510</wp:posOffset>
          </wp:positionV>
          <wp:extent cx="6448425" cy="246380"/>
          <wp:effectExtent l="0" t="0" r="9525" b="1270"/>
          <wp:wrapTight wrapText="bothSides">
            <wp:wrapPolygon edited="0">
              <wp:start x="0" y="0"/>
              <wp:lineTo x="0" y="20041"/>
              <wp:lineTo x="21568" y="20041"/>
              <wp:lineTo x="2156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8425" cy="2463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8240" behindDoc="0" locked="0" layoutInCell="1" allowOverlap="1" wp14:anchorId="70803D59" wp14:editId="02BE67F0">
              <wp:simplePos x="0" y="0"/>
              <wp:positionH relativeFrom="column">
                <wp:posOffset>541020</wp:posOffset>
              </wp:positionH>
              <wp:positionV relativeFrom="paragraph">
                <wp:posOffset>1280795</wp:posOffset>
              </wp:positionV>
              <wp:extent cx="1864995" cy="239395"/>
              <wp:effectExtent l="0" t="0" r="0"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22930" w:rsidRPr="004F0FD3" w:rsidRDefault="00F22930" w:rsidP="00655522">
                          <w:pPr>
                            <w:rPr>
                              <w:rFonts w:ascii="Arial" w:hAnsi="Arial" w:cs="Arial"/>
                              <w:b/>
                              <w:color w:val="FFFFFF"/>
                              <w:sz w:val="18"/>
                              <w:szCs w:val="18"/>
                            </w:rPr>
                          </w:pPr>
                          <w:r w:rsidRPr="004F0FD3">
                            <w:rPr>
                              <w:rFonts w:ascii="Arial" w:hAnsi="Arial" w:cs="Arial"/>
                              <w:b/>
                              <w:color w:val="FFFFFF"/>
                              <w:sz w:val="18"/>
                              <w:szCs w:val="18"/>
                            </w:rPr>
                            <w:t>201</w:t>
                          </w:r>
                          <w:r>
                            <w:rPr>
                              <w:rFonts w:ascii="Arial" w:hAnsi="Arial" w:cs="Arial" w:hint="eastAsia"/>
                              <w:b/>
                              <w:color w:val="FFFFFF"/>
                              <w:sz w:val="18"/>
                              <w:szCs w:val="18"/>
                            </w:rPr>
                            <w:t>4</w:t>
                          </w:r>
                          <w:r w:rsidRPr="004F0FD3">
                            <w:rPr>
                              <w:rFonts w:ascii="Arial" w:hAnsi="宋体" w:cs="Arial"/>
                              <w:b/>
                              <w:color w:val="FFFFFF"/>
                              <w:sz w:val="18"/>
                              <w:szCs w:val="18"/>
                            </w:rPr>
                            <w:t>年</w:t>
                          </w:r>
                          <w:r>
                            <w:rPr>
                              <w:rFonts w:ascii="Arial" w:hAnsi="宋体" w:cs="Arial" w:hint="eastAsia"/>
                              <w:b/>
                              <w:color w:val="FFFFFF"/>
                              <w:sz w:val="18"/>
                              <w:szCs w:val="18"/>
                            </w:rPr>
                            <w:t>12</w:t>
                          </w:r>
                          <w:r w:rsidRPr="004F0FD3">
                            <w:rPr>
                              <w:rFonts w:ascii="Arial" w:hAnsi="宋体" w:cs="Arial"/>
                              <w:b/>
                              <w:color w:val="FFFFFF"/>
                              <w:sz w:val="18"/>
                              <w:szCs w:val="18"/>
                            </w:rPr>
                            <w:t>月</w:t>
                          </w:r>
                          <w:r>
                            <w:rPr>
                              <w:rFonts w:ascii="Arial" w:hAnsi="宋体" w:cs="Arial" w:hint="eastAsia"/>
                              <w:b/>
                              <w:color w:val="FFFFFF"/>
                              <w:sz w:val="18"/>
                              <w:szCs w:val="18"/>
                            </w:rPr>
                            <w:t>29</w:t>
                          </w:r>
                          <w:r w:rsidRPr="004F0FD3">
                            <w:rPr>
                              <w:rFonts w:ascii="Arial" w:hAnsi="宋体" w:cs="Arial"/>
                              <w:b/>
                              <w:color w:val="FFFFFF"/>
                              <w:sz w:val="18"/>
                              <w:szCs w:val="18"/>
                            </w:rPr>
                            <w:t>日</w:t>
                          </w:r>
                          <w:r w:rsidRPr="004F0FD3">
                            <w:rPr>
                              <w:rFonts w:ascii="Arial" w:hAnsi="Arial" w:cs="Arial"/>
                              <w:b/>
                              <w:color w:val="FFFFFF"/>
                              <w:sz w:val="18"/>
                              <w:szCs w:val="18"/>
                            </w:rPr>
                            <w:t xml:space="preserve">  </w:t>
                          </w:r>
                          <w:r w:rsidRPr="004F0FD3">
                            <w:rPr>
                              <w:rFonts w:ascii="Arial" w:hAnsi="宋体" w:cs="Arial"/>
                              <w:b/>
                              <w:color w:val="FFFFFF"/>
                              <w:sz w:val="18"/>
                              <w:szCs w:val="18"/>
                            </w:rPr>
                            <w:t>总第</w:t>
                          </w:r>
                          <w:r>
                            <w:rPr>
                              <w:rFonts w:ascii="Arial" w:hAnsi="宋体" w:cs="Arial" w:hint="eastAsia"/>
                              <w:b/>
                              <w:color w:val="FFFFFF"/>
                              <w:sz w:val="18"/>
                              <w:szCs w:val="18"/>
                            </w:rPr>
                            <w:t>40</w:t>
                          </w:r>
                          <w:r>
                            <w:rPr>
                              <w:rFonts w:ascii="Arial" w:hAnsi="宋体" w:cs="Arial"/>
                              <w:b/>
                              <w:color w:val="FFFFFF"/>
                              <w:sz w:val="18"/>
                              <w:szCs w:val="18"/>
                            </w:rPr>
                            <w:t>3</w:t>
                          </w:r>
                          <w:r w:rsidRPr="004F0FD3">
                            <w:rPr>
                              <w:rFonts w:ascii="Arial" w:hAnsi="宋体" w:cs="Arial"/>
                              <w:b/>
                              <w:color w:val="FFFFFF"/>
                              <w:sz w:val="18"/>
                              <w:szCs w:val="18"/>
                            </w:rPr>
                            <w:t>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803D59" id="_x0000_t202" coordsize="21600,21600" o:spt="202" path="m,l,21600r21600,l21600,xe">
              <v:stroke joinstyle="miter"/>
              <v:path gradientshapeok="t" o:connecttype="rect"/>
            </v:shapetype>
            <v:shape id="Text Box 4" o:spid="_x0000_s1027" type="#_x0000_t202" style="position:absolute;margin-left:42.6pt;margin-top:100.85pt;width:146.85pt;height:18.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MTsAIAAMEFAAAOAAAAZHJzL2Uyb0RvYy54bWysVMlu2zAQvRfoPxC8K1pC25IQOUgsqyiQ&#10;LkDSD6AlyiIqkSpJW0qD/nuHlO046aUbD8SQM3yzPc7V9di1aM+U5lJkOLwIMGKilBUX2wx/eSi8&#10;GCNtqKhoKwXL8CPT+Hr59s3V0Kcsko1sK6YQgAidDn2GG2P61Pd12bCO6gvZMwHKWqqOGjiqrV8p&#10;OgB61/pREMz9QaqqV7JkWsNtPinx0uHXNSvNp7rWzKA2wxCbcbty+8bu/vKKpltF+4aXhzDoX0TR&#10;US7A6Qkqp4aineK/QHW8VFLL2lyUsvNlXfOSuRwgmzB4lc19Q3vmcoHi6P5UJv3/YMuP+88K8Qp6&#10;B+URtIMePbDRoFs5ImLLM/Q6Bav7HuzMCNdg6lLV/Z0sv2ok5KqhYstulJJDw2gF4YX2pX/2dMLR&#10;FmQzfJAVuKE7Ix3QWKvO1g6qgQAd4ng8tcaGUlqX8ZwkyQyjEnTRZXIJsnVB0+PrXmnzjskOWSHD&#10;Clrv0On+TpvJ9GhinQlZ8LaFe5q24sUFYE434BueWp2NwnXzKQmSdbyOiUei+dojQZ57N8WKePMi&#10;XMzyy3y1ysMf1m9I0oZXFRPWzZFZIfm9zh04PnHixC0tW15ZOBuSVtvNqlVoT4HZhVuHgpyZ+S/D&#10;cPWCXF6lFEYkuI0Sr5jHC48UZOYliyD2gjC5TeYBSUhevEzpjgv27ymhIcPJLJpNZPrj3GjacQOz&#10;o+VdhuPALlsAmloKrkXlZEN5O8lnpbDhP5cC2n1stCOs5ejEVjNuxulrWGBL5o2sHoHBSgLBgKYw&#10;90BopPqO0QAzJMP6244qhlH7XsAvSEJC7NBxBzJbRHBQ55rNuYaKEqAybDCaxJWZBtWuV3zbgKfj&#10;v7uBn1NwR+rnqA7/DeaEy+0w0+wgOj87q+fJu/wJAAD//wMAUEsDBBQABgAIAAAAIQCPDTaX4QAA&#10;AAoBAAAPAAAAZHJzL2Rvd25yZXYueG1sTI/BTsJAEIbvJr7DZky8ENnSUiilW2JMPHAUPMht6Q5t&#10;tTtbuwtUn97xpMeZ+fLP9xeb0XbigoNvHSmYTSMQSJUzLdUKXvfPDxkIHzQZ3TlCBV/oYVPe3hQ6&#10;N+5KL3jZhVpwCPlcK2hC6HMpfdWg1X7qeiS+ndxgdeBxqKUZ9JXDbSfjKFpIq1viD43u8anB6mN3&#10;tgrSrazs/v1tMs8WnzbtJ4fvbXJQ6v5ufFyDCDiGPxh+9VkdSnY6ujMZLzoFWRozqSCOZksQDCTL&#10;bAXiyJtkNQdZFvJ/hfIHAAD//wMAUEsBAi0AFAAGAAgAAAAhALaDOJL+AAAA4QEAABMAAAAAAAAA&#10;AAAAAAAAAAAAAFtDb250ZW50X1R5cGVzXS54bWxQSwECLQAUAAYACAAAACEAOP0h/9YAAACUAQAA&#10;CwAAAAAAAAAAAAAAAAAvAQAAX3JlbHMvLnJlbHNQSwECLQAUAAYACAAAACEAGTSTE7ACAADBBQAA&#10;DgAAAAAAAAAAAAAAAAAuAgAAZHJzL2Uyb0RvYy54bWxQSwECLQAUAAYACAAAACEAjw02l+EAAAAK&#10;AQAADwAAAAAAAAAAAAAAAAAKBQAAZHJzL2Rvd25yZXYueG1sUEsFBgAAAAAEAAQA8wAAABgGAAAA&#10;AA==&#10;" filled="f" stroked="f" strokecolor="white">
              <v:textbox style="mso-fit-shape-to-text:t">
                <w:txbxContent>
                  <w:p w:rsidR="00F22930" w:rsidRPr="004F0FD3" w:rsidRDefault="00F22930" w:rsidP="00655522">
                    <w:pPr>
                      <w:rPr>
                        <w:rFonts w:ascii="Arial" w:hAnsi="Arial" w:cs="Arial"/>
                        <w:b/>
                        <w:color w:val="FFFFFF"/>
                        <w:sz w:val="18"/>
                        <w:szCs w:val="18"/>
                      </w:rPr>
                    </w:pPr>
                    <w:r w:rsidRPr="004F0FD3">
                      <w:rPr>
                        <w:rFonts w:ascii="Arial" w:hAnsi="Arial" w:cs="Arial"/>
                        <w:b/>
                        <w:color w:val="FFFFFF"/>
                        <w:sz w:val="18"/>
                        <w:szCs w:val="18"/>
                      </w:rPr>
                      <w:t>201</w:t>
                    </w:r>
                    <w:r>
                      <w:rPr>
                        <w:rFonts w:ascii="Arial" w:hAnsi="Arial" w:cs="Arial" w:hint="eastAsia"/>
                        <w:b/>
                        <w:color w:val="FFFFFF"/>
                        <w:sz w:val="18"/>
                        <w:szCs w:val="18"/>
                      </w:rPr>
                      <w:t>4</w:t>
                    </w:r>
                    <w:r w:rsidRPr="004F0FD3">
                      <w:rPr>
                        <w:rFonts w:ascii="Arial" w:hAnsi="宋体" w:cs="Arial"/>
                        <w:b/>
                        <w:color w:val="FFFFFF"/>
                        <w:sz w:val="18"/>
                        <w:szCs w:val="18"/>
                      </w:rPr>
                      <w:t>年</w:t>
                    </w:r>
                    <w:r>
                      <w:rPr>
                        <w:rFonts w:ascii="Arial" w:hAnsi="宋体" w:cs="Arial" w:hint="eastAsia"/>
                        <w:b/>
                        <w:color w:val="FFFFFF"/>
                        <w:sz w:val="18"/>
                        <w:szCs w:val="18"/>
                      </w:rPr>
                      <w:t>12</w:t>
                    </w:r>
                    <w:r w:rsidRPr="004F0FD3">
                      <w:rPr>
                        <w:rFonts w:ascii="Arial" w:hAnsi="宋体" w:cs="Arial"/>
                        <w:b/>
                        <w:color w:val="FFFFFF"/>
                        <w:sz w:val="18"/>
                        <w:szCs w:val="18"/>
                      </w:rPr>
                      <w:t>月</w:t>
                    </w:r>
                    <w:r>
                      <w:rPr>
                        <w:rFonts w:ascii="Arial" w:hAnsi="宋体" w:cs="Arial" w:hint="eastAsia"/>
                        <w:b/>
                        <w:color w:val="FFFFFF"/>
                        <w:sz w:val="18"/>
                        <w:szCs w:val="18"/>
                      </w:rPr>
                      <w:t>29</w:t>
                    </w:r>
                    <w:r w:rsidRPr="004F0FD3">
                      <w:rPr>
                        <w:rFonts w:ascii="Arial" w:hAnsi="宋体" w:cs="Arial"/>
                        <w:b/>
                        <w:color w:val="FFFFFF"/>
                        <w:sz w:val="18"/>
                        <w:szCs w:val="18"/>
                      </w:rPr>
                      <w:t>日</w:t>
                    </w:r>
                    <w:r w:rsidRPr="004F0FD3">
                      <w:rPr>
                        <w:rFonts w:ascii="Arial" w:hAnsi="Arial" w:cs="Arial"/>
                        <w:b/>
                        <w:color w:val="FFFFFF"/>
                        <w:sz w:val="18"/>
                        <w:szCs w:val="18"/>
                      </w:rPr>
                      <w:t xml:space="preserve">  </w:t>
                    </w:r>
                    <w:r w:rsidRPr="004F0FD3">
                      <w:rPr>
                        <w:rFonts w:ascii="Arial" w:hAnsi="宋体" w:cs="Arial"/>
                        <w:b/>
                        <w:color w:val="FFFFFF"/>
                        <w:sz w:val="18"/>
                        <w:szCs w:val="18"/>
                      </w:rPr>
                      <w:t>总第</w:t>
                    </w:r>
                    <w:r>
                      <w:rPr>
                        <w:rFonts w:ascii="Arial" w:hAnsi="宋体" w:cs="Arial" w:hint="eastAsia"/>
                        <w:b/>
                        <w:color w:val="FFFFFF"/>
                        <w:sz w:val="18"/>
                        <w:szCs w:val="18"/>
                      </w:rPr>
                      <w:t>40</w:t>
                    </w:r>
                    <w:r>
                      <w:rPr>
                        <w:rFonts w:ascii="Arial" w:hAnsi="宋体" w:cs="Arial"/>
                        <w:b/>
                        <w:color w:val="FFFFFF"/>
                        <w:sz w:val="18"/>
                        <w:szCs w:val="18"/>
                      </w:rPr>
                      <w:t>3</w:t>
                    </w:r>
                    <w:r w:rsidRPr="004F0FD3">
                      <w:rPr>
                        <w:rFonts w:ascii="Arial" w:hAnsi="宋体" w:cs="Arial"/>
                        <w:b/>
                        <w:color w:val="FFFFFF"/>
                        <w:sz w:val="18"/>
                        <w:szCs w:val="18"/>
                      </w:rPr>
                      <w:t>期</w:t>
                    </w:r>
                  </w:p>
                </w:txbxContent>
              </v:textbox>
            </v:shape>
          </w:pict>
        </mc:Fallback>
      </mc:AlternateContent>
    </w:r>
    <w:r>
      <w:rPr>
        <w:noProof/>
      </w:rPr>
      <w:drawing>
        <wp:inline distT="0" distB="0" distL="0" distR="0" wp14:anchorId="5DA6052D" wp14:editId="452188E2">
          <wp:extent cx="7561580" cy="1256030"/>
          <wp:effectExtent l="19050" t="0" r="1270" b="0"/>
          <wp:docPr id="7" name="图片 2" descr="说明: 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p001.jpg"/>
                  <pic:cNvPicPr>
                    <a:picLocks noChangeAspect="1" noChangeArrowheads="1"/>
                  </pic:cNvPicPr>
                </pic:nvPicPr>
                <pic:blipFill>
                  <a:blip r:embed="rId2"/>
                  <a:srcRect/>
                  <a:stretch>
                    <a:fillRect/>
                  </a:stretch>
                </pic:blipFill>
                <pic:spPr bwMode="auto">
                  <a:xfrm>
                    <a:off x="0" y="0"/>
                    <a:ext cx="7561580" cy="1256030"/>
                  </a:xfrm>
                  <a:prstGeom prst="rect">
                    <a:avLst/>
                  </a:prstGeom>
                  <a:noFill/>
                  <a:ln w="9525">
                    <a:noFill/>
                    <a:miter lim="800000"/>
                    <a:headEnd/>
                    <a:tailEnd/>
                  </a:ln>
                </pic:spPr>
              </pic:pic>
            </a:graphicData>
          </a:graphic>
        </wp:inline>
      </w:drawing>
    </w:r>
    <w:r>
      <w:br/>
    </w:r>
  </w:p>
  <w:p w:rsidR="00F22930" w:rsidRDefault="00F229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41C9"/>
    <w:multiLevelType w:val="hybridMultilevel"/>
    <w:tmpl w:val="C57465F8"/>
    <w:lvl w:ilvl="0" w:tplc="37F657EE">
      <w:numFmt w:val="bullet"/>
      <w:lvlText w:val="-"/>
      <w:lvlJc w:val="left"/>
      <w:pPr>
        <w:ind w:left="360" w:hanging="360"/>
      </w:pPr>
      <w:rPr>
        <w:rFonts w:ascii="仿宋" w:eastAsia="仿宋" w:hAnsi="仿宋"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704819"/>
    <w:multiLevelType w:val="hybridMultilevel"/>
    <w:tmpl w:val="76ECDACA"/>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2">
    <w:nsid w:val="0B155386"/>
    <w:multiLevelType w:val="hybridMultilevel"/>
    <w:tmpl w:val="3762FB2C"/>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3">
    <w:nsid w:val="0D0C46F0"/>
    <w:multiLevelType w:val="hybridMultilevel"/>
    <w:tmpl w:val="4B3EE14E"/>
    <w:lvl w:ilvl="0" w:tplc="0409000D">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4">
    <w:nsid w:val="15033830"/>
    <w:multiLevelType w:val="hybridMultilevel"/>
    <w:tmpl w:val="026EB3C0"/>
    <w:lvl w:ilvl="0" w:tplc="3CEA5DC6">
      <w:numFmt w:val="bullet"/>
      <w:lvlText w:val="●"/>
      <w:lvlJc w:val="left"/>
      <w:pPr>
        <w:ind w:left="2628" w:hanging="360"/>
      </w:pPr>
      <w:rPr>
        <w:rFonts w:ascii="仿宋" w:eastAsia="仿宋" w:hAnsi="仿宋" w:cs="Times New Roman" w:hint="eastAsia"/>
        <w:b w:val="0"/>
        <w:color w:val="0088CC"/>
        <w:sz w:val="15"/>
      </w:rPr>
    </w:lvl>
    <w:lvl w:ilvl="1" w:tplc="04090003">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5">
    <w:nsid w:val="24B97435"/>
    <w:multiLevelType w:val="hybridMultilevel"/>
    <w:tmpl w:val="D960E6E8"/>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6">
    <w:nsid w:val="34FC5C82"/>
    <w:multiLevelType w:val="hybridMultilevel"/>
    <w:tmpl w:val="714031D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7">
    <w:nsid w:val="38611D7B"/>
    <w:multiLevelType w:val="hybridMultilevel"/>
    <w:tmpl w:val="493CFB7E"/>
    <w:lvl w:ilvl="0" w:tplc="0409000D">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8">
    <w:nsid w:val="3D912360"/>
    <w:multiLevelType w:val="hybridMultilevel"/>
    <w:tmpl w:val="9BD6C6D6"/>
    <w:lvl w:ilvl="0" w:tplc="339AE494">
      <w:start w:val="1"/>
      <w:numFmt w:val="decimal"/>
      <w:lvlText w:val="%1、"/>
      <w:lvlJc w:val="left"/>
      <w:pPr>
        <w:ind w:left="2988" w:hanging="720"/>
      </w:pPr>
      <w:rPr>
        <w:rFonts w:hint="default"/>
      </w:rPr>
    </w:lvl>
    <w:lvl w:ilvl="1" w:tplc="04090019" w:tentative="1">
      <w:start w:val="1"/>
      <w:numFmt w:val="lowerLetter"/>
      <w:lvlText w:val="%2)"/>
      <w:lvlJc w:val="left"/>
      <w:pPr>
        <w:ind w:left="3108" w:hanging="420"/>
      </w:pPr>
    </w:lvl>
    <w:lvl w:ilvl="2" w:tplc="0409001B" w:tentative="1">
      <w:start w:val="1"/>
      <w:numFmt w:val="lowerRoman"/>
      <w:lvlText w:val="%3."/>
      <w:lvlJc w:val="right"/>
      <w:pPr>
        <w:ind w:left="3528" w:hanging="420"/>
      </w:pPr>
    </w:lvl>
    <w:lvl w:ilvl="3" w:tplc="0409000F" w:tentative="1">
      <w:start w:val="1"/>
      <w:numFmt w:val="decimal"/>
      <w:lvlText w:val="%4."/>
      <w:lvlJc w:val="left"/>
      <w:pPr>
        <w:ind w:left="3948" w:hanging="420"/>
      </w:pPr>
    </w:lvl>
    <w:lvl w:ilvl="4" w:tplc="04090019" w:tentative="1">
      <w:start w:val="1"/>
      <w:numFmt w:val="lowerLetter"/>
      <w:lvlText w:val="%5)"/>
      <w:lvlJc w:val="left"/>
      <w:pPr>
        <w:ind w:left="4368" w:hanging="420"/>
      </w:pPr>
    </w:lvl>
    <w:lvl w:ilvl="5" w:tplc="0409001B" w:tentative="1">
      <w:start w:val="1"/>
      <w:numFmt w:val="lowerRoman"/>
      <w:lvlText w:val="%6."/>
      <w:lvlJc w:val="right"/>
      <w:pPr>
        <w:ind w:left="4788" w:hanging="420"/>
      </w:pPr>
    </w:lvl>
    <w:lvl w:ilvl="6" w:tplc="0409000F" w:tentative="1">
      <w:start w:val="1"/>
      <w:numFmt w:val="decimal"/>
      <w:lvlText w:val="%7."/>
      <w:lvlJc w:val="left"/>
      <w:pPr>
        <w:ind w:left="5208" w:hanging="420"/>
      </w:pPr>
    </w:lvl>
    <w:lvl w:ilvl="7" w:tplc="04090019" w:tentative="1">
      <w:start w:val="1"/>
      <w:numFmt w:val="lowerLetter"/>
      <w:lvlText w:val="%8)"/>
      <w:lvlJc w:val="left"/>
      <w:pPr>
        <w:ind w:left="5628" w:hanging="420"/>
      </w:pPr>
    </w:lvl>
    <w:lvl w:ilvl="8" w:tplc="0409001B" w:tentative="1">
      <w:start w:val="1"/>
      <w:numFmt w:val="lowerRoman"/>
      <w:lvlText w:val="%9."/>
      <w:lvlJc w:val="right"/>
      <w:pPr>
        <w:ind w:left="6048" w:hanging="420"/>
      </w:pPr>
    </w:lvl>
  </w:abstractNum>
  <w:abstractNum w:abstractNumId="9">
    <w:nsid w:val="42AF6BF5"/>
    <w:multiLevelType w:val="hybridMultilevel"/>
    <w:tmpl w:val="D79C0F6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0">
    <w:nsid w:val="472A4F8E"/>
    <w:multiLevelType w:val="hybridMultilevel"/>
    <w:tmpl w:val="9F64680A"/>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1">
    <w:nsid w:val="47401F90"/>
    <w:multiLevelType w:val="hybridMultilevel"/>
    <w:tmpl w:val="94700124"/>
    <w:lvl w:ilvl="0" w:tplc="4CCA4286">
      <w:numFmt w:val="bullet"/>
      <w:lvlText w:val="•"/>
      <w:lvlJc w:val="left"/>
      <w:pPr>
        <w:ind w:left="2628" w:hanging="36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2">
    <w:nsid w:val="4FFE7FE6"/>
    <w:multiLevelType w:val="hybridMultilevel"/>
    <w:tmpl w:val="FFCA9884"/>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3">
    <w:nsid w:val="50BF6FBE"/>
    <w:multiLevelType w:val="hybridMultilevel"/>
    <w:tmpl w:val="8C1A4484"/>
    <w:lvl w:ilvl="0" w:tplc="FCDABDCC">
      <w:start w:val="1"/>
      <w:numFmt w:val="bullet"/>
      <w:lvlText w:val="—"/>
      <w:lvlJc w:val="left"/>
      <w:pPr>
        <w:ind w:left="4508" w:hanging="1815"/>
      </w:pPr>
      <w:rPr>
        <w:rFonts w:ascii="微软雅黑" w:eastAsia="微软雅黑" w:hAnsi="微软雅黑" w:cs="Times New Roman" w:hint="eastAsia"/>
        <w:b w:val="0"/>
        <w:w w:val="190"/>
      </w:rPr>
    </w:lvl>
    <w:lvl w:ilvl="1" w:tplc="04090003" w:tentative="1">
      <w:start w:val="1"/>
      <w:numFmt w:val="bullet"/>
      <w:lvlText w:val=""/>
      <w:lvlJc w:val="left"/>
      <w:pPr>
        <w:ind w:left="3533" w:hanging="420"/>
      </w:pPr>
      <w:rPr>
        <w:rFonts w:ascii="Wingdings" w:hAnsi="Wingdings" w:hint="default"/>
      </w:rPr>
    </w:lvl>
    <w:lvl w:ilvl="2" w:tplc="04090005" w:tentative="1">
      <w:start w:val="1"/>
      <w:numFmt w:val="bullet"/>
      <w:lvlText w:val=""/>
      <w:lvlJc w:val="left"/>
      <w:pPr>
        <w:ind w:left="3953" w:hanging="420"/>
      </w:pPr>
      <w:rPr>
        <w:rFonts w:ascii="Wingdings" w:hAnsi="Wingdings" w:hint="default"/>
      </w:rPr>
    </w:lvl>
    <w:lvl w:ilvl="3" w:tplc="04090001" w:tentative="1">
      <w:start w:val="1"/>
      <w:numFmt w:val="bullet"/>
      <w:lvlText w:val=""/>
      <w:lvlJc w:val="left"/>
      <w:pPr>
        <w:ind w:left="4373" w:hanging="420"/>
      </w:pPr>
      <w:rPr>
        <w:rFonts w:ascii="Wingdings" w:hAnsi="Wingdings" w:hint="default"/>
      </w:rPr>
    </w:lvl>
    <w:lvl w:ilvl="4" w:tplc="04090003" w:tentative="1">
      <w:start w:val="1"/>
      <w:numFmt w:val="bullet"/>
      <w:lvlText w:val=""/>
      <w:lvlJc w:val="left"/>
      <w:pPr>
        <w:ind w:left="4793" w:hanging="420"/>
      </w:pPr>
      <w:rPr>
        <w:rFonts w:ascii="Wingdings" w:hAnsi="Wingdings" w:hint="default"/>
      </w:rPr>
    </w:lvl>
    <w:lvl w:ilvl="5" w:tplc="04090005" w:tentative="1">
      <w:start w:val="1"/>
      <w:numFmt w:val="bullet"/>
      <w:lvlText w:val=""/>
      <w:lvlJc w:val="left"/>
      <w:pPr>
        <w:ind w:left="5213" w:hanging="420"/>
      </w:pPr>
      <w:rPr>
        <w:rFonts w:ascii="Wingdings" w:hAnsi="Wingdings" w:hint="default"/>
      </w:rPr>
    </w:lvl>
    <w:lvl w:ilvl="6" w:tplc="04090001" w:tentative="1">
      <w:start w:val="1"/>
      <w:numFmt w:val="bullet"/>
      <w:lvlText w:val=""/>
      <w:lvlJc w:val="left"/>
      <w:pPr>
        <w:ind w:left="5633" w:hanging="420"/>
      </w:pPr>
      <w:rPr>
        <w:rFonts w:ascii="Wingdings" w:hAnsi="Wingdings" w:hint="default"/>
      </w:rPr>
    </w:lvl>
    <w:lvl w:ilvl="7" w:tplc="04090003" w:tentative="1">
      <w:start w:val="1"/>
      <w:numFmt w:val="bullet"/>
      <w:lvlText w:val=""/>
      <w:lvlJc w:val="left"/>
      <w:pPr>
        <w:ind w:left="6053" w:hanging="420"/>
      </w:pPr>
      <w:rPr>
        <w:rFonts w:ascii="Wingdings" w:hAnsi="Wingdings" w:hint="default"/>
      </w:rPr>
    </w:lvl>
    <w:lvl w:ilvl="8" w:tplc="04090005" w:tentative="1">
      <w:start w:val="1"/>
      <w:numFmt w:val="bullet"/>
      <w:lvlText w:val=""/>
      <w:lvlJc w:val="left"/>
      <w:pPr>
        <w:ind w:left="6473" w:hanging="420"/>
      </w:pPr>
      <w:rPr>
        <w:rFonts w:ascii="Wingdings" w:hAnsi="Wingdings" w:hint="default"/>
      </w:rPr>
    </w:lvl>
  </w:abstractNum>
  <w:abstractNum w:abstractNumId="14">
    <w:nsid w:val="566B0C21"/>
    <w:multiLevelType w:val="hybridMultilevel"/>
    <w:tmpl w:val="0928BC54"/>
    <w:lvl w:ilvl="0" w:tplc="4CCA4286">
      <w:numFmt w:val="bullet"/>
      <w:lvlText w:val="•"/>
      <w:lvlJc w:val="left"/>
      <w:pPr>
        <w:ind w:left="2688" w:hanging="42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5">
    <w:nsid w:val="5D3628FA"/>
    <w:multiLevelType w:val="hybridMultilevel"/>
    <w:tmpl w:val="55FC3C4C"/>
    <w:lvl w:ilvl="0" w:tplc="0409000D">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6">
    <w:nsid w:val="6346433D"/>
    <w:multiLevelType w:val="hybridMultilevel"/>
    <w:tmpl w:val="74BA8A18"/>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7">
    <w:nsid w:val="6E5C19E5"/>
    <w:multiLevelType w:val="hybridMultilevel"/>
    <w:tmpl w:val="196A8106"/>
    <w:lvl w:ilvl="0" w:tplc="0409000B">
      <w:start w:val="1"/>
      <w:numFmt w:val="bullet"/>
      <w:lvlText w:val=""/>
      <w:lvlJc w:val="left"/>
      <w:pPr>
        <w:tabs>
          <w:tab w:val="num" w:pos="720"/>
        </w:tabs>
        <w:ind w:left="720" w:hanging="360"/>
      </w:pPr>
      <w:rPr>
        <w:rFonts w:ascii="Wingdings" w:hAnsi="Wingdings" w:hint="default"/>
      </w:rPr>
    </w:lvl>
    <w:lvl w:ilvl="1" w:tplc="903A708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723428"/>
    <w:multiLevelType w:val="hybridMultilevel"/>
    <w:tmpl w:val="472482BE"/>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9">
    <w:nsid w:val="72F90DD5"/>
    <w:multiLevelType w:val="hybridMultilevel"/>
    <w:tmpl w:val="B8BA522E"/>
    <w:lvl w:ilvl="0" w:tplc="0409000D">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20">
    <w:nsid w:val="76125685"/>
    <w:multiLevelType w:val="hybridMultilevel"/>
    <w:tmpl w:val="F53CB114"/>
    <w:lvl w:ilvl="0" w:tplc="0409000D">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21">
    <w:nsid w:val="79080135"/>
    <w:multiLevelType w:val="hybridMultilevel"/>
    <w:tmpl w:val="DBDC4884"/>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num w:numId="1">
    <w:abstractNumId w:val="13"/>
  </w:num>
  <w:num w:numId="2">
    <w:abstractNumId w:val="0"/>
  </w:num>
  <w:num w:numId="3">
    <w:abstractNumId w:val="11"/>
  </w:num>
  <w:num w:numId="4">
    <w:abstractNumId w:val="4"/>
  </w:num>
  <w:num w:numId="5">
    <w:abstractNumId w:val="14"/>
  </w:num>
  <w:num w:numId="6">
    <w:abstractNumId w:val="17"/>
  </w:num>
  <w:num w:numId="7">
    <w:abstractNumId w:val="10"/>
  </w:num>
  <w:num w:numId="8">
    <w:abstractNumId w:val="12"/>
  </w:num>
  <w:num w:numId="9">
    <w:abstractNumId w:val="6"/>
  </w:num>
  <w:num w:numId="10">
    <w:abstractNumId w:val="5"/>
  </w:num>
  <w:num w:numId="11">
    <w:abstractNumId w:val="9"/>
  </w:num>
  <w:num w:numId="12">
    <w:abstractNumId w:val="1"/>
  </w:num>
  <w:num w:numId="13">
    <w:abstractNumId w:val="18"/>
  </w:num>
  <w:num w:numId="14">
    <w:abstractNumId w:val="16"/>
  </w:num>
  <w:num w:numId="15">
    <w:abstractNumId w:val="2"/>
  </w:num>
  <w:num w:numId="16">
    <w:abstractNumId w:val="8"/>
  </w:num>
  <w:num w:numId="17">
    <w:abstractNumId w:val="21"/>
  </w:num>
  <w:num w:numId="18">
    <w:abstractNumId w:val="20"/>
  </w:num>
  <w:num w:numId="19">
    <w:abstractNumId w:val="19"/>
  </w:num>
  <w:num w:numId="20">
    <w:abstractNumId w:val="3"/>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12"/>
    <w:rsid w:val="00000369"/>
    <w:rsid w:val="00000B8A"/>
    <w:rsid w:val="0000173D"/>
    <w:rsid w:val="00001DFF"/>
    <w:rsid w:val="0000206D"/>
    <w:rsid w:val="000022F0"/>
    <w:rsid w:val="000023CD"/>
    <w:rsid w:val="000029C4"/>
    <w:rsid w:val="00002A5F"/>
    <w:rsid w:val="00003322"/>
    <w:rsid w:val="00004063"/>
    <w:rsid w:val="00004FE1"/>
    <w:rsid w:val="00005772"/>
    <w:rsid w:val="0000658D"/>
    <w:rsid w:val="00010C02"/>
    <w:rsid w:val="00010E8E"/>
    <w:rsid w:val="00010EE7"/>
    <w:rsid w:val="000124A4"/>
    <w:rsid w:val="000126EA"/>
    <w:rsid w:val="00012EC5"/>
    <w:rsid w:val="0001315B"/>
    <w:rsid w:val="000134B6"/>
    <w:rsid w:val="0001409A"/>
    <w:rsid w:val="000144FB"/>
    <w:rsid w:val="00014658"/>
    <w:rsid w:val="00014877"/>
    <w:rsid w:val="00014EC8"/>
    <w:rsid w:val="00014F3D"/>
    <w:rsid w:val="000150FD"/>
    <w:rsid w:val="00015295"/>
    <w:rsid w:val="000157DF"/>
    <w:rsid w:val="000158D2"/>
    <w:rsid w:val="00015A95"/>
    <w:rsid w:val="00015F6A"/>
    <w:rsid w:val="00016A2B"/>
    <w:rsid w:val="00016D94"/>
    <w:rsid w:val="00016F83"/>
    <w:rsid w:val="00017257"/>
    <w:rsid w:val="00017759"/>
    <w:rsid w:val="0002007E"/>
    <w:rsid w:val="00020134"/>
    <w:rsid w:val="00020509"/>
    <w:rsid w:val="00021B69"/>
    <w:rsid w:val="000223F6"/>
    <w:rsid w:val="00023366"/>
    <w:rsid w:val="00023E06"/>
    <w:rsid w:val="00024571"/>
    <w:rsid w:val="00024F48"/>
    <w:rsid w:val="000254BE"/>
    <w:rsid w:val="00025522"/>
    <w:rsid w:val="00025A33"/>
    <w:rsid w:val="0002627D"/>
    <w:rsid w:val="000264DB"/>
    <w:rsid w:val="00026631"/>
    <w:rsid w:val="00027463"/>
    <w:rsid w:val="0002753D"/>
    <w:rsid w:val="000302DD"/>
    <w:rsid w:val="0003059D"/>
    <w:rsid w:val="00030707"/>
    <w:rsid w:val="00030D1E"/>
    <w:rsid w:val="00030E8A"/>
    <w:rsid w:val="00031383"/>
    <w:rsid w:val="000313EE"/>
    <w:rsid w:val="00031C79"/>
    <w:rsid w:val="0003209F"/>
    <w:rsid w:val="00032D73"/>
    <w:rsid w:val="0003309C"/>
    <w:rsid w:val="0003395C"/>
    <w:rsid w:val="00034287"/>
    <w:rsid w:val="000342AB"/>
    <w:rsid w:val="0003431B"/>
    <w:rsid w:val="00034D15"/>
    <w:rsid w:val="00035054"/>
    <w:rsid w:val="00035AA9"/>
    <w:rsid w:val="00036415"/>
    <w:rsid w:val="000406BB"/>
    <w:rsid w:val="00040877"/>
    <w:rsid w:val="000409DD"/>
    <w:rsid w:val="00040AF4"/>
    <w:rsid w:val="00040F29"/>
    <w:rsid w:val="000422E7"/>
    <w:rsid w:val="000429F2"/>
    <w:rsid w:val="00042BA9"/>
    <w:rsid w:val="00042F1B"/>
    <w:rsid w:val="00043759"/>
    <w:rsid w:val="000438A9"/>
    <w:rsid w:val="00044036"/>
    <w:rsid w:val="000448ED"/>
    <w:rsid w:val="00044947"/>
    <w:rsid w:val="00044B1D"/>
    <w:rsid w:val="00044D02"/>
    <w:rsid w:val="000453BF"/>
    <w:rsid w:val="00045D7F"/>
    <w:rsid w:val="00046C5B"/>
    <w:rsid w:val="00050288"/>
    <w:rsid w:val="00050AB8"/>
    <w:rsid w:val="00050B0B"/>
    <w:rsid w:val="00050CF7"/>
    <w:rsid w:val="00050D9E"/>
    <w:rsid w:val="00051C04"/>
    <w:rsid w:val="00051CF7"/>
    <w:rsid w:val="00051D5E"/>
    <w:rsid w:val="000527AD"/>
    <w:rsid w:val="00052F73"/>
    <w:rsid w:val="00052FAB"/>
    <w:rsid w:val="00055392"/>
    <w:rsid w:val="00055630"/>
    <w:rsid w:val="000567D7"/>
    <w:rsid w:val="00056A7A"/>
    <w:rsid w:val="00060679"/>
    <w:rsid w:val="00060733"/>
    <w:rsid w:val="00060DB1"/>
    <w:rsid w:val="00061251"/>
    <w:rsid w:val="000617B1"/>
    <w:rsid w:val="00061C56"/>
    <w:rsid w:val="00061D4F"/>
    <w:rsid w:val="0006381E"/>
    <w:rsid w:val="00063BAC"/>
    <w:rsid w:val="0006427D"/>
    <w:rsid w:val="000643DC"/>
    <w:rsid w:val="00064648"/>
    <w:rsid w:val="000651BA"/>
    <w:rsid w:val="000661EB"/>
    <w:rsid w:val="0006662F"/>
    <w:rsid w:val="000670A7"/>
    <w:rsid w:val="000678C4"/>
    <w:rsid w:val="00067B44"/>
    <w:rsid w:val="0007009D"/>
    <w:rsid w:val="00070307"/>
    <w:rsid w:val="000708FB"/>
    <w:rsid w:val="00070A5F"/>
    <w:rsid w:val="00071233"/>
    <w:rsid w:val="0007211C"/>
    <w:rsid w:val="0007218E"/>
    <w:rsid w:val="000723AE"/>
    <w:rsid w:val="000726A4"/>
    <w:rsid w:val="00072AA3"/>
    <w:rsid w:val="00073549"/>
    <w:rsid w:val="0007545B"/>
    <w:rsid w:val="0007558E"/>
    <w:rsid w:val="00075C03"/>
    <w:rsid w:val="00077585"/>
    <w:rsid w:val="00080DC3"/>
    <w:rsid w:val="00080EF3"/>
    <w:rsid w:val="00081007"/>
    <w:rsid w:val="000814C8"/>
    <w:rsid w:val="00081C31"/>
    <w:rsid w:val="00081C9A"/>
    <w:rsid w:val="000830EB"/>
    <w:rsid w:val="00083137"/>
    <w:rsid w:val="00083874"/>
    <w:rsid w:val="000838C6"/>
    <w:rsid w:val="00083B3B"/>
    <w:rsid w:val="00085A3E"/>
    <w:rsid w:val="00085BC8"/>
    <w:rsid w:val="0008613C"/>
    <w:rsid w:val="00086F97"/>
    <w:rsid w:val="00086FE9"/>
    <w:rsid w:val="00087023"/>
    <w:rsid w:val="000870AB"/>
    <w:rsid w:val="00087314"/>
    <w:rsid w:val="0008784D"/>
    <w:rsid w:val="000900DE"/>
    <w:rsid w:val="000906D6"/>
    <w:rsid w:val="000922A5"/>
    <w:rsid w:val="00092EA9"/>
    <w:rsid w:val="00092FD8"/>
    <w:rsid w:val="00093ED6"/>
    <w:rsid w:val="0009412A"/>
    <w:rsid w:val="000944B2"/>
    <w:rsid w:val="00094CEF"/>
    <w:rsid w:val="000951E9"/>
    <w:rsid w:val="000959B4"/>
    <w:rsid w:val="000963FF"/>
    <w:rsid w:val="00096BF7"/>
    <w:rsid w:val="00097077"/>
    <w:rsid w:val="00097567"/>
    <w:rsid w:val="000975E2"/>
    <w:rsid w:val="000A02AB"/>
    <w:rsid w:val="000A14B1"/>
    <w:rsid w:val="000A157E"/>
    <w:rsid w:val="000A2064"/>
    <w:rsid w:val="000A25B5"/>
    <w:rsid w:val="000A36D8"/>
    <w:rsid w:val="000A39AA"/>
    <w:rsid w:val="000A3DC5"/>
    <w:rsid w:val="000A440F"/>
    <w:rsid w:val="000A53ED"/>
    <w:rsid w:val="000A5A98"/>
    <w:rsid w:val="000A6292"/>
    <w:rsid w:val="000A633D"/>
    <w:rsid w:val="000A669D"/>
    <w:rsid w:val="000A6766"/>
    <w:rsid w:val="000A676B"/>
    <w:rsid w:val="000A678E"/>
    <w:rsid w:val="000A6B4F"/>
    <w:rsid w:val="000A6EDC"/>
    <w:rsid w:val="000B0459"/>
    <w:rsid w:val="000B0C50"/>
    <w:rsid w:val="000B100A"/>
    <w:rsid w:val="000B1057"/>
    <w:rsid w:val="000B1491"/>
    <w:rsid w:val="000B14D7"/>
    <w:rsid w:val="000B1D2F"/>
    <w:rsid w:val="000B1EC9"/>
    <w:rsid w:val="000B2451"/>
    <w:rsid w:val="000B36BE"/>
    <w:rsid w:val="000B42D7"/>
    <w:rsid w:val="000B44E2"/>
    <w:rsid w:val="000B465D"/>
    <w:rsid w:val="000B52FE"/>
    <w:rsid w:val="000B6DB6"/>
    <w:rsid w:val="000B6F2A"/>
    <w:rsid w:val="000B7414"/>
    <w:rsid w:val="000C04E1"/>
    <w:rsid w:val="000C0AA6"/>
    <w:rsid w:val="000C0BFB"/>
    <w:rsid w:val="000C0ECF"/>
    <w:rsid w:val="000C1131"/>
    <w:rsid w:val="000C18CA"/>
    <w:rsid w:val="000C1EB6"/>
    <w:rsid w:val="000C349D"/>
    <w:rsid w:val="000C3511"/>
    <w:rsid w:val="000C445D"/>
    <w:rsid w:val="000C53E1"/>
    <w:rsid w:val="000C58EB"/>
    <w:rsid w:val="000C6299"/>
    <w:rsid w:val="000C6B74"/>
    <w:rsid w:val="000C7C11"/>
    <w:rsid w:val="000D14F3"/>
    <w:rsid w:val="000D222B"/>
    <w:rsid w:val="000D3ED4"/>
    <w:rsid w:val="000D4509"/>
    <w:rsid w:val="000D4631"/>
    <w:rsid w:val="000D5181"/>
    <w:rsid w:val="000D5803"/>
    <w:rsid w:val="000D5D29"/>
    <w:rsid w:val="000D7948"/>
    <w:rsid w:val="000D7A3A"/>
    <w:rsid w:val="000D7EEC"/>
    <w:rsid w:val="000E085D"/>
    <w:rsid w:val="000E09A8"/>
    <w:rsid w:val="000E0B39"/>
    <w:rsid w:val="000E146F"/>
    <w:rsid w:val="000E159B"/>
    <w:rsid w:val="000E1A5A"/>
    <w:rsid w:val="000E2485"/>
    <w:rsid w:val="000E2FFF"/>
    <w:rsid w:val="000E35BD"/>
    <w:rsid w:val="000E37EF"/>
    <w:rsid w:val="000E3A72"/>
    <w:rsid w:val="000E3F84"/>
    <w:rsid w:val="000E41C1"/>
    <w:rsid w:val="000E4240"/>
    <w:rsid w:val="000E50B2"/>
    <w:rsid w:val="000E5313"/>
    <w:rsid w:val="000E6032"/>
    <w:rsid w:val="000E61E2"/>
    <w:rsid w:val="000E7112"/>
    <w:rsid w:val="000E7DC3"/>
    <w:rsid w:val="000F002A"/>
    <w:rsid w:val="000F1570"/>
    <w:rsid w:val="000F1FD0"/>
    <w:rsid w:val="000F2854"/>
    <w:rsid w:val="000F3A57"/>
    <w:rsid w:val="000F4218"/>
    <w:rsid w:val="000F5745"/>
    <w:rsid w:val="000F60F2"/>
    <w:rsid w:val="000F6123"/>
    <w:rsid w:val="000F63D4"/>
    <w:rsid w:val="000F6612"/>
    <w:rsid w:val="000F66E4"/>
    <w:rsid w:val="000F6AF9"/>
    <w:rsid w:val="000F6B59"/>
    <w:rsid w:val="000F6D10"/>
    <w:rsid w:val="000F74AC"/>
    <w:rsid w:val="000F760A"/>
    <w:rsid w:val="000F7D75"/>
    <w:rsid w:val="0010064E"/>
    <w:rsid w:val="001013B0"/>
    <w:rsid w:val="00101458"/>
    <w:rsid w:val="001019FB"/>
    <w:rsid w:val="00101B3F"/>
    <w:rsid w:val="00101C61"/>
    <w:rsid w:val="0010310B"/>
    <w:rsid w:val="00103BE3"/>
    <w:rsid w:val="001040D2"/>
    <w:rsid w:val="001041A4"/>
    <w:rsid w:val="00104600"/>
    <w:rsid w:val="00104ED5"/>
    <w:rsid w:val="00105143"/>
    <w:rsid w:val="001060E1"/>
    <w:rsid w:val="00106230"/>
    <w:rsid w:val="00106985"/>
    <w:rsid w:val="00110615"/>
    <w:rsid w:val="001106BE"/>
    <w:rsid w:val="00110809"/>
    <w:rsid w:val="00111468"/>
    <w:rsid w:val="00111925"/>
    <w:rsid w:val="00111F08"/>
    <w:rsid w:val="001124F0"/>
    <w:rsid w:val="00112744"/>
    <w:rsid w:val="00112903"/>
    <w:rsid w:val="00112F0D"/>
    <w:rsid w:val="00113497"/>
    <w:rsid w:val="00114C3B"/>
    <w:rsid w:val="0011573C"/>
    <w:rsid w:val="001179A2"/>
    <w:rsid w:val="00117D42"/>
    <w:rsid w:val="0012053C"/>
    <w:rsid w:val="00120570"/>
    <w:rsid w:val="00121574"/>
    <w:rsid w:val="00121AB4"/>
    <w:rsid w:val="001224F7"/>
    <w:rsid w:val="00123222"/>
    <w:rsid w:val="001232D3"/>
    <w:rsid w:val="00123A16"/>
    <w:rsid w:val="00123F1B"/>
    <w:rsid w:val="0012677B"/>
    <w:rsid w:val="00126B38"/>
    <w:rsid w:val="00127592"/>
    <w:rsid w:val="00127EBA"/>
    <w:rsid w:val="00130110"/>
    <w:rsid w:val="00131AAE"/>
    <w:rsid w:val="00132F79"/>
    <w:rsid w:val="00133D48"/>
    <w:rsid w:val="0013534F"/>
    <w:rsid w:val="00135F6C"/>
    <w:rsid w:val="001362F4"/>
    <w:rsid w:val="001369C3"/>
    <w:rsid w:val="00137097"/>
    <w:rsid w:val="001370B3"/>
    <w:rsid w:val="00140471"/>
    <w:rsid w:val="001404BE"/>
    <w:rsid w:val="00140963"/>
    <w:rsid w:val="00141811"/>
    <w:rsid w:val="00141E66"/>
    <w:rsid w:val="001430BE"/>
    <w:rsid w:val="00143EBF"/>
    <w:rsid w:val="00144DBE"/>
    <w:rsid w:val="00145044"/>
    <w:rsid w:val="0014582A"/>
    <w:rsid w:val="0014609E"/>
    <w:rsid w:val="00146A5B"/>
    <w:rsid w:val="00147450"/>
    <w:rsid w:val="00150A9C"/>
    <w:rsid w:val="00151082"/>
    <w:rsid w:val="00151754"/>
    <w:rsid w:val="00153ECB"/>
    <w:rsid w:val="001543C9"/>
    <w:rsid w:val="001545D3"/>
    <w:rsid w:val="00154FAB"/>
    <w:rsid w:val="001555F4"/>
    <w:rsid w:val="00155C8A"/>
    <w:rsid w:val="001566D9"/>
    <w:rsid w:val="00156B58"/>
    <w:rsid w:val="001572CE"/>
    <w:rsid w:val="00157D80"/>
    <w:rsid w:val="00157DFB"/>
    <w:rsid w:val="00157E29"/>
    <w:rsid w:val="001601F6"/>
    <w:rsid w:val="0016031D"/>
    <w:rsid w:val="001606B2"/>
    <w:rsid w:val="00160FF5"/>
    <w:rsid w:val="00161F51"/>
    <w:rsid w:val="00162725"/>
    <w:rsid w:val="00162ADE"/>
    <w:rsid w:val="00162F14"/>
    <w:rsid w:val="00162F6B"/>
    <w:rsid w:val="001631A7"/>
    <w:rsid w:val="0016399B"/>
    <w:rsid w:val="00164B57"/>
    <w:rsid w:val="00164FBD"/>
    <w:rsid w:val="00165B22"/>
    <w:rsid w:val="001661FC"/>
    <w:rsid w:val="00166C70"/>
    <w:rsid w:val="00166FFA"/>
    <w:rsid w:val="0016766F"/>
    <w:rsid w:val="001706BF"/>
    <w:rsid w:val="0017094F"/>
    <w:rsid w:val="00170D44"/>
    <w:rsid w:val="00172F54"/>
    <w:rsid w:val="00173092"/>
    <w:rsid w:val="00173FCC"/>
    <w:rsid w:val="00174E69"/>
    <w:rsid w:val="0017502C"/>
    <w:rsid w:val="001758FC"/>
    <w:rsid w:val="001769D6"/>
    <w:rsid w:val="00177615"/>
    <w:rsid w:val="00177A5C"/>
    <w:rsid w:val="00177E00"/>
    <w:rsid w:val="00177F1B"/>
    <w:rsid w:val="00177F35"/>
    <w:rsid w:val="0018043A"/>
    <w:rsid w:val="00180732"/>
    <w:rsid w:val="0018093D"/>
    <w:rsid w:val="00180D04"/>
    <w:rsid w:val="00180FEA"/>
    <w:rsid w:val="001815EC"/>
    <w:rsid w:val="00181869"/>
    <w:rsid w:val="00181DA6"/>
    <w:rsid w:val="00181F4C"/>
    <w:rsid w:val="001823F1"/>
    <w:rsid w:val="0018246E"/>
    <w:rsid w:val="00182968"/>
    <w:rsid w:val="00182D33"/>
    <w:rsid w:val="00183084"/>
    <w:rsid w:val="00183689"/>
    <w:rsid w:val="00186D61"/>
    <w:rsid w:val="00187B02"/>
    <w:rsid w:val="00190288"/>
    <w:rsid w:val="001914FC"/>
    <w:rsid w:val="00191AAB"/>
    <w:rsid w:val="00192211"/>
    <w:rsid w:val="001928CE"/>
    <w:rsid w:val="00192D3C"/>
    <w:rsid w:val="00193263"/>
    <w:rsid w:val="001938D3"/>
    <w:rsid w:val="00193960"/>
    <w:rsid w:val="001946CC"/>
    <w:rsid w:val="00195825"/>
    <w:rsid w:val="00195C75"/>
    <w:rsid w:val="00196762"/>
    <w:rsid w:val="0019709B"/>
    <w:rsid w:val="001976A5"/>
    <w:rsid w:val="001A0D1D"/>
    <w:rsid w:val="001A11C5"/>
    <w:rsid w:val="001A2176"/>
    <w:rsid w:val="001A2254"/>
    <w:rsid w:val="001A3075"/>
    <w:rsid w:val="001A39E4"/>
    <w:rsid w:val="001A4225"/>
    <w:rsid w:val="001A4F63"/>
    <w:rsid w:val="001A4F87"/>
    <w:rsid w:val="001A5557"/>
    <w:rsid w:val="001A69F2"/>
    <w:rsid w:val="001A7732"/>
    <w:rsid w:val="001A7780"/>
    <w:rsid w:val="001B154C"/>
    <w:rsid w:val="001B15DD"/>
    <w:rsid w:val="001B1984"/>
    <w:rsid w:val="001B1A28"/>
    <w:rsid w:val="001B2A08"/>
    <w:rsid w:val="001B42BE"/>
    <w:rsid w:val="001B4D09"/>
    <w:rsid w:val="001B7100"/>
    <w:rsid w:val="001B73E9"/>
    <w:rsid w:val="001B7DB5"/>
    <w:rsid w:val="001B7FDF"/>
    <w:rsid w:val="001C0C34"/>
    <w:rsid w:val="001C0E8A"/>
    <w:rsid w:val="001C2BC1"/>
    <w:rsid w:val="001C342E"/>
    <w:rsid w:val="001C3D8C"/>
    <w:rsid w:val="001C439A"/>
    <w:rsid w:val="001C59E0"/>
    <w:rsid w:val="001C603C"/>
    <w:rsid w:val="001C6318"/>
    <w:rsid w:val="001D020F"/>
    <w:rsid w:val="001D056C"/>
    <w:rsid w:val="001D199E"/>
    <w:rsid w:val="001D209E"/>
    <w:rsid w:val="001D2DFE"/>
    <w:rsid w:val="001D2E0B"/>
    <w:rsid w:val="001D306C"/>
    <w:rsid w:val="001D3961"/>
    <w:rsid w:val="001D45C6"/>
    <w:rsid w:val="001D53CB"/>
    <w:rsid w:val="001D597C"/>
    <w:rsid w:val="001D5B63"/>
    <w:rsid w:val="001D65BE"/>
    <w:rsid w:val="001D76F3"/>
    <w:rsid w:val="001D772C"/>
    <w:rsid w:val="001D788F"/>
    <w:rsid w:val="001E0219"/>
    <w:rsid w:val="001E0536"/>
    <w:rsid w:val="001E0568"/>
    <w:rsid w:val="001E0EF4"/>
    <w:rsid w:val="001E205B"/>
    <w:rsid w:val="001E20F2"/>
    <w:rsid w:val="001E2DFA"/>
    <w:rsid w:val="001E34BC"/>
    <w:rsid w:val="001E406D"/>
    <w:rsid w:val="001E5A3F"/>
    <w:rsid w:val="001E5FAC"/>
    <w:rsid w:val="001E6B28"/>
    <w:rsid w:val="001E705F"/>
    <w:rsid w:val="001E71AD"/>
    <w:rsid w:val="001E72BB"/>
    <w:rsid w:val="001E7583"/>
    <w:rsid w:val="001F0456"/>
    <w:rsid w:val="001F0C8C"/>
    <w:rsid w:val="001F102E"/>
    <w:rsid w:val="001F1377"/>
    <w:rsid w:val="001F146B"/>
    <w:rsid w:val="001F149F"/>
    <w:rsid w:val="001F19C9"/>
    <w:rsid w:val="001F1DA6"/>
    <w:rsid w:val="001F2D2E"/>
    <w:rsid w:val="001F3A2A"/>
    <w:rsid w:val="001F3E56"/>
    <w:rsid w:val="001F40F4"/>
    <w:rsid w:val="001F45C1"/>
    <w:rsid w:val="001F5894"/>
    <w:rsid w:val="001F64F2"/>
    <w:rsid w:val="001F6758"/>
    <w:rsid w:val="001F7821"/>
    <w:rsid w:val="00200258"/>
    <w:rsid w:val="00200817"/>
    <w:rsid w:val="00200CAB"/>
    <w:rsid w:val="002026C1"/>
    <w:rsid w:val="002027C9"/>
    <w:rsid w:val="00202998"/>
    <w:rsid w:val="00202AE5"/>
    <w:rsid w:val="002030E0"/>
    <w:rsid w:val="00203867"/>
    <w:rsid w:val="00204334"/>
    <w:rsid w:val="00204AE4"/>
    <w:rsid w:val="00204C38"/>
    <w:rsid w:val="002072EC"/>
    <w:rsid w:val="00210641"/>
    <w:rsid w:val="00210F46"/>
    <w:rsid w:val="00211D6C"/>
    <w:rsid w:val="00211EF5"/>
    <w:rsid w:val="00211F76"/>
    <w:rsid w:val="00212F5E"/>
    <w:rsid w:val="00213D7C"/>
    <w:rsid w:val="002140BE"/>
    <w:rsid w:val="0021468D"/>
    <w:rsid w:val="002148FD"/>
    <w:rsid w:val="00214B56"/>
    <w:rsid w:val="002151E2"/>
    <w:rsid w:val="00216141"/>
    <w:rsid w:val="00216630"/>
    <w:rsid w:val="00216E79"/>
    <w:rsid w:val="00217305"/>
    <w:rsid w:val="0021752D"/>
    <w:rsid w:val="00217951"/>
    <w:rsid w:val="00217D45"/>
    <w:rsid w:val="0022036E"/>
    <w:rsid w:val="00220666"/>
    <w:rsid w:val="00220AB6"/>
    <w:rsid w:val="00220E24"/>
    <w:rsid w:val="00220E59"/>
    <w:rsid w:val="002213A1"/>
    <w:rsid w:val="00221DA7"/>
    <w:rsid w:val="00221F12"/>
    <w:rsid w:val="0022218F"/>
    <w:rsid w:val="00222630"/>
    <w:rsid w:val="0022288E"/>
    <w:rsid w:val="00222C75"/>
    <w:rsid w:val="00222CF6"/>
    <w:rsid w:val="00223878"/>
    <w:rsid w:val="00223F5B"/>
    <w:rsid w:val="0022406D"/>
    <w:rsid w:val="00224120"/>
    <w:rsid w:val="00224270"/>
    <w:rsid w:val="002244AD"/>
    <w:rsid w:val="002249D3"/>
    <w:rsid w:val="0022505E"/>
    <w:rsid w:val="0022542A"/>
    <w:rsid w:val="00225CB4"/>
    <w:rsid w:val="00226244"/>
    <w:rsid w:val="002262CC"/>
    <w:rsid w:val="00226849"/>
    <w:rsid w:val="00227C87"/>
    <w:rsid w:val="00227E1B"/>
    <w:rsid w:val="00227F0E"/>
    <w:rsid w:val="00230B27"/>
    <w:rsid w:val="002313FD"/>
    <w:rsid w:val="00232519"/>
    <w:rsid w:val="00233830"/>
    <w:rsid w:val="00233FE1"/>
    <w:rsid w:val="002351D7"/>
    <w:rsid w:val="00235599"/>
    <w:rsid w:val="00236112"/>
    <w:rsid w:val="00236129"/>
    <w:rsid w:val="00236133"/>
    <w:rsid w:val="002361AA"/>
    <w:rsid w:val="002405F7"/>
    <w:rsid w:val="00240811"/>
    <w:rsid w:val="00240C45"/>
    <w:rsid w:val="00241763"/>
    <w:rsid w:val="00241D6F"/>
    <w:rsid w:val="0024218B"/>
    <w:rsid w:val="00242308"/>
    <w:rsid w:val="0024279D"/>
    <w:rsid w:val="00242D2E"/>
    <w:rsid w:val="00243416"/>
    <w:rsid w:val="00243589"/>
    <w:rsid w:val="00244800"/>
    <w:rsid w:val="00244A74"/>
    <w:rsid w:val="00245B74"/>
    <w:rsid w:val="002464D9"/>
    <w:rsid w:val="00246B45"/>
    <w:rsid w:val="00246D07"/>
    <w:rsid w:val="00246EEC"/>
    <w:rsid w:val="00250070"/>
    <w:rsid w:val="0025066A"/>
    <w:rsid w:val="002510CA"/>
    <w:rsid w:val="002512E8"/>
    <w:rsid w:val="00251489"/>
    <w:rsid w:val="00251AEA"/>
    <w:rsid w:val="00253426"/>
    <w:rsid w:val="002539D1"/>
    <w:rsid w:val="00254168"/>
    <w:rsid w:val="00254358"/>
    <w:rsid w:val="00254B15"/>
    <w:rsid w:val="00255683"/>
    <w:rsid w:val="002558C0"/>
    <w:rsid w:val="00255B72"/>
    <w:rsid w:val="00255F1F"/>
    <w:rsid w:val="00256366"/>
    <w:rsid w:val="00256B1B"/>
    <w:rsid w:val="002578F4"/>
    <w:rsid w:val="00257E15"/>
    <w:rsid w:val="0026049C"/>
    <w:rsid w:val="002616BC"/>
    <w:rsid w:val="0026229C"/>
    <w:rsid w:val="002623FB"/>
    <w:rsid w:val="002625FC"/>
    <w:rsid w:val="00262DAC"/>
    <w:rsid w:val="00262F34"/>
    <w:rsid w:val="00263427"/>
    <w:rsid w:val="002636CE"/>
    <w:rsid w:val="00263BAC"/>
    <w:rsid w:val="00263F3D"/>
    <w:rsid w:val="0026402D"/>
    <w:rsid w:val="00264CD0"/>
    <w:rsid w:val="00264D34"/>
    <w:rsid w:val="0026530C"/>
    <w:rsid w:val="002654FC"/>
    <w:rsid w:val="00265C96"/>
    <w:rsid w:val="00271B16"/>
    <w:rsid w:val="00272644"/>
    <w:rsid w:val="00273A76"/>
    <w:rsid w:val="00273E62"/>
    <w:rsid w:val="00274C7A"/>
    <w:rsid w:val="002750FB"/>
    <w:rsid w:val="00275134"/>
    <w:rsid w:val="00276479"/>
    <w:rsid w:val="002766CD"/>
    <w:rsid w:val="00276933"/>
    <w:rsid w:val="00276A4C"/>
    <w:rsid w:val="00276BD3"/>
    <w:rsid w:val="00276FD7"/>
    <w:rsid w:val="0027712B"/>
    <w:rsid w:val="00277184"/>
    <w:rsid w:val="00277EDF"/>
    <w:rsid w:val="00280A67"/>
    <w:rsid w:val="00281606"/>
    <w:rsid w:val="00281907"/>
    <w:rsid w:val="00281AF0"/>
    <w:rsid w:val="00282622"/>
    <w:rsid w:val="0028436E"/>
    <w:rsid w:val="0028449F"/>
    <w:rsid w:val="002848A5"/>
    <w:rsid w:val="00284A7D"/>
    <w:rsid w:val="002856A9"/>
    <w:rsid w:val="00285C2A"/>
    <w:rsid w:val="00286012"/>
    <w:rsid w:val="00286240"/>
    <w:rsid w:val="00286369"/>
    <w:rsid w:val="00286A82"/>
    <w:rsid w:val="00286E85"/>
    <w:rsid w:val="00290A64"/>
    <w:rsid w:val="00290FB1"/>
    <w:rsid w:val="0029147A"/>
    <w:rsid w:val="00291F4B"/>
    <w:rsid w:val="0029201B"/>
    <w:rsid w:val="0029215F"/>
    <w:rsid w:val="00292279"/>
    <w:rsid w:val="00292390"/>
    <w:rsid w:val="0029305B"/>
    <w:rsid w:val="002938A3"/>
    <w:rsid w:val="00293A01"/>
    <w:rsid w:val="00293C09"/>
    <w:rsid w:val="00294EC3"/>
    <w:rsid w:val="0029542E"/>
    <w:rsid w:val="0029544C"/>
    <w:rsid w:val="00295ACE"/>
    <w:rsid w:val="00295C96"/>
    <w:rsid w:val="00295E05"/>
    <w:rsid w:val="00296A09"/>
    <w:rsid w:val="00296B32"/>
    <w:rsid w:val="002972D2"/>
    <w:rsid w:val="002973B3"/>
    <w:rsid w:val="00297507"/>
    <w:rsid w:val="002975F6"/>
    <w:rsid w:val="00297882"/>
    <w:rsid w:val="002A0535"/>
    <w:rsid w:val="002A0F69"/>
    <w:rsid w:val="002A17CD"/>
    <w:rsid w:val="002A2B9B"/>
    <w:rsid w:val="002A37D8"/>
    <w:rsid w:val="002A3ADF"/>
    <w:rsid w:val="002A4367"/>
    <w:rsid w:val="002A45B4"/>
    <w:rsid w:val="002A4B8E"/>
    <w:rsid w:val="002A5764"/>
    <w:rsid w:val="002A5B43"/>
    <w:rsid w:val="002A5BE4"/>
    <w:rsid w:val="002A67E8"/>
    <w:rsid w:val="002A7812"/>
    <w:rsid w:val="002A7D59"/>
    <w:rsid w:val="002B035B"/>
    <w:rsid w:val="002B071D"/>
    <w:rsid w:val="002B09DA"/>
    <w:rsid w:val="002B0D74"/>
    <w:rsid w:val="002B1124"/>
    <w:rsid w:val="002B2188"/>
    <w:rsid w:val="002B38A7"/>
    <w:rsid w:val="002B3B95"/>
    <w:rsid w:val="002B4203"/>
    <w:rsid w:val="002B4400"/>
    <w:rsid w:val="002B4FD0"/>
    <w:rsid w:val="002B52B7"/>
    <w:rsid w:val="002B542D"/>
    <w:rsid w:val="002B574B"/>
    <w:rsid w:val="002B5FBB"/>
    <w:rsid w:val="002B6A38"/>
    <w:rsid w:val="002B6D91"/>
    <w:rsid w:val="002B71DA"/>
    <w:rsid w:val="002B78ED"/>
    <w:rsid w:val="002B7C4B"/>
    <w:rsid w:val="002C06F8"/>
    <w:rsid w:val="002C0B80"/>
    <w:rsid w:val="002C1180"/>
    <w:rsid w:val="002C1902"/>
    <w:rsid w:val="002C20C2"/>
    <w:rsid w:val="002C309F"/>
    <w:rsid w:val="002C346D"/>
    <w:rsid w:val="002C391A"/>
    <w:rsid w:val="002C3A1B"/>
    <w:rsid w:val="002C3D2E"/>
    <w:rsid w:val="002C40AE"/>
    <w:rsid w:val="002C4883"/>
    <w:rsid w:val="002C4E90"/>
    <w:rsid w:val="002C526B"/>
    <w:rsid w:val="002C5349"/>
    <w:rsid w:val="002C6180"/>
    <w:rsid w:val="002C6653"/>
    <w:rsid w:val="002C6AE3"/>
    <w:rsid w:val="002C6DA7"/>
    <w:rsid w:val="002C7066"/>
    <w:rsid w:val="002C73F0"/>
    <w:rsid w:val="002C7C26"/>
    <w:rsid w:val="002D015F"/>
    <w:rsid w:val="002D08C5"/>
    <w:rsid w:val="002D0EA6"/>
    <w:rsid w:val="002D2314"/>
    <w:rsid w:val="002D25D7"/>
    <w:rsid w:val="002D26A1"/>
    <w:rsid w:val="002D29F0"/>
    <w:rsid w:val="002D2DD5"/>
    <w:rsid w:val="002D3FCE"/>
    <w:rsid w:val="002D4E7D"/>
    <w:rsid w:val="002D521A"/>
    <w:rsid w:val="002D542E"/>
    <w:rsid w:val="002D5949"/>
    <w:rsid w:val="002D61AB"/>
    <w:rsid w:val="002D6480"/>
    <w:rsid w:val="002D6A58"/>
    <w:rsid w:val="002D6CA4"/>
    <w:rsid w:val="002D7502"/>
    <w:rsid w:val="002D770B"/>
    <w:rsid w:val="002E067E"/>
    <w:rsid w:val="002E1783"/>
    <w:rsid w:val="002E1837"/>
    <w:rsid w:val="002E2C1F"/>
    <w:rsid w:val="002E306F"/>
    <w:rsid w:val="002E313B"/>
    <w:rsid w:val="002E3E08"/>
    <w:rsid w:val="002E44F0"/>
    <w:rsid w:val="002E4DFA"/>
    <w:rsid w:val="002E5147"/>
    <w:rsid w:val="002E5848"/>
    <w:rsid w:val="002E5FE1"/>
    <w:rsid w:val="002E6688"/>
    <w:rsid w:val="002E729F"/>
    <w:rsid w:val="002E78CC"/>
    <w:rsid w:val="002E7BF0"/>
    <w:rsid w:val="002E7F8A"/>
    <w:rsid w:val="002F036C"/>
    <w:rsid w:val="002F2A72"/>
    <w:rsid w:val="002F31B7"/>
    <w:rsid w:val="002F3C30"/>
    <w:rsid w:val="002F4C40"/>
    <w:rsid w:val="002F4E38"/>
    <w:rsid w:val="002F55DA"/>
    <w:rsid w:val="002F6245"/>
    <w:rsid w:val="002F6FDC"/>
    <w:rsid w:val="002F7688"/>
    <w:rsid w:val="00302413"/>
    <w:rsid w:val="003031F6"/>
    <w:rsid w:val="003042A2"/>
    <w:rsid w:val="00304C0C"/>
    <w:rsid w:val="0030565A"/>
    <w:rsid w:val="003067F6"/>
    <w:rsid w:val="00306C14"/>
    <w:rsid w:val="003076B0"/>
    <w:rsid w:val="003100F4"/>
    <w:rsid w:val="003107ED"/>
    <w:rsid w:val="00310932"/>
    <w:rsid w:val="003115B0"/>
    <w:rsid w:val="00311733"/>
    <w:rsid w:val="00311738"/>
    <w:rsid w:val="00311746"/>
    <w:rsid w:val="00311776"/>
    <w:rsid w:val="003126FF"/>
    <w:rsid w:val="003135BD"/>
    <w:rsid w:val="00314D66"/>
    <w:rsid w:val="003151F0"/>
    <w:rsid w:val="003153D4"/>
    <w:rsid w:val="003157A9"/>
    <w:rsid w:val="00316F2F"/>
    <w:rsid w:val="00317BA4"/>
    <w:rsid w:val="00317F45"/>
    <w:rsid w:val="00320E46"/>
    <w:rsid w:val="00321443"/>
    <w:rsid w:val="00321CA1"/>
    <w:rsid w:val="00321DE7"/>
    <w:rsid w:val="0032234A"/>
    <w:rsid w:val="00322E7C"/>
    <w:rsid w:val="0032351A"/>
    <w:rsid w:val="0032356E"/>
    <w:rsid w:val="00323901"/>
    <w:rsid w:val="00323A2F"/>
    <w:rsid w:val="00323A75"/>
    <w:rsid w:val="00324801"/>
    <w:rsid w:val="00324F0B"/>
    <w:rsid w:val="00326942"/>
    <w:rsid w:val="00326A50"/>
    <w:rsid w:val="00330162"/>
    <w:rsid w:val="003303D4"/>
    <w:rsid w:val="00330A4F"/>
    <w:rsid w:val="00330F2F"/>
    <w:rsid w:val="00330FB5"/>
    <w:rsid w:val="003313BC"/>
    <w:rsid w:val="0033208C"/>
    <w:rsid w:val="00332794"/>
    <w:rsid w:val="0033452C"/>
    <w:rsid w:val="00334B0E"/>
    <w:rsid w:val="00335227"/>
    <w:rsid w:val="00335633"/>
    <w:rsid w:val="00335EA3"/>
    <w:rsid w:val="0033605B"/>
    <w:rsid w:val="003365C1"/>
    <w:rsid w:val="00336B49"/>
    <w:rsid w:val="00336CE0"/>
    <w:rsid w:val="003373EC"/>
    <w:rsid w:val="00337524"/>
    <w:rsid w:val="00340679"/>
    <w:rsid w:val="00340E65"/>
    <w:rsid w:val="00341764"/>
    <w:rsid w:val="00341C74"/>
    <w:rsid w:val="00342742"/>
    <w:rsid w:val="00342761"/>
    <w:rsid w:val="00342DFB"/>
    <w:rsid w:val="00342FB5"/>
    <w:rsid w:val="00343265"/>
    <w:rsid w:val="0034362E"/>
    <w:rsid w:val="00343B4E"/>
    <w:rsid w:val="00343FB6"/>
    <w:rsid w:val="00344470"/>
    <w:rsid w:val="003447B7"/>
    <w:rsid w:val="00344F37"/>
    <w:rsid w:val="0034592F"/>
    <w:rsid w:val="00345EC5"/>
    <w:rsid w:val="00346243"/>
    <w:rsid w:val="00346307"/>
    <w:rsid w:val="00346A5B"/>
    <w:rsid w:val="00347436"/>
    <w:rsid w:val="00347D70"/>
    <w:rsid w:val="00350117"/>
    <w:rsid w:val="00350D6D"/>
    <w:rsid w:val="00350E43"/>
    <w:rsid w:val="00351AD6"/>
    <w:rsid w:val="00351B7A"/>
    <w:rsid w:val="00352294"/>
    <w:rsid w:val="00352804"/>
    <w:rsid w:val="003536BF"/>
    <w:rsid w:val="00353C82"/>
    <w:rsid w:val="00353CE0"/>
    <w:rsid w:val="00353E75"/>
    <w:rsid w:val="00354229"/>
    <w:rsid w:val="00355363"/>
    <w:rsid w:val="00355466"/>
    <w:rsid w:val="003559C7"/>
    <w:rsid w:val="00355DAD"/>
    <w:rsid w:val="00355EFF"/>
    <w:rsid w:val="00355F39"/>
    <w:rsid w:val="00355F5A"/>
    <w:rsid w:val="003575E8"/>
    <w:rsid w:val="003576BF"/>
    <w:rsid w:val="003600DF"/>
    <w:rsid w:val="0036112F"/>
    <w:rsid w:val="003612D1"/>
    <w:rsid w:val="00361E6B"/>
    <w:rsid w:val="003620A2"/>
    <w:rsid w:val="0036275A"/>
    <w:rsid w:val="00362955"/>
    <w:rsid w:val="00363127"/>
    <w:rsid w:val="003633F5"/>
    <w:rsid w:val="0036470E"/>
    <w:rsid w:val="00364F30"/>
    <w:rsid w:val="003653A5"/>
    <w:rsid w:val="00365997"/>
    <w:rsid w:val="00365D13"/>
    <w:rsid w:val="00365DD1"/>
    <w:rsid w:val="00366152"/>
    <w:rsid w:val="003662A2"/>
    <w:rsid w:val="0036642D"/>
    <w:rsid w:val="00367DCE"/>
    <w:rsid w:val="00367EB0"/>
    <w:rsid w:val="003702DD"/>
    <w:rsid w:val="00370723"/>
    <w:rsid w:val="0037144A"/>
    <w:rsid w:val="00371E41"/>
    <w:rsid w:val="003725BA"/>
    <w:rsid w:val="003725CD"/>
    <w:rsid w:val="003727F0"/>
    <w:rsid w:val="00372B81"/>
    <w:rsid w:val="00372CA1"/>
    <w:rsid w:val="00374CE3"/>
    <w:rsid w:val="0037578E"/>
    <w:rsid w:val="00376208"/>
    <w:rsid w:val="00376989"/>
    <w:rsid w:val="003769E1"/>
    <w:rsid w:val="00376D4C"/>
    <w:rsid w:val="00376F93"/>
    <w:rsid w:val="00377016"/>
    <w:rsid w:val="0037772A"/>
    <w:rsid w:val="00377852"/>
    <w:rsid w:val="0038012D"/>
    <w:rsid w:val="00380377"/>
    <w:rsid w:val="0038100B"/>
    <w:rsid w:val="0038205B"/>
    <w:rsid w:val="0038251A"/>
    <w:rsid w:val="003828F9"/>
    <w:rsid w:val="00383776"/>
    <w:rsid w:val="00383885"/>
    <w:rsid w:val="00383F85"/>
    <w:rsid w:val="0038452C"/>
    <w:rsid w:val="00385359"/>
    <w:rsid w:val="00386A54"/>
    <w:rsid w:val="00386C25"/>
    <w:rsid w:val="00386C7F"/>
    <w:rsid w:val="00387007"/>
    <w:rsid w:val="003872F6"/>
    <w:rsid w:val="00387653"/>
    <w:rsid w:val="003879CA"/>
    <w:rsid w:val="00390A37"/>
    <w:rsid w:val="00392142"/>
    <w:rsid w:val="00392C0B"/>
    <w:rsid w:val="0039319C"/>
    <w:rsid w:val="003933E7"/>
    <w:rsid w:val="00393855"/>
    <w:rsid w:val="003941F4"/>
    <w:rsid w:val="00394E73"/>
    <w:rsid w:val="00395AEF"/>
    <w:rsid w:val="00395B9C"/>
    <w:rsid w:val="00396514"/>
    <w:rsid w:val="003969B7"/>
    <w:rsid w:val="003A08DA"/>
    <w:rsid w:val="003A0E7D"/>
    <w:rsid w:val="003A1008"/>
    <w:rsid w:val="003A198C"/>
    <w:rsid w:val="003A1A16"/>
    <w:rsid w:val="003A2050"/>
    <w:rsid w:val="003A2A25"/>
    <w:rsid w:val="003A2C32"/>
    <w:rsid w:val="003A38F5"/>
    <w:rsid w:val="003A399F"/>
    <w:rsid w:val="003A4100"/>
    <w:rsid w:val="003A47F3"/>
    <w:rsid w:val="003A4FB3"/>
    <w:rsid w:val="003A522D"/>
    <w:rsid w:val="003A5ECA"/>
    <w:rsid w:val="003A61DD"/>
    <w:rsid w:val="003A74FE"/>
    <w:rsid w:val="003A7959"/>
    <w:rsid w:val="003B13E8"/>
    <w:rsid w:val="003B306C"/>
    <w:rsid w:val="003B39E5"/>
    <w:rsid w:val="003B3BC2"/>
    <w:rsid w:val="003B4864"/>
    <w:rsid w:val="003B4CA1"/>
    <w:rsid w:val="003B565D"/>
    <w:rsid w:val="003B5F64"/>
    <w:rsid w:val="003B6D20"/>
    <w:rsid w:val="003B6F7B"/>
    <w:rsid w:val="003B7539"/>
    <w:rsid w:val="003C1C5E"/>
    <w:rsid w:val="003C2003"/>
    <w:rsid w:val="003C3B48"/>
    <w:rsid w:val="003C41CF"/>
    <w:rsid w:val="003C4767"/>
    <w:rsid w:val="003C566D"/>
    <w:rsid w:val="003C68FE"/>
    <w:rsid w:val="003C6B79"/>
    <w:rsid w:val="003C6DC7"/>
    <w:rsid w:val="003C70AC"/>
    <w:rsid w:val="003C7E23"/>
    <w:rsid w:val="003D090A"/>
    <w:rsid w:val="003D0D72"/>
    <w:rsid w:val="003D13C8"/>
    <w:rsid w:val="003D16A0"/>
    <w:rsid w:val="003D2363"/>
    <w:rsid w:val="003D328A"/>
    <w:rsid w:val="003D400F"/>
    <w:rsid w:val="003D43FF"/>
    <w:rsid w:val="003D4BB3"/>
    <w:rsid w:val="003D4F63"/>
    <w:rsid w:val="003D548B"/>
    <w:rsid w:val="003D59E0"/>
    <w:rsid w:val="003D5ADC"/>
    <w:rsid w:val="003D639E"/>
    <w:rsid w:val="003D68DE"/>
    <w:rsid w:val="003D6B3C"/>
    <w:rsid w:val="003D72B6"/>
    <w:rsid w:val="003D7CD5"/>
    <w:rsid w:val="003E01B1"/>
    <w:rsid w:val="003E049F"/>
    <w:rsid w:val="003E06D4"/>
    <w:rsid w:val="003E0813"/>
    <w:rsid w:val="003E0AD2"/>
    <w:rsid w:val="003E0B9B"/>
    <w:rsid w:val="003E1979"/>
    <w:rsid w:val="003E1D5F"/>
    <w:rsid w:val="003E2675"/>
    <w:rsid w:val="003E2DA4"/>
    <w:rsid w:val="003E3BA2"/>
    <w:rsid w:val="003E447E"/>
    <w:rsid w:val="003E477D"/>
    <w:rsid w:val="003E4E67"/>
    <w:rsid w:val="003E4F6D"/>
    <w:rsid w:val="003E52FE"/>
    <w:rsid w:val="003E5590"/>
    <w:rsid w:val="003E62DE"/>
    <w:rsid w:val="003E6742"/>
    <w:rsid w:val="003E70FD"/>
    <w:rsid w:val="003E73BE"/>
    <w:rsid w:val="003E7975"/>
    <w:rsid w:val="003E7E0C"/>
    <w:rsid w:val="003F09AB"/>
    <w:rsid w:val="003F30C4"/>
    <w:rsid w:val="003F368B"/>
    <w:rsid w:val="003F3B69"/>
    <w:rsid w:val="003F4A93"/>
    <w:rsid w:val="003F4E62"/>
    <w:rsid w:val="003F4F16"/>
    <w:rsid w:val="003F74DC"/>
    <w:rsid w:val="003F7742"/>
    <w:rsid w:val="003F77A1"/>
    <w:rsid w:val="004003E7"/>
    <w:rsid w:val="00400DB7"/>
    <w:rsid w:val="0040140B"/>
    <w:rsid w:val="00402D10"/>
    <w:rsid w:val="00403599"/>
    <w:rsid w:val="004040B1"/>
    <w:rsid w:val="00404BD8"/>
    <w:rsid w:val="00404CD9"/>
    <w:rsid w:val="004059D5"/>
    <w:rsid w:val="00405FB0"/>
    <w:rsid w:val="00406685"/>
    <w:rsid w:val="00406693"/>
    <w:rsid w:val="0040730C"/>
    <w:rsid w:val="004078BF"/>
    <w:rsid w:val="004079FB"/>
    <w:rsid w:val="00407FF1"/>
    <w:rsid w:val="00410CE4"/>
    <w:rsid w:val="0041179A"/>
    <w:rsid w:val="004117B3"/>
    <w:rsid w:val="0041187D"/>
    <w:rsid w:val="00411DCB"/>
    <w:rsid w:val="004128DA"/>
    <w:rsid w:val="00412FDE"/>
    <w:rsid w:val="00413055"/>
    <w:rsid w:val="004131C3"/>
    <w:rsid w:val="00413FF8"/>
    <w:rsid w:val="00414FDF"/>
    <w:rsid w:val="004150D8"/>
    <w:rsid w:val="00415C95"/>
    <w:rsid w:val="00415D4E"/>
    <w:rsid w:val="004165B0"/>
    <w:rsid w:val="00416FA0"/>
    <w:rsid w:val="00417126"/>
    <w:rsid w:val="004173B1"/>
    <w:rsid w:val="004211D0"/>
    <w:rsid w:val="004219DF"/>
    <w:rsid w:val="00421C9B"/>
    <w:rsid w:val="00421DAB"/>
    <w:rsid w:val="00421F67"/>
    <w:rsid w:val="00421FC3"/>
    <w:rsid w:val="0042221F"/>
    <w:rsid w:val="004228C1"/>
    <w:rsid w:val="004241A5"/>
    <w:rsid w:val="004242AF"/>
    <w:rsid w:val="00425929"/>
    <w:rsid w:val="00425B6B"/>
    <w:rsid w:val="00425D15"/>
    <w:rsid w:val="00426EE4"/>
    <w:rsid w:val="00427017"/>
    <w:rsid w:val="004274D9"/>
    <w:rsid w:val="00427C42"/>
    <w:rsid w:val="00430676"/>
    <w:rsid w:val="004311D7"/>
    <w:rsid w:val="00431756"/>
    <w:rsid w:val="004331BB"/>
    <w:rsid w:val="004335BB"/>
    <w:rsid w:val="00433A37"/>
    <w:rsid w:val="00434A2A"/>
    <w:rsid w:val="00434B9D"/>
    <w:rsid w:val="004354A5"/>
    <w:rsid w:val="00436528"/>
    <w:rsid w:val="00436881"/>
    <w:rsid w:val="0043693B"/>
    <w:rsid w:val="0043725E"/>
    <w:rsid w:val="00437935"/>
    <w:rsid w:val="00437A7F"/>
    <w:rsid w:val="00440DB6"/>
    <w:rsid w:val="00440F81"/>
    <w:rsid w:val="004414D1"/>
    <w:rsid w:val="004417FB"/>
    <w:rsid w:val="00441B04"/>
    <w:rsid w:val="00441D38"/>
    <w:rsid w:val="004420B0"/>
    <w:rsid w:val="004424BF"/>
    <w:rsid w:val="00442F6C"/>
    <w:rsid w:val="00443508"/>
    <w:rsid w:val="004447CF"/>
    <w:rsid w:val="00444836"/>
    <w:rsid w:val="00444E21"/>
    <w:rsid w:val="00444E6C"/>
    <w:rsid w:val="00444F9B"/>
    <w:rsid w:val="0044503A"/>
    <w:rsid w:val="00445499"/>
    <w:rsid w:val="0045025A"/>
    <w:rsid w:val="00450261"/>
    <w:rsid w:val="00450F5E"/>
    <w:rsid w:val="0045237B"/>
    <w:rsid w:val="00452B4B"/>
    <w:rsid w:val="00453E2D"/>
    <w:rsid w:val="0045471F"/>
    <w:rsid w:val="0045518B"/>
    <w:rsid w:val="004553C3"/>
    <w:rsid w:val="00455B45"/>
    <w:rsid w:val="00455E03"/>
    <w:rsid w:val="00455F7E"/>
    <w:rsid w:val="00456A34"/>
    <w:rsid w:val="00456AAA"/>
    <w:rsid w:val="004575AF"/>
    <w:rsid w:val="00457DA5"/>
    <w:rsid w:val="00457FDB"/>
    <w:rsid w:val="00460140"/>
    <w:rsid w:val="0046029F"/>
    <w:rsid w:val="004602BA"/>
    <w:rsid w:val="00460796"/>
    <w:rsid w:val="00461019"/>
    <w:rsid w:val="0046130C"/>
    <w:rsid w:val="00461A67"/>
    <w:rsid w:val="00461B88"/>
    <w:rsid w:val="00462094"/>
    <w:rsid w:val="004625A9"/>
    <w:rsid w:val="0046272E"/>
    <w:rsid w:val="0046292A"/>
    <w:rsid w:val="004635C4"/>
    <w:rsid w:val="0046363A"/>
    <w:rsid w:val="00463E92"/>
    <w:rsid w:val="0046448C"/>
    <w:rsid w:val="004648FA"/>
    <w:rsid w:val="00464A4C"/>
    <w:rsid w:val="0046526D"/>
    <w:rsid w:val="004661F6"/>
    <w:rsid w:val="00467362"/>
    <w:rsid w:val="0047095F"/>
    <w:rsid w:val="004709E3"/>
    <w:rsid w:val="00470FD7"/>
    <w:rsid w:val="00471AC9"/>
    <w:rsid w:val="00471E31"/>
    <w:rsid w:val="00471FDC"/>
    <w:rsid w:val="0047249B"/>
    <w:rsid w:val="004740BD"/>
    <w:rsid w:val="0047523F"/>
    <w:rsid w:val="00475241"/>
    <w:rsid w:val="00475B38"/>
    <w:rsid w:val="0047712F"/>
    <w:rsid w:val="00477FA6"/>
    <w:rsid w:val="00482C95"/>
    <w:rsid w:val="00483DB8"/>
    <w:rsid w:val="0048412C"/>
    <w:rsid w:val="0048428B"/>
    <w:rsid w:val="00484CFA"/>
    <w:rsid w:val="004852BA"/>
    <w:rsid w:val="0048610C"/>
    <w:rsid w:val="0048642C"/>
    <w:rsid w:val="0048761D"/>
    <w:rsid w:val="0049071F"/>
    <w:rsid w:val="0049082D"/>
    <w:rsid w:val="00491608"/>
    <w:rsid w:val="00491F92"/>
    <w:rsid w:val="004926AD"/>
    <w:rsid w:val="00492CEC"/>
    <w:rsid w:val="00492DD4"/>
    <w:rsid w:val="00492FAE"/>
    <w:rsid w:val="00493A5A"/>
    <w:rsid w:val="00494A38"/>
    <w:rsid w:val="0049517E"/>
    <w:rsid w:val="0049577F"/>
    <w:rsid w:val="00496021"/>
    <w:rsid w:val="004963CB"/>
    <w:rsid w:val="004973AB"/>
    <w:rsid w:val="004A0685"/>
    <w:rsid w:val="004A0B2E"/>
    <w:rsid w:val="004A0F03"/>
    <w:rsid w:val="004A1A7E"/>
    <w:rsid w:val="004A1D5A"/>
    <w:rsid w:val="004A288B"/>
    <w:rsid w:val="004A39DF"/>
    <w:rsid w:val="004A3C1D"/>
    <w:rsid w:val="004A427B"/>
    <w:rsid w:val="004A4A48"/>
    <w:rsid w:val="004A50A5"/>
    <w:rsid w:val="004A5955"/>
    <w:rsid w:val="004A5C29"/>
    <w:rsid w:val="004A622A"/>
    <w:rsid w:val="004A6A34"/>
    <w:rsid w:val="004A6CFC"/>
    <w:rsid w:val="004B008A"/>
    <w:rsid w:val="004B011F"/>
    <w:rsid w:val="004B09C6"/>
    <w:rsid w:val="004B184A"/>
    <w:rsid w:val="004B2043"/>
    <w:rsid w:val="004B211C"/>
    <w:rsid w:val="004B2161"/>
    <w:rsid w:val="004B22B1"/>
    <w:rsid w:val="004B2354"/>
    <w:rsid w:val="004B44C6"/>
    <w:rsid w:val="004B5381"/>
    <w:rsid w:val="004B68AF"/>
    <w:rsid w:val="004B74C1"/>
    <w:rsid w:val="004B7E6A"/>
    <w:rsid w:val="004C02DF"/>
    <w:rsid w:val="004C1E89"/>
    <w:rsid w:val="004C2703"/>
    <w:rsid w:val="004C276E"/>
    <w:rsid w:val="004C2D67"/>
    <w:rsid w:val="004C5323"/>
    <w:rsid w:val="004C5845"/>
    <w:rsid w:val="004C5A3B"/>
    <w:rsid w:val="004C5AAA"/>
    <w:rsid w:val="004C5F55"/>
    <w:rsid w:val="004C6261"/>
    <w:rsid w:val="004C7788"/>
    <w:rsid w:val="004C79B8"/>
    <w:rsid w:val="004D016E"/>
    <w:rsid w:val="004D0CD7"/>
    <w:rsid w:val="004D0EF8"/>
    <w:rsid w:val="004D3143"/>
    <w:rsid w:val="004D3B06"/>
    <w:rsid w:val="004D3B8A"/>
    <w:rsid w:val="004D3FD7"/>
    <w:rsid w:val="004D4828"/>
    <w:rsid w:val="004D508A"/>
    <w:rsid w:val="004D6F35"/>
    <w:rsid w:val="004E0122"/>
    <w:rsid w:val="004E058E"/>
    <w:rsid w:val="004E0E98"/>
    <w:rsid w:val="004E13DD"/>
    <w:rsid w:val="004E1A5E"/>
    <w:rsid w:val="004E1AC9"/>
    <w:rsid w:val="004E1B17"/>
    <w:rsid w:val="004E1F00"/>
    <w:rsid w:val="004E2FBF"/>
    <w:rsid w:val="004E34FF"/>
    <w:rsid w:val="004E35CD"/>
    <w:rsid w:val="004E3607"/>
    <w:rsid w:val="004E4506"/>
    <w:rsid w:val="004E45A4"/>
    <w:rsid w:val="004E5516"/>
    <w:rsid w:val="004E566E"/>
    <w:rsid w:val="004E69D4"/>
    <w:rsid w:val="004E7C8F"/>
    <w:rsid w:val="004F0FD3"/>
    <w:rsid w:val="004F186C"/>
    <w:rsid w:val="004F1A31"/>
    <w:rsid w:val="004F1F4F"/>
    <w:rsid w:val="004F22BC"/>
    <w:rsid w:val="004F2D00"/>
    <w:rsid w:val="004F35EE"/>
    <w:rsid w:val="004F3631"/>
    <w:rsid w:val="004F3666"/>
    <w:rsid w:val="004F3A22"/>
    <w:rsid w:val="004F3BFC"/>
    <w:rsid w:val="004F44FB"/>
    <w:rsid w:val="004F4DCD"/>
    <w:rsid w:val="004F622D"/>
    <w:rsid w:val="004F7137"/>
    <w:rsid w:val="004F7633"/>
    <w:rsid w:val="00500012"/>
    <w:rsid w:val="00500603"/>
    <w:rsid w:val="005006FD"/>
    <w:rsid w:val="00500F09"/>
    <w:rsid w:val="0050187F"/>
    <w:rsid w:val="00501C9C"/>
    <w:rsid w:val="00501CA0"/>
    <w:rsid w:val="00501F7C"/>
    <w:rsid w:val="00503241"/>
    <w:rsid w:val="00503824"/>
    <w:rsid w:val="0050435B"/>
    <w:rsid w:val="00504684"/>
    <w:rsid w:val="00504862"/>
    <w:rsid w:val="00505060"/>
    <w:rsid w:val="00506849"/>
    <w:rsid w:val="00506D67"/>
    <w:rsid w:val="005119C7"/>
    <w:rsid w:val="00511F50"/>
    <w:rsid w:val="005123F3"/>
    <w:rsid w:val="0051270B"/>
    <w:rsid w:val="00513715"/>
    <w:rsid w:val="00514000"/>
    <w:rsid w:val="0051421C"/>
    <w:rsid w:val="00514E39"/>
    <w:rsid w:val="005152AA"/>
    <w:rsid w:val="00515863"/>
    <w:rsid w:val="00515C33"/>
    <w:rsid w:val="00520A6D"/>
    <w:rsid w:val="00521849"/>
    <w:rsid w:val="005227B4"/>
    <w:rsid w:val="005227C0"/>
    <w:rsid w:val="00523118"/>
    <w:rsid w:val="005232E4"/>
    <w:rsid w:val="005233A2"/>
    <w:rsid w:val="00524CF7"/>
    <w:rsid w:val="005252D0"/>
    <w:rsid w:val="00525702"/>
    <w:rsid w:val="005261CD"/>
    <w:rsid w:val="0052627E"/>
    <w:rsid w:val="00526904"/>
    <w:rsid w:val="00526DD2"/>
    <w:rsid w:val="00526DF5"/>
    <w:rsid w:val="00527DD6"/>
    <w:rsid w:val="00527F24"/>
    <w:rsid w:val="00530A91"/>
    <w:rsid w:val="00530D29"/>
    <w:rsid w:val="00530DAB"/>
    <w:rsid w:val="00531EF1"/>
    <w:rsid w:val="005327F3"/>
    <w:rsid w:val="005338A1"/>
    <w:rsid w:val="00533999"/>
    <w:rsid w:val="00533C15"/>
    <w:rsid w:val="00533D78"/>
    <w:rsid w:val="00534202"/>
    <w:rsid w:val="005342E2"/>
    <w:rsid w:val="005351A4"/>
    <w:rsid w:val="00536D4C"/>
    <w:rsid w:val="00540FA4"/>
    <w:rsid w:val="005411D6"/>
    <w:rsid w:val="005418E3"/>
    <w:rsid w:val="00541D3E"/>
    <w:rsid w:val="00542A1E"/>
    <w:rsid w:val="00542BDF"/>
    <w:rsid w:val="00542F18"/>
    <w:rsid w:val="005433FF"/>
    <w:rsid w:val="005436BC"/>
    <w:rsid w:val="00543726"/>
    <w:rsid w:val="00543A91"/>
    <w:rsid w:val="00543B9F"/>
    <w:rsid w:val="00543C3F"/>
    <w:rsid w:val="005444F8"/>
    <w:rsid w:val="00544637"/>
    <w:rsid w:val="00545B05"/>
    <w:rsid w:val="00545DA0"/>
    <w:rsid w:val="005464A6"/>
    <w:rsid w:val="00547263"/>
    <w:rsid w:val="00547FA6"/>
    <w:rsid w:val="00550E4B"/>
    <w:rsid w:val="0055157F"/>
    <w:rsid w:val="00551F98"/>
    <w:rsid w:val="005522BE"/>
    <w:rsid w:val="00552691"/>
    <w:rsid w:val="00553765"/>
    <w:rsid w:val="00553CD8"/>
    <w:rsid w:val="00553F8D"/>
    <w:rsid w:val="00554800"/>
    <w:rsid w:val="00554C5B"/>
    <w:rsid w:val="0055539B"/>
    <w:rsid w:val="00555B1D"/>
    <w:rsid w:val="00555C62"/>
    <w:rsid w:val="00556444"/>
    <w:rsid w:val="005564E6"/>
    <w:rsid w:val="005607A7"/>
    <w:rsid w:val="005608B8"/>
    <w:rsid w:val="0056098A"/>
    <w:rsid w:val="00560D3D"/>
    <w:rsid w:val="00560DAC"/>
    <w:rsid w:val="00561449"/>
    <w:rsid w:val="00562349"/>
    <w:rsid w:val="00562A21"/>
    <w:rsid w:val="00562EC3"/>
    <w:rsid w:val="00563089"/>
    <w:rsid w:val="00563A02"/>
    <w:rsid w:val="005645E7"/>
    <w:rsid w:val="0056522F"/>
    <w:rsid w:val="0056532F"/>
    <w:rsid w:val="00565610"/>
    <w:rsid w:val="005657DF"/>
    <w:rsid w:val="00565DF6"/>
    <w:rsid w:val="0056609A"/>
    <w:rsid w:val="00566496"/>
    <w:rsid w:val="005664DC"/>
    <w:rsid w:val="005665C7"/>
    <w:rsid w:val="00566B80"/>
    <w:rsid w:val="00566C34"/>
    <w:rsid w:val="00567F50"/>
    <w:rsid w:val="00567FA9"/>
    <w:rsid w:val="005700CC"/>
    <w:rsid w:val="0057131F"/>
    <w:rsid w:val="005716F9"/>
    <w:rsid w:val="005720B6"/>
    <w:rsid w:val="00573935"/>
    <w:rsid w:val="00573B4E"/>
    <w:rsid w:val="005740F3"/>
    <w:rsid w:val="00574296"/>
    <w:rsid w:val="005742E1"/>
    <w:rsid w:val="00575389"/>
    <w:rsid w:val="00575508"/>
    <w:rsid w:val="00575562"/>
    <w:rsid w:val="00575732"/>
    <w:rsid w:val="00577E86"/>
    <w:rsid w:val="00577EAA"/>
    <w:rsid w:val="00580F06"/>
    <w:rsid w:val="005813F9"/>
    <w:rsid w:val="00581F3E"/>
    <w:rsid w:val="00582591"/>
    <w:rsid w:val="005826D2"/>
    <w:rsid w:val="00582EFE"/>
    <w:rsid w:val="00583323"/>
    <w:rsid w:val="0058337C"/>
    <w:rsid w:val="00583451"/>
    <w:rsid w:val="0058487C"/>
    <w:rsid w:val="005855A0"/>
    <w:rsid w:val="005866BE"/>
    <w:rsid w:val="0058692F"/>
    <w:rsid w:val="00586BCD"/>
    <w:rsid w:val="00586C68"/>
    <w:rsid w:val="00587A51"/>
    <w:rsid w:val="00587A6C"/>
    <w:rsid w:val="00587E09"/>
    <w:rsid w:val="0059031C"/>
    <w:rsid w:val="00590529"/>
    <w:rsid w:val="00590949"/>
    <w:rsid w:val="005916B5"/>
    <w:rsid w:val="0059207B"/>
    <w:rsid w:val="00593F9B"/>
    <w:rsid w:val="00593FA1"/>
    <w:rsid w:val="0059468F"/>
    <w:rsid w:val="00594B06"/>
    <w:rsid w:val="00594D1B"/>
    <w:rsid w:val="00595060"/>
    <w:rsid w:val="005951FD"/>
    <w:rsid w:val="00595395"/>
    <w:rsid w:val="005955EA"/>
    <w:rsid w:val="005958B7"/>
    <w:rsid w:val="00596237"/>
    <w:rsid w:val="005970F5"/>
    <w:rsid w:val="0059722C"/>
    <w:rsid w:val="00597429"/>
    <w:rsid w:val="00597994"/>
    <w:rsid w:val="005A01B4"/>
    <w:rsid w:val="005A0428"/>
    <w:rsid w:val="005A0873"/>
    <w:rsid w:val="005A0C05"/>
    <w:rsid w:val="005A1DBA"/>
    <w:rsid w:val="005A264D"/>
    <w:rsid w:val="005A2B2A"/>
    <w:rsid w:val="005A3BF6"/>
    <w:rsid w:val="005A465E"/>
    <w:rsid w:val="005A4838"/>
    <w:rsid w:val="005A4B48"/>
    <w:rsid w:val="005A4F8F"/>
    <w:rsid w:val="005A5125"/>
    <w:rsid w:val="005A53CA"/>
    <w:rsid w:val="005A6B43"/>
    <w:rsid w:val="005A6F08"/>
    <w:rsid w:val="005B0059"/>
    <w:rsid w:val="005B0706"/>
    <w:rsid w:val="005B0964"/>
    <w:rsid w:val="005B1290"/>
    <w:rsid w:val="005B16A5"/>
    <w:rsid w:val="005B184B"/>
    <w:rsid w:val="005B1877"/>
    <w:rsid w:val="005B1ADC"/>
    <w:rsid w:val="005B290C"/>
    <w:rsid w:val="005B37A7"/>
    <w:rsid w:val="005B3F8B"/>
    <w:rsid w:val="005B4CF0"/>
    <w:rsid w:val="005B5294"/>
    <w:rsid w:val="005B5437"/>
    <w:rsid w:val="005B59E1"/>
    <w:rsid w:val="005B5A76"/>
    <w:rsid w:val="005B6AB6"/>
    <w:rsid w:val="005B6DF7"/>
    <w:rsid w:val="005B72F1"/>
    <w:rsid w:val="005C0226"/>
    <w:rsid w:val="005C1FE6"/>
    <w:rsid w:val="005C22B0"/>
    <w:rsid w:val="005C3217"/>
    <w:rsid w:val="005C3A4D"/>
    <w:rsid w:val="005C3F29"/>
    <w:rsid w:val="005C4235"/>
    <w:rsid w:val="005C43F0"/>
    <w:rsid w:val="005C57AB"/>
    <w:rsid w:val="005C6ABD"/>
    <w:rsid w:val="005C6B6B"/>
    <w:rsid w:val="005C6CD3"/>
    <w:rsid w:val="005C7B24"/>
    <w:rsid w:val="005D0013"/>
    <w:rsid w:val="005D1711"/>
    <w:rsid w:val="005D19E7"/>
    <w:rsid w:val="005D1FD5"/>
    <w:rsid w:val="005D271F"/>
    <w:rsid w:val="005D334D"/>
    <w:rsid w:val="005D33BF"/>
    <w:rsid w:val="005D3700"/>
    <w:rsid w:val="005D395A"/>
    <w:rsid w:val="005D6C6B"/>
    <w:rsid w:val="005D6F2C"/>
    <w:rsid w:val="005D726E"/>
    <w:rsid w:val="005D74E0"/>
    <w:rsid w:val="005D7C32"/>
    <w:rsid w:val="005E11D2"/>
    <w:rsid w:val="005E162A"/>
    <w:rsid w:val="005E19EB"/>
    <w:rsid w:val="005E1B7E"/>
    <w:rsid w:val="005E1E9B"/>
    <w:rsid w:val="005E21F3"/>
    <w:rsid w:val="005E26D5"/>
    <w:rsid w:val="005E2DAC"/>
    <w:rsid w:val="005E3E21"/>
    <w:rsid w:val="005E446A"/>
    <w:rsid w:val="005E510A"/>
    <w:rsid w:val="005E6198"/>
    <w:rsid w:val="005E6CAD"/>
    <w:rsid w:val="005E6E37"/>
    <w:rsid w:val="005F0613"/>
    <w:rsid w:val="005F0784"/>
    <w:rsid w:val="005F0C50"/>
    <w:rsid w:val="005F1B98"/>
    <w:rsid w:val="005F2894"/>
    <w:rsid w:val="005F34F8"/>
    <w:rsid w:val="005F42FA"/>
    <w:rsid w:val="005F4557"/>
    <w:rsid w:val="005F494A"/>
    <w:rsid w:val="005F4F17"/>
    <w:rsid w:val="005F51F2"/>
    <w:rsid w:val="005F54DF"/>
    <w:rsid w:val="005F5562"/>
    <w:rsid w:val="005F56BF"/>
    <w:rsid w:val="005F5D9D"/>
    <w:rsid w:val="005F60BD"/>
    <w:rsid w:val="005F64B5"/>
    <w:rsid w:val="005F67E3"/>
    <w:rsid w:val="005F6CDA"/>
    <w:rsid w:val="005F7352"/>
    <w:rsid w:val="005F7E12"/>
    <w:rsid w:val="005F7EF9"/>
    <w:rsid w:val="00600D8E"/>
    <w:rsid w:val="00602112"/>
    <w:rsid w:val="00603192"/>
    <w:rsid w:val="00604273"/>
    <w:rsid w:val="00604973"/>
    <w:rsid w:val="006052F1"/>
    <w:rsid w:val="00605977"/>
    <w:rsid w:val="00606228"/>
    <w:rsid w:val="00606393"/>
    <w:rsid w:val="00606573"/>
    <w:rsid w:val="006065EA"/>
    <w:rsid w:val="00606EFA"/>
    <w:rsid w:val="00610314"/>
    <w:rsid w:val="006104FC"/>
    <w:rsid w:val="00610E2B"/>
    <w:rsid w:val="0061104C"/>
    <w:rsid w:val="00611404"/>
    <w:rsid w:val="0061171E"/>
    <w:rsid w:val="00611AEC"/>
    <w:rsid w:val="00612E80"/>
    <w:rsid w:val="00613672"/>
    <w:rsid w:val="00613932"/>
    <w:rsid w:val="00614D04"/>
    <w:rsid w:val="00614D5D"/>
    <w:rsid w:val="00614E80"/>
    <w:rsid w:val="00615AB3"/>
    <w:rsid w:val="00615BE0"/>
    <w:rsid w:val="006160A6"/>
    <w:rsid w:val="006166BF"/>
    <w:rsid w:val="00616D51"/>
    <w:rsid w:val="00616EBD"/>
    <w:rsid w:val="0061724F"/>
    <w:rsid w:val="006173F6"/>
    <w:rsid w:val="0061764E"/>
    <w:rsid w:val="00620279"/>
    <w:rsid w:val="006204CC"/>
    <w:rsid w:val="0062059A"/>
    <w:rsid w:val="0062103E"/>
    <w:rsid w:val="006213A6"/>
    <w:rsid w:val="006213C8"/>
    <w:rsid w:val="00621F51"/>
    <w:rsid w:val="006224CE"/>
    <w:rsid w:val="00622A99"/>
    <w:rsid w:val="00622B50"/>
    <w:rsid w:val="00623668"/>
    <w:rsid w:val="00623D12"/>
    <w:rsid w:val="00624519"/>
    <w:rsid w:val="006255F7"/>
    <w:rsid w:val="00625CE2"/>
    <w:rsid w:val="00625E13"/>
    <w:rsid w:val="006263AB"/>
    <w:rsid w:val="006264FB"/>
    <w:rsid w:val="006268EC"/>
    <w:rsid w:val="006273DF"/>
    <w:rsid w:val="00630421"/>
    <w:rsid w:val="00630D84"/>
    <w:rsid w:val="00630F97"/>
    <w:rsid w:val="0063166B"/>
    <w:rsid w:val="00631A08"/>
    <w:rsid w:val="00631DDE"/>
    <w:rsid w:val="00631F0C"/>
    <w:rsid w:val="00632359"/>
    <w:rsid w:val="006324D4"/>
    <w:rsid w:val="00632581"/>
    <w:rsid w:val="00632893"/>
    <w:rsid w:val="00632954"/>
    <w:rsid w:val="00633328"/>
    <w:rsid w:val="00633E92"/>
    <w:rsid w:val="0063556A"/>
    <w:rsid w:val="006357AB"/>
    <w:rsid w:val="0063604D"/>
    <w:rsid w:val="00637BAA"/>
    <w:rsid w:val="00637BF6"/>
    <w:rsid w:val="00640B8C"/>
    <w:rsid w:val="0064167F"/>
    <w:rsid w:val="0064200A"/>
    <w:rsid w:val="0064224A"/>
    <w:rsid w:val="00642502"/>
    <w:rsid w:val="00642C1E"/>
    <w:rsid w:val="0064301E"/>
    <w:rsid w:val="006434CA"/>
    <w:rsid w:val="00643BE1"/>
    <w:rsid w:val="006443C5"/>
    <w:rsid w:val="00646400"/>
    <w:rsid w:val="00647255"/>
    <w:rsid w:val="00647DF1"/>
    <w:rsid w:val="00647E0C"/>
    <w:rsid w:val="0065042E"/>
    <w:rsid w:val="00650841"/>
    <w:rsid w:val="00650959"/>
    <w:rsid w:val="00650A1F"/>
    <w:rsid w:val="006510B3"/>
    <w:rsid w:val="006511EE"/>
    <w:rsid w:val="006517B6"/>
    <w:rsid w:val="006517C8"/>
    <w:rsid w:val="00652681"/>
    <w:rsid w:val="00652A38"/>
    <w:rsid w:val="00653CA2"/>
    <w:rsid w:val="006541A7"/>
    <w:rsid w:val="00654CB4"/>
    <w:rsid w:val="00654ED3"/>
    <w:rsid w:val="00655522"/>
    <w:rsid w:val="0065574A"/>
    <w:rsid w:val="00655B7A"/>
    <w:rsid w:val="00655CE7"/>
    <w:rsid w:val="0065602A"/>
    <w:rsid w:val="00656473"/>
    <w:rsid w:val="006569E3"/>
    <w:rsid w:val="00656E5D"/>
    <w:rsid w:val="00656EC4"/>
    <w:rsid w:val="006601C1"/>
    <w:rsid w:val="006603A3"/>
    <w:rsid w:val="0066041A"/>
    <w:rsid w:val="00660EF5"/>
    <w:rsid w:val="006626C6"/>
    <w:rsid w:val="00662778"/>
    <w:rsid w:val="0066282D"/>
    <w:rsid w:val="006628AF"/>
    <w:rsid w:val="00662BDD"/>
    <w:rsid w:val="00663F9D"/>
    <w:rsid w:val="00664A4A"/>
    <w:rsid w:val="00664E53"/>
    <w:rsid w:val="0066576D"/>
    <w:rsid w:val="00665A8C"/>
    <w:rsid w:val="00666752"/>
    <w:rsid w:val="006671DF"/>
    <w:rsid w:val="006674EC"/>
    <w:rsid w:val="0066763F"/>
    <w:rsid w:val="00667676"/>
    <w:rsid w:val="006703CF"/>
    <w:rsid w:val="0067178B"/>
    <w:rsid w:val="0067183B"/>
    <w:rsid w:val="0067277C"/>
    <w:rsid w:val="006727B0"/>
    <w:rsid w:val="00672DDC"/>
    <w:rsid w:val="0067305F"/>
    <w:rsid w:val="00673565"/>
    <w:rsid w:val="00673856"/>
    <w:rsid w:val="00673B2C"/>
    <w:rsid w:val="00673BA9"/>
    <w:rsid w:val="00673BE9"/>
    <w:rsid w:val="006740E9"/>
    <w:rsid w:val="006742CB"/>
    <w:rsid w:val="006749C8"/>
    <w:rsid w:val="00675C12"/>
    <w:rsid w:val="00676631"/>
    <w:rsid w:val="0067684C"/>
    <w:rsid w:val="0067684F"/>
    <w:rsid w:val="006773BF"/>
    <w:rsid w:val="00677634"/>
    <w:rsid w:val="0067779C"/>
    <w:rsid w:val="00680004"/>
    <w:rsid w:val="00680145"/>
    <w:rsid w:val="00680669"/>
    <w:rsid w:val="00680942"/>
    <w:rsid w:val="006811B8"/>
    <w:rsid w:val="0068126C"/>
    <w:rsid w:val="00681BC5"/>
    <w:rsid w:val="00682C59"/>
    <w:rsid w:val="00682E8B"/>
    <w:rsid w:val="006837DE"/>
    <w:rsid w:val="00683CDA"/>
    <w:rsid w:val="006842DD"/>
    <w:rsid w:val="00684C58"/>
    <w:rsid w:val="00684ED0"/>
    <w:rsid w:val="00685316"/>
    <w:rsid w:val="0068604E"/>
    <w:rsid w:val="006866A2"/>
    <w:rsid w:val="00686BDF"/>
    <w:rsid w:val="00686CEA"/>
    <w:rsid w:val="00686D6E"/>
    <w:rsid w:val="006876A0"/>
    <w:rsid w:val="0068797C"/>
    <w:rsid w:val="00687F79"/>
    <w:rsid w:val="00690922"/>
    <w:rsid w:val="00691073"/>
    <w:rsid w:val="00691547"/>
    <w:rsid w:val="00692098"/>
    <w:rsid w:val="0069213E"/>
    <w:rsid w:val="0069238F"/>
    <w:rsid w:val="00693123"/>
    <w:rsid w:val="00693412"/>
    <w:rsid w:val="006934C4"/>
    <w:rsid w:val="00693DAD"/>
    <w:rsid w:val="00694057"/>
    <w:rsid w:val="006944A0"/>
    <w:rsid w:val="00694816"/>
    <w:rsid w:val="00695359"/>
    <w:rsid w:val="00695684"/>
    <w:rsid w:val="00695707"/>
    <w:rsid w:val="00695C9F"/>
    <w:rsid w:val="0069602D"/>
    <w:rsid w:val="0069622F"/>
    <w:rsid w:val="00696DF6"/>
    <w:rsid w:val="00696E9C"/>
    <w:rsid w:val="006979BD"/>
    <w:rsid w:val="006A0128"/>
    <w:rsid w:val="006A14D9"/>
    <w:rsid w:val="006A14F5"/>
    <w:rsid w:val="006A17E3"/>
    <w:rsid w:val="006A21A3"/>
    <w:rsid w:val="006A26B4"/>
    <w:rsid w:val="006A2DAD"/>
    <w:rsid w:val="006A33AE"/>
    <w:rsid w:val="006A3B89"/>
    <w:rsid w:val="006A3C7D"/>
    <w:rsid w:val="006A52B5"/>
    <w:rsid w:val="006A585B"/>
    <w:rsid w:val="006A5AF0"/>
    <w:rsid w:val="006A5CE8"/>
    <w:rsid w:val="006A6BA5"/>
    <w:rsid w:val="006A7243"/>
    <w:rsid w:val="006A74DB"/>
    <w:rsid w:val="006A79B8"/>
    <w:rsid w:val="006A7AC5"/>
    <w:rsid w:val="006A7B2B"/>
    <w:rsid w:val="006B07DD"/>
    <w:rsid w:val="006B09ED"/>
    <w:rsid w:val="006B0BB1"/>
    <w:rsid w:val="006B1883"/>
    <w:rsid w:val="006B1AE8"/>
    <w:rsid w:val="006B1BF5"/>
    <w:rsid w:val="006B23B9"/>
    <w:rsid w:val="006B2412"/>
    <w:rsid w:val="006B29A6"/>
    <w:rsid w:val="006B317F"/>
    <w:rsid w:val="006B394B"/>
    <w:rsid w:val="006B41CB"/>
    <w:rsid w:val="006B4BD6"/>
    <w:rsid w:val="006B50A9"/>
    <w:rsid w:val="006B513D"/>
    <w:rsid w:val="006B5293"/>
    <w:rsid w:val="006B6043"/>
    <w:rsid w:val="006B704F"/>
    <w:rsid w:val="006B73B1"/>
    <w:rsid w:val="006B74CE"/>
    <w:rsid w:val="006B7567"/>
    <w:rsid w:val="006C003D"/>
    <w:rsid w:val="006C0815"/>
    <w:rsid w:val="006C0C0F"/>
    <w:rsid w:val="006C1089"/>
    <w:rsid w:val="006C10E3"/>
    <w:rsid w:val="006C1DDB"/>
    <w:rsid w:val="006C4D6D"/>
    <w:rsid w:val="006C5373"/>
    <w:rsid w:val="006C5DE1"/>
    <w:rsid w:val="006C6080"/>
    <w:rsid w:val="006C60E2"/>
    <w:rsid w:val="006C6161"/>
    <w:rsid w:val="006C675F"/>
    <w:rsid w:val="006C6A10"/>
    <w:rsid w:val="006C755B"/>
    <w:rsid w:val="006C7CC2"/>
    <w:rsid w:val="006D04CF"/>
    <w:rsid w:val="006D0FBB"/>
    <w:rsid w:val="006D10AD"/>
    <w:rsid w:val="006D12AE"/>
    <w:rsid w:val="006D1304"/>
    <w:rsid w:val="006D178B"/>
    <w:rsid w:val="006D1979"/>
    <w:rsid w:val="006D1EA8"/>
    <w:rsid w:val="006D1FB4"/>
    <w:rsid w:val="006D2276"/>
    <w:rsid w:val="006D2B77"/>
    <w:rsid w:val="006D4BCF"/>
    <w:rsid w:val="006D5A06"/>
    <w:rsid w:val="006D5B18"/>
    <w:rsid w:val="006D5FC0"/>
    <w:rsid w:val="006E086B"/>
    <w:rsid w:val="006E10D6"/>
    <w:rsid w:val="006E1166"/>
    <w:rsid w:val="006E17E2"/>
    <w:rsid w:val="006E2048"/>
    <w:rsid w:val="006E25D2"/>
    <w:rsid w:val="006E25FA"/>
    <w:rsid w:val="006E63C2"/>
    <w:rsid w:val="006E6831"/>
    <w:rsid w:val="006E73DA"/>
    <w:rsid w:val="006F1594"/>
    <w:rsid w:val="006F187A"/>
    <w:rsid w:val="006F18D0"/>
    <w:rsid w:val="006F2E4D"/>
    <w:rsid w:val="006F370A"/>
    <w:rsid w:val="006F3FC7"/>
    <w:rsid w:val="006F4EA5"/>
    <w:rsid w:val="006F4F26"/>
    <w:rsid w:val="006F5B3C"/>
    <w:rsid w:val="006F6592"/>
    <w:rsid w:val="006F666A"/>
    <w:rsid w:val="006F6C07"/>
    <w:rsid w:val="00700730"/>
    <w:rsid w:val="00701392"/>
    <w:rsid w:val="0070142E"/>
    <w:rsid w:val="00701DA7"/>
    <w:rsid w:val="00702CC3"/>
    <w:rsid w:val="007030C3"/>
    <w:rsid w:val="00703402"/>
    <w:rsid w:val="00704101"/>
    <w:rsid w:val="00704263"/>
    <w:rsid w:val="007046AB"/>
    <w:rsid w:val="00704E09"/>
    <w:rsid w:val="00705978"/>
    <w:rsid w:val="0070598A"/>
    <w:rsid w:val="00705D5E"/>
    <w:rsid w:val="00705DFA"/>
    <w:rsid w:val="00706E2B"/>
    <w:rsid w:val="007073AB"/>
    <w:rsid w:val="007074A5"/>
    <w:rsid w:val="00707929"/>
    <w:rsid w:val="00707B85"/>
    <w:rsid w:val="00707ED4"/>
    <w:rsid w:val="0071038D"/>
    <w:rsid w:val="00710ED5"/>
    <w:rsid w:val="00711239"/>
    <w:rsid w:val="0071144E"/>
    <w:rsid w:val="00711719"/>
    <w:rsid w:val="00712300"/>
    <w:rsid w:val="007123B1"/>
    <w:rsid w:val="007123DA"/>
    <w:rsid w:val="00713188"/>
    <w:rsid w:val="00713D20"/>
    <w:rsid w:val="00714292"/>
    <w:rsid w:val="0071447F"/>
    <w:rsid w:val="00715990"/>
    <w:rsid w:val="00716211"/>
    <w:rsid w:val="0071649F"/>
    <w:rsid w:val="00717A47"/>
    <w:rsid w:val="00720D8D"/>
    <w:rsid w:val="00720F85"/>
    <w:rsid w:val="00721805"/>
    <w:rsid w:val="00721BE2"/>
    <w:rsid w:val="00721CA3"/>
    <w:rsid w:val="007221A6"/>
    <w:rsid w:val="00723097"/>
    <w:rsid w:val="00723109"/>
    <w:rsid w:val="00723DB0"/>
    <w:rsid w:val="00723F41"/>
    <w:rsid w:val="00724C57"/>
    <w:rsid w:val="00724E65"/>
    <w:rsid w:val="007259C5"/>
    <w:rsid w:val="00726C61"/>
    <w:rsid w:val="00726CE5"/>
    <w:rsid w:val="00726D40"/>
    <w:rsid w:val="00726FF5"/>
    <w:rsid w:val="007271C6"/>
    <w:rsid w:val="007304FE"/>
    <w:rsid w:val="007308AF"/>
    <w:rsid w:val="00730B5F"/>
    <w:rsid w:val="00730C07"/>
    <w:rsid w:val="00730E32"/>
    <w:rsid w:val="0073123E"/>
    <w:rsid w:val="00732656"/>
    <w:rsid w:val="00732EE7"/>
    <w:rsid w:val="00734522"/>
    <w:rsid w:val="00734884"/>
    <w:rsid w:val="00734A86"/>
    <w:rsid w:val="00735EC6"/>
    <w:rsid w:val="007362B1"/>
    <w:rsid w:val="007364D3"/>
    <w:rsid w:val="00737C9B"/>
    <w:rsid w:val="00737E4A"/>
    <w:rsid w:val="0074100F"/>
    <w:rsid w:val="0074250D"/>
    <w:rsid w:val="00742EF6"/>
    <w:rsid w:val="007436C7"/>
    <w:rsid w:val="0074382E"/>
    <w:rsid w:val="00743AC8"/>
    <w:rsid w:val="00743CEB"/>
    <w:rsid w:val="00743F07"/>
    <w:rsid w:val="007442DE"/>
    <w:rsid w:val="00744324"/>
    <w:rsid w:val="00744340"/>
    <w:rsid w:val="00744497"/>
    <w:rsid w:val="00744A50"/>
    <w:rsid w:val="0074529F"/>
    <w:rsid w:val="007453F7"/>
    <w:rsid w:val="007454D1"/>
    <w:rsid w:val="00745D8C"/>
    <w:rsid w:val="00745DF3"/>
    <w:rsid w:val="00746CC0"/>
    <w:rsid w:val="00747D5F"/>
    <w:rsid w:val="00747D79"/>
    <w:rsid w:val="00750153"/>
    <w:rsid w:val="007515A9"/>
    <w:rsid w:val="007519CE"/>
    <w:rsid w:val="0075210E"/>
    <w:rsid w:val="00752545"/>
    <w:rsid w:val="0075384F"/>
    <w:rsid w:val="00753CD7"/>
    <w:rsid w:val="00753D9C"/>
    <w:rsid w:val="007547C4"/>
    <w:rsid w:val="00755195"/>
    <w:rsid w:val="00756017"/>
    <w:rsid w:val="00757356"/>
    <w:rsid w:val="00757B83"/>
    <w:rsid w:val="007605C9"/>
    <w:rsid w:val="007610ED"/>
    <w:rsid w:val="007613E6"/>
    <w:rsid w:val="00761EF5"/>
    <w:rsid w:val="00761FFD"/>
    <w:rsid w:val="007621A7"/>
    <w:rsid w:val="007635B4"/>
    <w:rsid w:val="007637BF"/>
    <w:rsid w:val="007641C4"/>
    <w:rsid w:val="00764A53"/>
    <w:rsid w:val="00765339"/>
    <w:rsid w:val="007668C8"/>
    <w:rsid w:val="007677CB"/>
    <w:rsid w:val="00767CB1"/>
    <w:rsid w:val="00770015"/>
    <w:rsid w:val="0077126B"/>
    <w:rsid w:val="00772502"/>
    <w:rsid w:val="00772613"/>
    <w:rsid w:val="0077377C"/>
    <w:rsid w:val="00773E52"/>
    <w:rsid w:val="00773F09"/>
    <w:rsid w:val="00773F25"/>
    <w:rsid w:val="0077433E"/>
    <w:rsid w:val="00774B4F"/>
    <w:rsid w:val="00774F2C"/>
    <w:rsid w:val="00775209"/>
    <w:rsid w:val="00775763"/>
    <w:rsid w:val="00775ED1"/>
    <w:rsid w:val="00775F96"/>
    <w:rsid w:val="0077621D"/>
    <w:rsid w:val="007765C2"/>
    <w:rsid w:val="00777819"/>
    <w:rsid w:val="00777F86"/>
    <w:rsid w:val="00781027"/>
    <w:rsid w:val="0078122D"/>
    <w:rsid w:val="00781349"/>
    <w:rsid w:val="00781C14"/>
    <w:rsid w:val="00781E05"/>
    <w:rsid w:val="00782BBF"/>
    <w:rsid w:val="007835F0"/>
    <w:rsid w:val="00784172"/>
    <w:rsid w:val="007851F2"/>
    <w:rsid w:val="00785DC3"/>
    <w:rsid w:val="00786304"/>
    <w:rsid w:val="007870FF"/>
    <w:rsid w:val="00787575"/>
    <w:rsid w:val="00787ACB"/>
    <w:rsid w:val="00787DB4"/>
    <w:rsid w:val="007900DA"/>
    <w:rsid w:val="007904F5"/>
    <w:rsid w:val="00790655"/>
    <w:rsid w:val="00790B04"/>
    <w:rsid w:val="00790B82"/>
    <w:rsid w:val="00791270"/>
    <w:rsid w:val="007919AC"/>
    <w:rsid w:val="00791B43"/>
    <w:rsid w:val="00791F63"/>
    <w:rsid w:val="007940E6"/>
    <w:rsid w:val="00795778"/>
    <w:rsid w:val="00795F66"/>
    <w:rsid w:val="007966BC"/>
    <w:rsid w:val="00796DA9"/>
    <w:rsid w:val="00797108"/>
    <w:rsid w:val="00797670"/>
    <w:rsid w:val="0079773E"/>
    <w:rsid w:val="007A0DD4"/>
    <w:rsid w:val="007A1581"/>
    <w:rsid w:val="007A1AB6"/>
    <w:rsid w:val="007A3504"/>
    <w:rsid w:val="007A4454"/>
    <w:rsid w:val="007A44B4"/>
    <w:rsid w:val="007A49B5"/>
    <w:rsid w:val="007A654E"/>
    <w:rsid w:val="007A75AD"/>
    <w:rsid w:val="007A79CB"/>
    <w:rsid w:val="007B148F"/>
    <w:rsid w:val="007B2039"/>
    <w:rsid w:val="007B4132"/>
    <w:rsid w:val="007B4556"/>
    <w:rsid w:val="007B45B7"/>
    <w:rsid w:val="007B499A"/>
    <w:rsid w:val="007B4F66"/>
    <w:rsid w:val="007B58A0"/>
    <w:rsid w:val="007B60CB"/>
    <w:rsid w:val="007B6F00"/>
    <w:rsid w:val="007B7B1A"/>
    <w:rsid w:val="007B7C23"/>
    <w:rsid w:val="007B7DC0"/>
    <w:rsid w:val="007C0179"/>
    <w:rsid w:val="007C0FBE"/>
    <w:rsid w:val="007C1205"/>
    <w:rsid w:val="007C1C0B"/>
    <w:rsid w:val="007C32E8"/>
    <w:rsid w:val="007C3844"/>
    <w:rsid w:val="007C44B7"/>
    <w:rsid w:val="007C4A1A"/>
    <w:rsid w:val="007C52F8"/>
    <w:rsid w:val="007C5CEE"/>
    <w:rsid w:val="007C5EDB"/>
    <w:rsid w:val="007C61B0"/>
    <w:rsid w:val="007C72CE"/>
    <w:rsid w:val="007C76F6"/>
    <w:rsid w:val="007C7A64"/>
    <w:rsid w:val="007C7B08"/>
    <w:rsid w:val="007C7E08"/>
    <w:rsid w:val="007C7F71"/>
    <w:rsid w:val="007D00DF"/>
    <w:rsid w:val="007D0A00"/>
    <w:rsid w:val="007D0E82"/>
    <w:rsid w:val="007D17A4"/>
    <w:rsid w:val="007D21CE"/>
    <w:rsid w:val="007D3234"/>
    <w:rsid w:val="007D357A"/>
    <w:rsid w:val="007D37E0"/>
    <w:rsid w:val="007D385D"/>
    <w:rsid w:val="007D3FC2"/>
    <w:rsid w:val="007D4798"/>
    <w:rsid w:val="007D4DB4"/>
    <w:rsid w:val="007D588F"/>
    <w:rsid w:val="007D5A25"/>
    <w:rsid w:val="007D6650"/>
    <w:rsid w:val="007D6EC3"/>
    <w:rsid w:val="007D7E28"/>
    <w:rsid w:val="007E3326"/>
    <w:rsid w:val="007E45D9"/>
    <w:rsid w:val="007E4BF2"/>
    <w:rsid w:val="007E5A6E"/>
    <w:rsid w:val="007E5ACF"/>
    <w:rsid w:val="007E5CF1"/>
    <w:rsid w:val="007E6C8F"/>
    <w:rsid w:val="007F1D62"/>
    <w:rsid w:val="007F2F2A"/>
    <w:rsid w:val="007F303A"/>
    <w:rsid w:val="007F378C"/>
    <w:rsid w:val="007F3E20"/>
    <w:rsid w:val="007F3E93"/>
    <w:rsid w:val="007F43B9"/>
    <w:rsid w:val="007F4A39"/>
    <w:rsid w:val="007F4BCA"/>
    <w:rsid w:val="007F564D"/>
    <w:rsid w:val="007F6EEF"/>
    <w:rsid w:val="007F7667"/>
    <w:rsid w:val="008001D1"/>
    <w:rsid w:val="0080026E"/>
    <w:rsid w:val="0080057A"/>
    <w:rsid w:val="008005D0"/>
    <w:rsid w:val="008006AF"/>
    <w:rsid w:val="00800AA1"/>
    <w:rsid w:val="00800B52"/>
    <w:rsid w:val="00800B8A"/>
    <w:rsid w:val="00800D8E"/>
    <w:rsid w:val="008013E9"/>
    <w:rsid w:val="00801AC6"/>
    <w:rsid w:val="00801BF6"/>
    <w:rsid w:val="00801E9C"/>
    <w:rsid w:val="008022DC"/>
    <w:rsid w:val="00802336"/>
    <w:rsid w:val="00802CB7"/>
    <w:rsid w:val="00802CC9"/>
    <w:rsid w:val="008036A3"/>
    <w:rsid w:val="00803AC2"/>
    <w:rsid w:val="00803E4C"/>
    <w:rsid w:val="00803F16"/>
    <w:rsid w:val="0080441B"/>
    <w:rsid w:val="008045BD"/>
    <w:rsid w:val="00804C7E"/>
    <w:rsid w:val="0080528E"/>
    <w:rsid w:val="00805EA0"/>
    <w:rsid w:val="00806293"/>
    <w:rsid w:val="0080648C"/>
    <w:rsid w:val="00806CF9"/>
    <w:rsid w:val="00807443"/>
    <w:rsid w:val="00807F19"/>
    <w:rsid w:val="008106A6"/>
    <w:rsid w:val="00810E17"/>
    <w:rsid w:val="00810E6F"/>
    <w:rsid w:val="00812056"/>
    <w:rsid w:val="00812364"/>
    <w:rsid w:val="008124B7"/>
    <w:rsid w:val="0081265B"/>
    <w:rsid w:val="00812A6B"/>
    <w:rsid w:val="00812B09"/>
    <w:rsid w:val="00812C70"/>
    <w:rsid w:val="00812FB4"/>
    <w:rsid w:val="00813795"/>
    <w:rsid w:val="008142E1"/>
    <w:rsid w:val="008145BC"/>
    <w:rsid w:val="008145E7"/>
    <w:rsid w:val="00814C24"/>
    <w:rsid w:val="00815097"/>
    <w:rsid w:val="00815553"/>
    <w:rsid w:val="00816806"/>
    <w:rsid w:val="00816EFC"/>
    <w:rsid w:val="00820DB2"/>
    <w:rsid w:val="0082129D"/>
    <w:rsid w:val="00821EA5"/>
    <w:rsid w:val="00821FE3"/>
    <w:rsid w:val="0082232B"/>
    <w:rsid w:val="0082279F"/>
    <w:rsid w:val="00822D04"/>
    <w:rsid w:val="00822E3F"/>
    <w:rsid w:val="0082353C"/>
    <w:rsid w:val="00824070"/>
    <w:rsid w:val="008240D8"/>
    <w:rsid w:val="00825D4B"/>
    <w:rsid w:val="008270AE"/>
    <w:rsid w:val="0083007F"/>
    <w:rsid w:val="0083023D"/>
    <w:rsid w:val="008311C1"/>
    <w:rsid w:val="008313DD"/>
    <w:rsid w:val="008318F6"/>
    <w:rsid w:val="00831EDF"/>
    <w:rsid w:val="00832033"/>
    <w:rsid w:val="008322D6"/>
    <w:rsid w:val="00832336"/>
    <w:rsid w:val="00833DA0"/>
    <w:rsid w:val="00834703"/>
    <w:rsid w:val="00834C4F"/>
    <w:rsid w:val="0083584C"/>
    <w:rsid w:val="0083624F"/>
    <w:rsid w:val="00836DF2"/>
    <w:rsid w:val="00837CB4"/>
    <w:rsid w:val="00840F03"/>
    <w:rsid w:val="008428A1"/>
    <w:rsid w:val="00843FBD"/>
    <w:rsid w:val="008445D5"/>
    <w:rsid w:val="00844C34"/>
    <w:rsid w:val="00844DAA"/>
    <w:rsid w:val="00844DC7"/>
    <w:rsid w:val="008454B7"/>
    <w:rsid w:val="0084593A"/>
    <w:rsid w:val="00846ED6"/>
    <w:rsid w:val="008474FE"/>
    <w:rsid w:val="00850D0F"/>
    <w:rsid w:val="008527D3"/>
    <w:rsid w:val="008539D2"/>
    <w:rsid w:val="00853D79"/>
    <w:rsid w:val="008540D2"/>
    <w:rsid w:val="00854253"/>
    <w:rsid w:val="00854292"/>
    <w:rsid w:val="00854994"/>
    <w:rsid w:val="00855636"/>
    <w:rsid w:val="00857058"/>
    <w:rsid w:val="00857E9B"/>
    <w:rsid w:val="0086002B"/>
    <w:rsid w:val="00860476"/>
    <w:rsid w:val="00860F43"/>
    <w:rsid w:val="00861985"/>
    <w:rsid w:val="00861A78"/>
    <w:rsid w:val="00861EB7"/>
    <w:rsid w:val="00862DC0"/>
    <w:rsid w:val="00862FC2"/>
    <w:rsid w:val="00862FC9"/>
    <w:rsid w:val="00863147"/>
    <w:rsid w:val="008632FA"/>
    <w:rsid w:val="00863373"/>
    <w:rsid w:val="008644B9"/>
    <w:rsid w:val="00866AFF"/>
    <w:rsid w:val="00866E8F"/>
    <w:rsid w:val="008670BC"/>
    <w:rsid w:val="008701CC"/>
    <w:rsid w:val="008705AB"/>
    <w:rsid w:val="008712D0"/>
    <w:rsid w:val="00871AA7"/>
    <w:rsid w:val="00871E06"/>
    <w:rsid w:val="00871E54"/>
    <w:rsid w:val="00872390"/>
    <w:rsid w:val="00872AE2"/>
    <w:rsid w:val="00873088"/>
    <w:rsid w:val="008733AA"/>
    <w:rsid w:val="0087412B"/>
    <w:rsid w:val="008746A1"/>
    <w:rsid w:val="0087511E"/>
    <w:rsid w:val="00875487"/>
    <w:rsid w:val="008768E8"/>
    <w:rsid w:val="00876C96"/>
    <w:rsid w:val="00876D8B"/>
    <w:rsid w:val="00880C18"/>
    <w:rsid w:val="00880FC0"/>
    <w:rsid w:val="00881F08"/>
    <w:rsid w:val="00882318"/>
    <w:rsid w:val="0088272A"/>
    <w:rsid w:val="0088282E"/>
    <w:rsid w:val="008835CD"/>
    <w:rsid w:val="008837DF"/>
    <w:rsid w:val="00883972"/>
    <w:rsid w:val="00884170"/>
    <w:rsid w:val="0088525F"/>
    <w:rsid w:val="00885405"/>
    <w:rsid w:val="0088545F"/>
    <w:rsid w:val="00886395"/>
    <w:rsid w:val="00886484"/>
    <w:rsid w:val="00886500"/>
    <w:rsid w:val="00887026"/>
    <w:rsid w:val="00887243"/>
    <w:rsid w:val="00887DE6"/>
    <w:rsid w:val="008900CA"/>
    <w:rsid w:val="0089024F"/>
    <w:rsid w:val="008906A1"/>
    <w:rsid w:val="00890F03"/>
    <w:rsid w:val="00890F66"/>
    <w:rsid w:val="0089123C"/>
    <w:rsid w:val="00891498"/>
    <w:rsid w:val="008916EE"/>
    <w:rsid w:val="00893A99"/>
    <w:rsid w:val="00893CB0"/>
    <w:rsid w:val="00893F4E"/>
    <w:rsid w:val="008944EE"/>
    <w:rsid w:val="0089523B"/>
    <w:rsid w:val="0089690A"/>
    <w:rsid w:val="0089731E"/>
    <w:rsid w:val="00897763"/>
    <w:rsid w:val="00897AB9"/>
    <w:rsid w:val="00897CDD"/>
    <w:rsid w:val="008A21F2"/>
    <w:rsid w:val="008A22E7"/>
    <w:rsid w:val="008A25C8"/>
    <w:rsid w:val="008A26E2"/>
    <w:rsid w:val="008A3FA9"/>
    <w:rsid w:val="008A4369"/>
    <w:rsid w:val="008A49E4"/>
    <w:rsid w:val="008A4D29"/>
    <w:rsid w:val="008A50D3"/>
    <w:rsid w:val="008A5C91"/>
    <w:rsid w:val="008A618D"/>
    <w:rsid w:val="008A67F0"/>
    <w:rsid w:val="008A6897"/>
    <w:rsid w:val="008B1C3D"/>
    <w:rsid w:val="008B22BB"/>
    <w:rsid w:val="008B287D"/>
    <w:rsid w:val="008B47FB"/>
    <w:rsid w:val="008B4F51"/>
    <w:rsid w:val="008B5A77"/>
    <w:rsid w:val="008B5A9A"/>
    <w:rsid w:val="008B6559"/>
    <w:rsid w:val="008B6738"/>
    <w:rsid w:val="008B679E"/>
    <w:rsid w:val="008B6EA8"/>
    <w:rsid w:val="008B72B4"/>
    <w:rsid w:val="008B7404"/>
    <w:rsid w:val="008B7AC8"/>
    <w:rsid w:val="008C279F"/>
    <w:rsid w:val="008C27B7"/>
    <w:rsid w:val="008C27E5"/>
    <w:rsid w:val="008C2A72"/>
    <w:rsid w:val="008C2ABF"/>
    <w:rsid w:val="008C3748"/>
    <w:rsid w:val="008C4598"/>
    <w:rsid w:val="008C47F3"/>
    <w:rsid w:val="008C4BD7"/>
    <w:rsid w:val="008C5564"/>
    <w:rsid w:val="008C5E99"/>
    <w:rsid w:val="008C6BBF"/>
    <w:rsid w:val="008C7495"/>
    <w:rsid w:val="008D009C"/>
    <w:rsid w:val="008D04F0"/>
    <w:rsid w:val="008D127C"/>
    <w:rsid w:val="008D26E6"/>
    <w:rsid w:val="008D3EBC"/>
    <w:rsid w:val="008D3FB3"/>
    <w:rsid w:val="008D445D"/>
    <w:rsid w:val="008D4BB7"/>
    <w:rsid w:val="008D4DEF"/>
    <w:rsid w:val="008D5983"/>
    <w:rsid w:val="008D5AAD"/>
    <w:rsid w:val="008D5F3D"/>
    <w:rsid w:val="008D6695"/>
    <w:rsid w:val="008D6B48"/>
    <w:rsid w:val="008D6FEE"/>
    <w:rsid w:val="008D771D"/>
    <w:rsid w:val="008E05C1"/>
    <w:rsid w:val="008E0BF2"/>
    <w:rsid w:val="008E1060"/>
    <w:rsid w:val="008E28E2"/>
    <w:rsid w:val="008E3052"/>
    <w:rsid w:val="008E3504"/>
    <w:rsid w:val="008E359F"/>
    <w:rsid w:val="008E4D04"/>
    <w:rsid w:val="008E50D9"/>
    <w:rsid w:val="008E56CB"/>
    <w:rsid w:val="008E5B89"/>
    <w:rsid w:val="008E5CE7"/>
    <w:rsid w:val="008E6328"/>
    <w:rsid w:val="008E64D7"/>
    <w:rsid w:val="008E70CA"/>
    <w:rsid w:val="008E73D7"/>
    <w:rsid w:val="008E75CE"/>
    <w:rsid w:val="008E76D9"/>
    <w:rsid w:val="008E794D"/>
    <w:rsid w:val="008E7A13"/>
    <w:rsid w:val="008F078C"/>
    <w:rsid w:val="008F094B"/>
    <w:rsid w:val="008F0AE2"/>
    <w:rsid w:val="008F0BAD"/>
    <w:rsid w:val="008F1175"/>
    <w:rsid w:val="008F20B3"/>
    <w:rsid w:val="008F334D"/>
    <w:rsid w:val="008F3BFB"/>
    <w:rsid w:val="008F3E51"/>
    <w:rsid w:val="008F448C"/>
    <w:rsid w:val="008F4C41"/>
    <w:rsid w:val="008F6637"/>
    <w:rsid w:val="008F7A6A"/>
    <w:rsid w:val="00900B7F"/>
    <w:rsid w:val="00901A31"/>
    <w:rsid w:val="009025C0"/>
    <w:rsid w:val="009026D0"/>
    <w:rsid w:val="00902782"/>
    <w:rsid w:val="009028B7"/>
    <w:rsid w:val="00902C74"/>
    <w:rsid w:val="00902FD1"/>
    <w:rsid w:val="009036B3"/>
    <w:rsid w:val="0090513E"/>
    <w:rsid w:val="00905485"/>
    <w:rsid w:val="0090555C"/>
    <w:rsid w:val="00905927"/>
    <w:rsid w:val="009063B0"/>
    <w:rsid w:val="00906E0C"/>
    <w:rsid w:val="0090772F"/>
    <w:rsid w:val="009077FC"/>
    <w:rsid w:val="00907C7D"/>
    <w:rsid w:val="009100DA"/>
    <w:rsid w:val="00910A52"/>
    <w:rsid w:val="00911A2A"/>
    <w:rsid w:val="00911D23"/>
    <w:rsid w:val="00913778"/>
    <w:rsid w:val="00913A6D"/>
    <w:rsid w:val="009142E3"/>
    <w:rsid w:val="009143E8"/>
    <w:rsid w:val="00914518"/>
    <w:rsid w:val="00915BD1"/>
    <w:rsid w:val="00915DA2"/>
    <w:rsid w:val="00916415"/>
    <w:rsid w:val="009173CC"/>
    <w:rsid w:val="00920D34"/>
    <w:rsid w:val="009213D8"/>
    <w:rsid w:val="00921893"/>
    <w:rsid w:val="009220D9"/>
    <w:rsid w:val="009229EC"/>
    <w:rsid w:val="00923607"/>
    <w:rsid w:val="00923B75"/>
    <w:rsid w:val="00924872"/>
    <w:rsid w:val="009249CE"/>
    <w:rsid w:val="0092506D"/>
    <w:rsid w:val="009252B3"/>
    <w:rsid w:val="009253B5"/>
    <w:rsid w:val="00925589"/>
    <w:rsid w:val="00925982"/>
    <w:rsid w:val="009259F7"/>
    <w:rsid w:val="00925B54"/>
    <w:rsid w:val="0092612C"/>
    <w:rsid w:val="009306B9"/>
    <w:rsid w:val="00930DF9"/>
    <w:rsid w:val="00930EB5"/>
    <w:rsid w:val="00930F25"/>
    <w:rsid w:val="009324CA"/>
    <w:rsid w:val="00932502"/>
    <w:rsid w:val="009326B2"/>
    <w:rsid w:val="009326E4"/>
    <w:rsid w:val="00932E13"/>
    <w:rsid w:val="0093357A"/>
    <w:rsid w:val="0093359D"/>
    <w:rsid w:val="0093397C"/>
    <w:rsid w:val="00934712"/>
    <w:rsid w:val="00934B91"/>
    <w:rsid w:val="00935A0A"/>
    <w:rsid w:val="00935B55"/>
    <w:rsid w:val="0093621B"/>
    <w:rsid w:val="009363AA"/>
    <w:rsid w:val="00936604"/>
    <w:rsid w:val="00937174"/>
    <w:rsid w:val="00937E00"/>
    <w:rsid w:val="00941047"/>
    <w:rsid w:val="00941118"/>
    <w:rsid w:val="00941CC4"/>
    <w:rsid w:val="00942A11"/>
    <w:rsid w:val="009430FA"/>
    <w:rsid w:val="00943A18"/>
    <w:rsid w:val="00944879"/>
    <w:rsid w:val="009453A0"/>
    <w:rsid w:val="00945D27"/>
    <w:rsid w:val="00946011"/>
    <w:rsid w:val="00946AE8"/>
    <w:rsid w:val="00946D40"/>
    <w:rsid w:val="009505AF"/>
    <w:rsid w:val="00951ACF"/>
    <w:rsid w:val="00954286"/>
    <w:rsid w:val="009551BE"/>
    <w:rsid w:val="009551E8"/>
    <w:rsid w:val="00955741"/>
    <w:rsid w:val="00955F57"/>
    <w:rsid w:val="00955FF2"/>
    <w:rsid w:val="00956191"/>
    <w:rsid w:val="009575AB"/>
    <w:rsid w:val="00960283"/>
    <w:rsid w:val="00960316"/>
    <w:rsid w:val="00960494"/>
    <w:rsid w:val="009609CD"/>
    <w:rsid w:val="00960A8E"/>
    <w:rsid w:val="00961152"/>
    <w:rsid w:val="00962176"/>
    <w:rsid w:val="009628AC"/>
    <w:rsid w:val="00962E0A"/>
    <w:rsid w:val="00962FA2"/>
    <w:rsid w:val="0096319B"/>
    <w:rsid w:val="00963971"/>
    <w:rsid w:val="00965146"/>
    <w:rsid w:val="00965326"/>
    <w:rsid w:val="00965EA2"/>
    <w:rsid w:val="009667D4"/>
    <w:rsid w:val="009669D5"/>
    <w:rsid w:val="0096700C"/>
    <w:rsid w:val="00967A1A"/>
    <w:rsid w:val="00967C94"/>
    <w:rsid w:val="0097003B"/>
    <w:rsid w:val="009704A2"/>
    <w:rsid w:val="00970AC7"/>
    <w:rsid w:val="00971A98"/>
    <w:rsid w:val="0097269C"/>
    <w:rsid w:val="009728C2"/>
    <w:rsid w:val="00974621"/>
    <w:rsid w:val="009749BC"/>
    <w:rsid w:val="00974EF7"/>
    <w:rsid w:val="00975C88"/>
    <w:rsid w:val="00976165"/>
    <w:rsid w:val="00977167"/>
    <w:rsid w:val="0097718E"/>
    <w:rsid w:val="009775E0"/>
    <w:rsid w:val="00977A1A"/>
    <w:rsid w:val="00977DB1"/>
    <w:rsid w:val="00980299"/>
    <w:rsid w:val="00980489"/>
    <w:rsid w:val="0098066D"/>
    <w:rsid w:val="00980BBB"/>
    <w:rsid w:val="009816F6"/>
    <w:rsid w:val="00981843"/>
    <w:rsid w:val="00982EB2"/>
    <w:rsid w:val="009830F8"/>
    <w:rsid w:val="00983239"/>
    <w:rsid w:val="009835AA"/>
    <w:rsid w:val="00984D59"/>
    <w:rsid w:val="00984E84"/>
    <w:rsid w:val="00984FA0"/>
    <w:rsid w:val="0098547F"/>
    <w:rsid w:val="0098699D"/>
    <w:rsid w:val="009874E4"/>
    <w:rsid w:val="0098782F"/>
    <w:rsid w:val="00991089"/>
    <w:rsid w:val="00991886"/>
    <w:rsid w:val="00992290"/>
    <w:rsid w:val="009924EC"/>
    <w:rsid w:val="009932D8"/>
    <w:rsid w:val="009938A8"/>
    <w:rsid w:val="009944E2"/>
    <w:rsid w:val="0099465B"/>
    <w:rsid w:val="0099531C"/>
    <w:rsid w:val="00996729"/>
    <w:rsid w:val="00996913"/>
    <w:rsid w:val="009970BD"/>
    <w:rsid w:val="0099718E"/>
    <w:rsid w:val="0099735F"/>
    <w:rsid w:val="00997BA3"/>
    <w:rsid w:val="009A0A8B"/>
    <w:rsid w:val="009A104C"/>
    <w:rsid w:val="009A132E"/>
    <w:rsid w:val="009A1A03"/>
    <w:rsid w:val="009A1CFA"/>
    <w:rsid w:val="009A2377"/>
    <w:rsid w:val="009A31AA"/>
    <w:rsid w:val="009A3872"/>
    <w:rsid w:val="009A398E"/>
    <w:rsid w:val="009A3C50"/>
    <w:rsid w:val="009A3E55"/>
    <w:rsid w:val="009A45CC"/>
    <w:rsid w:val="009A4644"/>
    <w:rsid w:val="009A501F"/>
    <w:rsid w:val="009A5BAB"/>
    <w:rsid w:val="009A6A27"/>
    <w:rsid w:val="009A7F6D"/>
    <w:rsid w:val="009B015A"/>
    <w:rsid w:val="009B05F4"/>
    <w:rsid w:val="009B08A6"/>
    <w:rsid w:val="009B11D5"/>
    <w:rsid w:val="009B131E"/>
    <w:rsid w:val="009B1361"/>
    <w:rsid w:val="009B4FF0"/>
    <w:rsid w:val="009B5517"/>
    <w:rsid w:val="009B5F42"/>
    <w:rsid w:val="009B62FD"/>
    <w:rsid w:val="009B64F4"/>
    <w:rsid w:val="009B6699"/>
    <w:rsid w:val="009B6CC7"/>
    <w:rsid w:val="009B7744"/>
    <w:rsid w:val="009B7AF0"/>
    <w:rsid w:val="009C022C"/>
    <w:rsid w:val="009C0653"/>
    <w:rsid w:val="009C07C6"/>
    <w:rsid w:val="009C0A9B"/>
    <w:rsid w:val="009C19BB"/>
    <w:rsid w:val="009C1B56"/>
    <w:rsid w:val="009C1E23"/>
    <w:rsid w:val="009C2687"/>
    <w:rsid w:val="009C272B"/>
    <w:rsid w:val="009C29E5"/>
    <w:rsid w:val="009C2A0D"/>
    <w:rsid w:val="009C358A"/>
    <w:rsid w:val="009C4E33"/>
    <w:rsid w:val="009C5002"/>
    <w:rsid w:val="009C5314"/>
    <w:rsid w:val="009C5AC9"/>
    <w:rsid w:val="009C6484"/>
    <w:rsid w:val="009C6AB8"/>
    <w:rsid w:val="009C6D8A"/>
    <w:rsid w:val="009C6E33"/>
    <w:rsid w:val="009C7158"/>
    <w:rsid w:val="009C7A72"/>
    <w:rsid w:val="009D01A7"/>
    <w:rsid w:val="009D0494"/>
    <w:rsid w:val="009D11FA"/>
    <w:rsid w:val="009D1871"/>
    <w:rsid w:val="009D19DE"/>
    <w:rsid w:val="009D2189"/>
    <w:rsid w:val="009D360B"/>
    <w:rsid w:val="009D3D88"/>
    <w:rsid w:val="009D4751"/>
    <w:rsid w:val="009D4D15"/>
    <w:rsid w:val="009D5450"/>
    <w:rsid w:val="009D6254"/>
    <w:rsid w:val="009D6AFF"/>
    <w:rsid w:val="009D6C8F"/>
    <w:rsid w:val="009D6D3B"/>
    <w:rsid w:val="009D7ADA"/>
    <w:rsid w:val="009D7F16"/>
    <w:rsid w:val="009D7F61"/>
    <w:rsid w:val="009E0379"/>
    <w:rsid w:val="009E0416"/>
    <w:rsid w:val="009E0DE3"/>
    <w:rsid w:val="009E0EA6"/>
    <w:rsid w:val="009E12D0"/>
    <w:rsid w:val="009E1813"/>
    <w:rsid w:val="009E1F7E"/>
    <w:rsid w:val="009E31DD"/>
    <w:rsid w:val="009E444B"/>
    <w:rsid w:val="009E469D"/>
    <w:rsid w:val="009E57A6"/>
    <w:rsid w:val="009E5BF4"/>
    <w:rsid w:val="009E695E"/>
    <w:rsid w:val="009E7508"/>
    <w:rsid w:val="009F050F"/>
    <w:rsid w:val="009F05AE"/>
    <w:rsid w:val="009F0973"/>
    <w:rsid w:val="009F0FA5"/>
    <w:rsid w:val="009F17DB"/>
    <w:rsid w:val="009F22D9"/>
    <w:rsid w:val="009F2D31"/>
    <w:rsid w:val="009F2E71"/>
    <w:rsid w:val="009F3917"/>
    <w:rsid w:val="009F3D96"/>
    <w:rsid w:val="009F5573"/>
    <w:rsid w:val="009F57E5"/>
    <w:rsid w:val="009F592F"/>
    <w:rsid w:val="009F5C77"/>
    <w:rsid w:val="009F641A"/>
    <w:rsid w:val="009F6719"/>
    <w:rsid w:val="009F6D3A"/>
    <w:rsid w:val="009F709D"/>
    <w:rsid w:val="009F79B1"/>
    <w:rsid w:val="009F79FA"/>
    <w:rsid w:val="009F7D6E"/>
    <w:rsid w:val="00A0028F"/>
    <w:rsid w:val="00A0069B"/>
    <w:rsid w:val="00A008F5"/>
    <w:rsid w:val="00A0217F"/>
    <w:rsid w:val="00A02AF1"/>
    <w:rsid w:val="00A03BDC"/>
    <w:rsid w:val="00A03BDE"/>
    <w:rsid w:val="00A03CD1"/>
    <w:rsid w:val="00A052BE"/>
    <w:rsid w:val="00A054DA"/>
    <w:rsid w:val="00A05C8F"/>
    <w:rsid w:val="00A06797"/>
    <w:rsid w:val="00A07800"/>
    <w:rsid w:val="00A11F1C"/>
    <w:rsid w:val="00A122A3"/>
    <w:rsid w:val="00A13248"/>
    <w:rsid w:val="00A1383D"/>
    <w:rsid w:val="00A142E4"/>
    <w:rsid w:val="00A14C57"/>
    <w:rsid w:val="00A15EDE"/>
    <w:rsid w:val="00A15FC2"/>
    <w:rsid w:val="00A162FC"/>
    <w:rsid w:val="00A164D7"/>
    <w:rsid w:val="00A17215"/>
    <w:rsid w:val="00A17542"/>
    <w:rsid w:val="00A178F7"/>
    <w:rsid w:val="00A17E41"/>
    <w:rsid w:val="00A2079B"/>
    <w:rsid w:val="00A21430"/>
    <w:rsid w:val="00A21894"/>
    <w:rsid w:val="00A230C3"/>
    <w:rsid w:val="00A2371E"/>
    <w:rsid w:val="00A23B48"/>
    <w:rsid w:val="00A23EEA"/>
    <w:rsid w:val="00A241D2"/>
    <w:rsid w:val="00A24591"/>
    <w:rsid w:val="00A2540C"/>
    <w:rsid w:val="00A25B04"/>
    <w:rsid w:val="00A25C5D"/>
    <w:rsid w:val="00A25C77"/>
    <w:rsid w:val="00A26746"/>
    <w:rsid w:val="00A26A54"/>
    <w:rsid w:val="00A26B94"/>
    <w:rsid w:val="00A26DFD"/>
    <w:rsid w:val="00A27C85"/>
    <w:rsid w:val="00A317E4"/>
    <w:rsid w:val="00A31A89"/>
    <w:rsid w:val="00A31DBB"/>
    <w:rsid w:val="00A320B8"/>
    <w:rsid w:val="00A32366"/>
    <w:rsid w:val="00A32485"/>
    <w:rsid w:val="00A32BC8"/>
    <w:rsid w:val="00A33DE9"/>
    <w:rsid w:val="00A33DEE"/>
    <w:rsid w:val="00A34A31"/>
    <w:rsid w:val="00A3524B"/>
    <w:rsid w:val="00A36144"/>
    <w:rsid w:val="00A3698C"/>
    <w:rsid w:val="00A36EBF"/>
    <w:rsid w:val="00A372EA"/>
    <w:rsid w:val="00A37C07"/>
    <w:rsid w:val="00A40533"/>
    <w:rsid w:val="00A4069F"/>
    <w:rsid w:val="00A40BC2"/>
    <w:rsid w:val="00A40D85"/>
    <w:rsid w:val="00A42F70"/>
    <w:rsid w:val="00A43014"/>
    <w:rsid w:val="00A43528"/>
    <w:rsid w:val="00A4376E"/>
    <w:rsid w:val="00A4380B"/>
    <w:rsid w:val="00A45134"/>
    <w:rsid w:val="00A45277"/>
    <w:rsid w:val="00A4569B"/>
    <w:rsid w:val="00A46A92"/>
    <w:rsid w:val="00A46F43"/>
    <w:rsid w:val="00A47EBD"/>
    <w:rsid w:val="00A50019"/>
    <w:rsid w:val="00A508A5"/>
    <w:rsid w:val="00A50FB2"/>
    <w:rsid w:val="00A510B1"/>
    <w:rsid w:val="00A51652"/>
    <w:rsid w:val="00A51E12"/>
    <w:rsid w:val="00A5230C"/>
    <w:rsid w:val="00A524C7"/>
    <w:rsid w:val="00A527FE"/>
    <w:rsid w:val="00A52A8F"/>
    <w:rsid w:val="00A5393B"/>
    <w:rsid w:val="00A54125"/>
    <w:rsid w:val="00A541A9"/>
    <w:rsid w:val="00A5458D"/>
    <w:rsid w:val="00A550AF"/>
    <w:rsid w:val="00A56352"/>
    <w:rsid w:val="00A5656C"/>
    <w:rsid w:val="00A56C0D"/>
    <w:rsid w:val="00A604AA"/>
    <w:rsid w:val="00A60A6B"/>
    <w:rsid w:val="00A60B1F"/>
    <w:rsid w:val="00A60FDB"/>
    <w:rsid w:val="00A61194"/>
    <w:rsid w:val="00A61D88"/>
    <w:rsid w:val="00A62BF9"/>
    <w:rsid w:val="00A637F3"/>
    <w:rsid w:val="00A63FD1"/>
    <w:rsid w:val="00A64BBD"/>
    <w:rsid w:val="00A64CAA"/>
    <w:rsid w:val="00A654FC"/>
    <w:rsid w:val="00A65C42"/>
    <w:rsid w:val="00A65DD2"/>
    <w:rsid w:val="00A66859"/>
    <w:rsid w:val="00A66A71"/>
    <w:rsid w:val="00A67176"/>
    <w:rsid w:val="00A674ED"/>
    <w:rsid w:val="00A70021"/>
    <w:rsid w:val="00A70FCA"/>
    <w:rsid w:val="00A72432"/>
    <w:rsid w:val="00A725CA"/>
    <w:rsid w:val="00A72A41"/>
    <w:rsid w:val="00A730A5"/>
    <w:rsid w:val="00A73536"/>
    <w:rsid w:val="00A736CA"/>
    <w:rsid w:val="00A73714"/>
    <w:rsid w:val="00A73B2D"/>
    <w:rsid w:val="00A73E1E"/>
    <w:rsid w:val="00A75267"/>
    <w:rsid w:val="00A756C7"/>
    <w:rsid w:val="00A75764"/>
    <w:rsid w:val="00A75965"/>
    <w:rsid w:val="00A76707"/>
    <w:rsid w:val="00A77877"/>
    <w:rsid w:val="00A8028B"/>
    <w:rsid w:val="00A80821"/>
    <w:rsid w:val="00A81678"/>
    <w:rsid w:val="00A823CA"/>
    <w:rsid w:val="00A82BC1"/>
    <w:rsid w:val="00A83628"/>
    <w:rsid w:val="00A83DF3"/>
    <w:rsid w:val="00A842BF"/>
    <w:rsid w:val="00A84388"/>
    <w:rsid w:val="00A84C46"/>
    <w:rsid w:val="00A84DA8"/>
    <w:rsid w:val="00A85ABC"/>
    <w:rsid w:val="00A85C3A"/>
    <w:rsid w:val="00A85EE8"/>
    <w:rsid w:val="00A861DB"/>
    <w:rsid w:val="00A908CA"/>
    <w:rsid w:val="00A90BF5"/>
    <w:rsid w:val="00A91E8B"/>
    <w:rsid w:val="00A91F47"/>
    <w:rsid w:val="00A91F6B"/>
    <w:rsid w:val="00A91FAE"/>
    <w:rsid w:val="00A9287B"/>
    <w:rsid w:val="00A92BE3"/>
    <w:rsid w:val="00A92D74"/>
    <w:rsid w:val="00A92DA6"/>
    <w:rsid w:val="00A92E52"/>
    <w:rsid w:val="00A934FC"/>
    <w:rsid w:val="00A937F5"/>
    <w:rsid w:val="00A93F84"/>
    <w:rsid w:val="00A94686"/>
    <w:rsid w:val="00A9488E"/>
    <w:rsid w:val="00A94941"/>
    <w:rsid w:val="00A94D2A"/>
    <w:rsid w:val="00A94EE9"/>
    <w:rsid w:val="00A95A89"/>
    <w:rsid w:val="00A95F2D"/>
    <w:rsid w:val="00A96263"/>
    <w:rsid w:val="00A965B0"/>
    <w:rsid w:val="00A965EA"/>
    <w:rsid w:val="00A96F49"/>
    <w:rsid w:val="00A97252"/>
    <w:rsid w:val="00A977F8"/>
    <w:rsid w:val="00A979D6"/>
    <w:rsid w:val="00AA0033"/>
    <w:rsid w:val="00AA0615"/>
    <w:rsid w:val="00AA0ECC"/>
    <w:rsid w:val="00AA1153"/>
    <w:rsid w:val="00AA11AC"/>
    <w:rsid w:val="00AA256C"/>
    <w:rsid w:val="00AA2845"/>
    <w:rsid w:val="00AA3417"/>
    <w:rsid w:val="00AA3763"/>
    <w:rsid w:val="00AA385F"/>
    <w:rsid w:val="00AA3BBF"/>
    <w:rsid w:val="00AA42CC"/>
    <w:rsid w:val="00AA4914"/>
    <w:rsid w:val="00AA6000"/>
    <w:rsid w:val="00AA656C"/>
    <w:rsid w:val="00AA65B5"/>
    <w:rsid w:val="00AA768A"/>
    <w:rsid w:val="00AA7C7A"/>
    <w:rsid w:val="00AA7F56"/>
    <w:rsid w:val="00AB0103"/>
    <w:rsid w:val="00AB0647"/>
    <w:rsid w:val="00AB07F9"/>
    <w:rsid w:val="00AB09C2"/>
    <w:rsid w:val="00AB0D13"/>
    <w:rsid w:val="00AB11F7"/>
    <w:rsid w:val="00AB14C4"/>
    <w:rsid w:val="00AB1574"/>
    <w:rsid w:val="00AB3082"/>
    <w:rsid w:val="00AB3B6F"/>
    <w:rsid w:val="00AB4C6E"/>
    <w:rsid w:val="00AB52B7"/>
    <w:rsid w:val="00AB52EB"/>
    <w:rsid w:val="00AB6FF9"/>
    <w:rsid w:val="00AB76F6"/>
    <w:rsid w:val="00AC07C1"/>
    <w:rsid w:val="00AC09BF"/>
    <w:rsid w:val="00AC0C77"/>
    <w:rsid w:val="00AC1EB4"/>
    <w:rsid w:val="00AC21F1"/>
    <w:rsid w:val="00AC2914"/>
    <w:rsid w:val="00AC2EB3"/>
    <w:rsid w:val="00AC3602"/>
    <w:rsid w:val="00AC4528"/>
    <w:rsid w:val="00AC4A45"/>
    <w:rsid w:val="00AC56D6"/>
    <w:rsid w:val="00AC66F7"/>
    <w:rsid w:val="00AC6A8A"/>
    <w:rsid w:val="00AC6AE9"/>
    <w:rsid w:val="00AC70B9"/>
    <w:rsid w:val="00AC7426"/>
    <w:rsid w:val="00AC7515"/>
    <w:rsid w:val="00AC7DCC"/>
    <w:rsid w:val="00AD0411"/>
    <w:rsid w:val="00AD06A2"/>
    <w:rsid w:val="00AD08B6"/>
    <w:rsid w:val="00AD0A8A"/>
    <w:rsid w:val="00AD1329"/>
    <w:rsid w:val="00AD16AB"/>
    <w:rsid w:val="00AD229B"/>
    <w:rsid w:val="00AD2516"/>
    <w:rsid w:val="00AD2AF9"/>
    <w:rsid w:val="00AD3599"/>
    <w:rsid w:val="00AD36FD"/>
    <w:rsid w:val="00AD3AD7"/>
    <w:rsid w:val="00AD3CAF"/>
    <w:rsid w:val="00AD4881"/>
    <w:rsid w:val="00AD4B73"/>
    <w:rsid w:val="00AD5489"/>
    <w:rsid w:val="00AD5B8C"/>
    <w:rsid w:val="00AD5E4E"/>
    <w:rsid w:val="00AD6338"/>
    <w:rsid w:val="00AD6503"/>
    <w:rsid w:val="00AD67A5"/>
    <w:rsid w:val="00AD6AF4"/>
    <w:rsid w:val="00AD732E"/>
    <w:rsid w:val="00AD73D1"/>
    <w:rsid w:val="00AE0371"/>
    <w:rsid w:val="00AE04A6"/>
    <w:rsid w:val="00AE3011"/>
    <w:rsid w:val="00AE31FC"/>
    <w:rsid w:val="00AE326A"/>
    <w:rsid w:val="00AE3D36"/>
    <w:rsid w:val="00AE406D"/>
    <w:rsid w:val="00AE4838"/>
    <w:rsid w:val="00AE6621"/>
    <w:rsid w:val="00AE716C"/>
    <w:rsid w:val="00AE7C91"/>
    <w:rsid w:val="00AF048A"/>
    <w:rsid w:val="00AF0F24"/>
    <w:rsid w:val="00AF1DB2"/>
    <w:rsid w:val="00AF243B"/>
    <w:rsid w:val="00AF24AE"/>
    <w:rsid w:val="00AF2673"/>
    <w:rsid w:val="00AF282D"/>
    <w:rsid w:val="00AF2E12"/>
    <w:rsid w:val="00AF37B5"/>
    <w:rsid w:val="00AF3DF4"/>
    <w:rsid w:val="00AF496E"/>
    <w:rsid w:val="00AF4B1D"/>
    <w:rsid w:val="00AF4D94"/>
    <w:rsid w:val="00AF5142"/>
    <w:rsid w:val="00AF54D2"/>
    <w:rsid w:val="00AF56D9"/>
    <w:rsid w:val="00AF5B69"/>
    <w:rsid w:val="00AF5C91"/>
    <w:rsid w:val="00AF694B"/>
    <w:rsid w:val="00AF6A70"/>
    <w:rsid w:val="00B00B4C"/>
    <w:rsid w:val="00B01363"/>
    <w:rsid w:val="00B01894"/>
    <w:rsid w:val="00B01D53"/>
    <w:rsid w:val="00B020EC"/>
    <w:rsid w:val="00B027B5"/>
    <w:rsid w:val="00B03451"/>
    <w:rsid w:val="00B038A7"/>
    <w:rsid w:val="00B03AAF"/>
    <w:rsid w:val="00B0408C"/>
    <w:rsid w:val="00B04707"/>
    <w:rsid w:val="00B055C7"/>
    <w:rsid w:val="00B057AD"/>
    <w:rsid w:val="00B05839"/>
    <w:rsid w:val="00B05875"/>
    <w:rsid w:val="00B05973"/>
    <w:rsid w:val="00B05DFC"/>
    <w:rsid w:val="00B06669"/>
    <w:rsid w:val="00B066CE"/>
    <w:rsid w:val="00B0680F"/>
    <w:rsid w:val="00B06958"/>
    <w:rsid w:val="00B07D2B"/>
    <w:rsid w:val="00B107C8"/>
    <w:rsid w:val="00B1185F"/>
    <w:rsid w:val="00B1247F"/>
    <w:rsid w:val="00B12618"/>
    <w:rsid w:val="00B1287C"/>
    <w:rsid w:val="00B12C2F"/>
    <w:rsid w:val="00B12E53"/>
    <w:rsid w:val="00B131E4"/>
    <w:rsid w:val="00B13382"/>
    <w:rsid w:val="00B1387F"/>
    <w:rsid w:val="00B142D8"/>
    <w:rsid w:val="00B14507"/>
    <w:rsid w:val="00B16375"/>
    <w:rsid w:val="00B16760"/>
    <w:rsid w:val="00B1764E"/>
    <w:rsid w:val="00B17B7C"/>
    <w:rsid w:val="00B21433"/>
    <w:rsid w:val="00B22E83"/>
    <w:rsid w:val="00B23D76"/>
    <w:rsid w:val="00B24004"/>
    <w:rsid w:val="00B248B9"/>
    <w:rsid w:val="00B265F1"/>
    <w:rsid w:val="00B27704"/>
    <w:rsid w:val="00B278EA"/>
    <w:rsid w:val="00B27CED"/>
    <w:rsid w:val="00B315F8"/>
    <w:rsid w:val="00B31760"/>
    <w:rsid w:val="00B317D2"/>
    <w:rsid w:val="00B31859"/>
    <w:rsid w:val="00B32522"/>
    <w:rsid w:val="00B32B3E"/>
    <w:rsid w:val="00B33C47"/>
    <w:rsid w:val="00B35150"/>
    <w:rsid w:val="00B3611F"/>
    <w:rsid w:val="00B37D42"/>
    <w:rsid w:val="00B40513"/>
    <w:rsid w:val="00B416B1"/>
    <w:rsid w:val="00B416D5"/>
    <w:rsid w:val="00B41944"/>
    <w:rsid w:val="00B41C84"/>
    <w:rsid w:val="00B41F5C"/>
    <w:rsid w:val="00B4202A"/>
    <w:rsid w:val="00B4206A"/>
    <w:rsid w:val="00B42A71"/>
    <w:rsid w:val="00B42AF7"/>
    <w:rsid w:val="00B42E0F"/>
    <w:rsid w:val="00B437A3"/>
    <w:rsid w:val="00B43895"/>
    <w:rsid w:val="00B43F3E"/>
    <w:rsid w:val="00B43F48"/>
    <w:rsid w:val="00B4467F"/>
    <w:rsid w:val="00B44C76"/>
    <w:rsid w:val="00B454DB"/>
    <w:rsid w:val="00B45879"/>
    <w:rsid w:val="00B459C6"/>
    <w:rsid w:val="00B46BC7"/>
    <w:rsid w:val="00B47348"/>
    <w:rsid w:val="00B47363"/>
    <w:rsid w:val="00B4789F"/>
    <w:rsid w:val="00B47BF2"/>
    <w:rsid w:val="00B5087D"/>
    <w:rsid w:val="00B51AD6"/>
    <w:rsid w:val="00B52074"/>
    <w:rsid w:val="00B528CD"/>
    <w:rsid w:val="00B5295B"/>
    <w:rsid w:val="00B5296B"/>
    <w:rsid w:val="00B52A69"/>
    <w:rsid w:val="00B52ABD"/>
    <w:rsid w:val="00B530E5"/>
    <w:rsid w:val="00B5333E"/>
    <w:rsid w:val="00B543E0"/>
    <w:rsid w:val="00B54444"/>
    <w:rsid w:val="00B55C6E"/>
    <w:rsid w:val="00B564C8"/>
    <w:rsid w:val="00B56E7D"/>
    <w:rsid w:val="00B571C4"/>
    <w:rsid w:val="00B57804"/>
    <w:rsid w:val="00B57A57"/>
    <w:rsid w:val="00B57D63"/>
    <w:rsid w:val="00B6000E"/>
    <w:rsid w:val="00B60D5A"/>
    <w:rsid w:val="00B61982"/>
    <w:rsid w:val="00B61E8D"/>
    <w:rsid w:val="00B61F0C"/>
    <w:rsid w:val="00B620DA"/>
    <w:rsid w:val="00B62369"/>
    <w:rsid w:val="00B64366"/>
    <w:rsid w:val="00B656BD"/>
    <w:rsid w:val="00B656D3"/>
    <w:rsid w:val="00B659BA"/>
    <w:rsid w:val="00B65CA0"/>
    <w:rsid w:val="00B6682E"/>
    <w:rsid w:val="00B670C0"/>
    <w:rsid w:val="00B675E9"/>
    <w:rsid w:val="00B67CC1"/>
    <w:rsid w:val="00B7035E"/>
    <w:rsid w:val="00B708CF"/>
    <w:rsid w:val="00B71282"/>
    <w:rsid w:val="00B71B4C"/>
    <w:rsid w:val="00B71E73"/>
    <w:rsid w:val="00B71FF4"/>
    <w:rsid w:val="00B72B0F"/>
    <w:rsid w:val="00B737BC"/>
    <w:rsid w:val="00B739DF"/>
    <w:rsid w:val="00B73BC9"/>
    <w:rsid w:val="00B74348"/>
    <w:rsid w:val="00B75202"/>
    <w:rsid w:val="00B75D27"/>
    <w:rsid w:val="00B769CD"/>
    <w:rsid w:val="00B808C6"/>
    <w:rsid w:val="00B81897"/>
    <w:rsid w:val="00B8203C"/>
    <w:rsid w:val="00B8275C"/>
    <w:rsid w:val="00B83084"/>
    <w:rsid w:val="00B8367F"/>
    <w:rsid w:val="00B83975"/>
    <w:rsid w:val="00B84E01"/>
    <w:rsid w:val="00B84E4B"/>
    <w:rsid w:val="00B85B60"/>
    <w:rsid w:val="00B85E81"/>
    <w:rsid w:val="00B86B02"/>
    <w:rsid w:val="00B86E7E"/>
    <w:rsid w:val="00B8777E"/>
    <w:rsid w:val="00B913A2"/>
    <w:rsid w:val="00B9144A"/>
    <w:rsid w:val="00B91881"/>
    <w:rsid w:val="00B91E26"/>
    <w:rsid w:val="00B91F83"/>
    <w:rsid w:val="00B9231B"/>
    <w:rsid w:val="00B925BA"/>
    <w:rsid w:val="00B93167"/>
    <w:rsid w:val="00B95335"/>
    <w:rsid w:val="00B97785"/>
    <w:rsid w:val="00B9793A"/>
    <w:rsid w:val="00B97DB1"/>
    <w:rsid w:val="00BA01AD"/>
    <w:rsid w:val="00BA0C1A"/>
    <w:rsid w:val="00BA1033"/>
    <w:rsid w:val="00BA26AC"/>
    <w:rsid w:val="00BA2E38"/>
    <w:rsid w:val="00BA2E75"/>
    <w:rsid w:val="00BA530E"/>
    <w:rsid w:val="00BA5509"/>
    <w:rsid w:val="00BA57D6"/>
    <w:rsid w:val="00BA58C4"/>
    <w:rsid w:val="00BA59D8"/>
    <w:rsid w:val="00BA6A99"/>
    <w:rsid w:val="00BA6ACF"/>
    <w:rsid w:val="00BA6C9C"/>
    <w:rsid w:val="00BA7092"/>
    <w:rsid w:val="00BA7D9E"/>
    <w:rsid w:val="00BA7DC6"/>
    <w:rsid w:val="00BB0B7E"/>
    <w:rsid w:val="00BB10D2"/>
    <w:rsid w:val="00BB2310"/>
    <w:rsid w:val="00BB2F6F"/>
    <w:rsid w:val="00BB3042"/>
    <w:rsid w:val="00BB34F3"/>
    <w:rsid w:val="00BB36D1"/>
    <w:rsid w:val="00BB3E2B"/>
    <w:rsid w:val="00BB4DDE"/>
    <w:rsid w:val="00BB592D"/>
    <w:rsid w:val="00BB6111"/>
    <w:rsid w:val="00BB6541"/>
    <w:rsid w:val="00BB6C7C"/>
    <w:rsid w:val="00BB6E59"/>
    <w:rsid w:val="00BB7A55"/>
    <w:rsid w:val="00BB7C9D"/>
    <w:rsid w:val="00BC0394"/>
    <w:rsid w:val="00BC0715"/>
    <w:rsid w:val="00BC0C21"/>
    <w:rsid w:val="00BC1596"/>
    <w:rsid w:val="00BC1841"/>
    <w:rsid w:val="00BC1AF5"/>
    <w:rsid w:val="00BC2ED9"/>
    <w:rsid w:val="00BC393D"/>
    <w:rsid w:val="00BC3D54"/>
    <w:rsid w:val="00BC48C3"/>
    <w:rsid w:val="00BC4C21"/>
    <w:rsid w:val="00BC53D3"/>
    <w:rsid w:val="00BC54B1"/>
    <w:rsid w:val="00BC54B5"/>
    <w:rsid w:val="00BC62C0"/>
    <w:rsid w:val="00BC7438"/>
    <w:rsid w:val="00BC79F4"/>
    <w:rsid w:val="00BD0358"/>
    <w:rsid w:val="00BD0530"/>
    <w:rsid w:val="00BD0DB1"/>
    <w:rsid w:val="00BD15E1"/>
    <w:rsid w:val="00BD1B49"/>
    <w:rsid w:val="00BD2DA1"/>
    <w:rsid w:val="00BD2FDB"/>
    <w:rsid w:val="00BD38B7"/>
    <w:rsid w:val="00BD3CE9"/>
    <w:rsid w:val="00BD3D88"/>
    <w:rsid w:val="00BD4045"/>
    <w:rsid w:val="00BD4C66"/>
    <w:rsid w:val="00BD5B02"/>
    <w:rsid w:val="00BD5F22"/>
    <w:rsid w:val="00BD6095"/>
    <w:rsid w:val="00BD6D82"/>
    <w:rsid w:val="00BD6DC1"/>
    <w:rsid w:val="00BE0B76"/>
    <w:rsid w:val="00BE0E74"/>
    <w:rsid w:val="00BE1014"/>
    <w:rsid w:val="00BE1086"/>
    <w:rsid w:val="00BE24DC"/>
    <w:rsid w:val="00BE2AFD"/>
    <w:rsid w:val="00BE3185"/>
    <w:rsid w:val="00BE3533"/>
    <w:rsid w:val="00BE3831"/>
    <w:rsid w:val="00BE3A26"/>
    <w:rsid w:val="00BE48E9"/>
    <w:rsid w:val="00BE565F"/>
    <w:rsid w:val="00BE5F87"/>
    <w:rsid w:val="00BE5FA4"/>
    <w:rsid w:val="00BE6643"/>
    <w:rsid w:val="00BE6AD0"/>
    <w:rsid w:val="00BE7FA7"/>
    <w:rsid w:val="00BF02AF"/>
    <w:rsid w:val="00BF05CB"/>
    <w:rsid w:val="00BF1EA0"/>
    <w:rsid w:val="00BF3DA1"/>
    <w:rsid w:val="00BF446C"/>
    <w:rsid w:val="00BF5152"/>
    <w:rsid w:val="00BF5FF2"/>
    <w:rsid w:val="00BF6806"/>
    <w:rsid w:val="00BF71B6"/>
    <w:rsid w:val="00BF7F36"/>
    <w:rsid w:val="00C00C9F"/>
    <w:rsid w:val="00C011C5"/>
    <w:rsid w:val="00C01B91"/>
    <w:rsid w:val="00C02B3E"/>
    <w:rsid w:val="00C046DF"/>
    <w:rsid w:val="00C04854"/>
    <w:rsid w:val="00C050F5"/>
    <w:rsid w:val="00C052C3"/>
    <w:rsid w:val="00C053D6"/>
    <w:rsid w:val="00C068C2"/>
    <w:rsid w:val="00C07222"/>
    <w:rsid w:val="00C0797E"/>
    <w:rsid w:val="00C10C81"/>
    <w:rsid w:val="00C10CAB"/>
    <w:rsid w:val="00C11AEB"/>
    <w:rsid w:val="00C12073"/>
    <w:rsid w:val="00C126F6"/>
    <w:rsid w:val="00C12FF9"/>
    <w:rsid w:val="00C1352C"/>
    <w:rsid w:val="00C14225"/>
    <w:rsid w:val="00C143EC"/>
    <w:rsid w:val="00C162D0"/>
    <w:rsid w:val="00C16FF7"/>
    <w:rsid w:val="00C171B9"/>
    <w:rsid w:val="00C175FD"/>
    <w:rsid w:val="00C17C0C"/>
    <w:rsid w:val="00C206B5"/>
    <w:rsid w:val="00C207DD"/>
    <w:rsid w:val="00C2087F"/>
    <w:rsid w:val="00C20DBE"/>
    <w:rsid w:val="00C20EA7"/>
    <w:rsid w:val="00C20F83"/>
    <w:rsid w:val="00C21A18"/>
    <w:rsid w:val="00C21CB1"/>
    <w:rsid w:val="00C22A8E"/>
    <w:rsid w:val="00C22B46"/>
    <w:rsid w:val="00C22DF6"/>
    <w:rsid w:val="00C23F29"/>
    <w:rsid w:val="00C2410B"/>
    <w:rsid w:val="00C24B0E"/>
    <w:rsid w:val="00C25E99"/>
    <w:rsid w:val="00C2622C"/>
    <w:rsid w:val="00C2681D"/>
    <w:rsid w:val="00C27AE0"/>
    <w:rsid w:val="00C30300"/>
    <w:rsid w:val="00C30806"/>
    <w:rsid w:val="00C308F9"/>
    <w:rsid w:val="00C30C4F"/>
    <w:rsid w:val="00C31C06"/>
    <w:rsid w:val="00C330A9"/>
    <w:rsid w:val="00C33CE0"/>
    <w:rsid w:val="00C33E60"/>
    <w:rsid w:val="00C34433"/>
    <w:rsid w:val="00C3459C"/>
    <w:rsid w:val="00C348E4"/>
    <w:rsid w:val="00C351EE"/>
    <w:rsid w:val="00C36CC0"/>
    <w:rsid w:val="00C37207"/>
    <w:rsid w:val="00C37C6A"/>
    <w:rsid w:val="00C40D8B"/>
    <w:rsid w:val="00C43302"/>
    <w:rsid w:val="00C4331E"/>
    <w:rsid w:val="00C4349C"/>
    <w:rsid w:val="00C434DD"/>
    <w:rsid w:val="00C43FA3"/>
    <w:rsid w:val="00C44176"/>
    <w:rsid w:val="00C44485"/>
    <w:rsid w:val="00C4451D"/>
    <w:rsid w:val="00C45018"/>
    <w:rsid w:val="00C509AE"/>
    <w:rsid w:val="00C519FC"/>
    <w:rsid w:val="00C5269D"/>
    <w:rsid w:val="00C5278C"/>
    <w:rsid w:val="00C527EF"/>
    <w:rsid w:val="00C52A0E"/>
    <w:rsid w:val="00C52CDD"/>
    <w:rsid w:val="00C5328E"/>
    <w:rsid w:val="00C5398D"/>
    <w:rsid w:val="00C53CCF"/>
    <w:rsid w:val="00C54277"/>
    <w:rsid w:val="00C54B3D"/>
    <w:rsid w:val="00C55358"/>
    <w:rsid w:val="00C556A1"/>
    <w:rsid w:val="00C55CED"/>
    <w:rsid w:val="00C5609D"/>
    <w:rsid w:val="00C578A5"/>
    <w:rsid w:val="00C57981"/>
    <w:rsid w:val="00C57B09"/>
    <w:rsid w:val="00C6038D"/>
    <w:rsid w:val="00C60738"/>
    <w:rsid w:val="00C60A0C"/>
    <w:rsid w:val="00C60B32"/>
    <w:rsid w:val="00C61E9D"/>
    <w:rsid w:val="00C61ED4"/>
    <w:rsid w:val="00C62586"/>
    <w:rsid w:val="00C6286A"/>
    <w:rsid w:val="00C62BEC"/>
    <w:rsid w:val="00C62D3F"/>
    <w:rsid w:val="00C635D1"/>
    <w:rsid w:val="00C63C3B"/>
    <w:rsid w:val="00C63CFF"/>
    <w:rsid w:val="00C63E29"/>
    <w:rsid w:val="00C6416F"/>
    <w:rsid w:val="00C647C4"/>
    <w:rsid w:val="00C65197"/>
    <w:rsid w:val="00C65ABA"/>
    <w:rsid w:val="00C66D89"/>
    <w:rsid w:val="00C67000"/>
    <w:rsid w:val="00C6708A"/>
    <w:rsid w:val="00C67AAA"/>
    <w:rsid w:val="00C67AB6"/>
    <w:rsid w:val="00C707D3"/>
    <w:rsid w:val="00C70FAC"/>
    <w:rsid w:val="00C72069"/>
    <w:rsid w:val="00C727F4"/>
    <w:rsid w:val="00C73415"/>
    <w:rsid w:val="00C73A23"/>
    <w:rsid w:val="00C73CC1"/>
    <w:rsid w:val="00C741F1"/>
    <w:rsid w:val="00C7462F"/>
    <w:rsid w:val="00C757B2"/>
    <w:rsid w:val="00C7634E"/>
    <w:rsid w:val="00C76D1E"/>
    <w:rsid w:val="00C77C7D"/>
    <w:rsid w:val="00C8040A"/>
    <w:rsid w:val="00C80554"/>
    <w:rsid w:val="00C823BD"/>
    <w:rsid w:val="00C82446"/>
    <w:rsid w:val="00C825F4"/>
    <w:rsid w:val="00C82834"/>
    <w:rsid w:val="00C82B96"/>
    <w:rsid w:val="00C833FB"/>
    <w:rsid w:val="00C83791"/>
    <w:rsid w:val="00C837E6"/>
    <w:rsid w:val="00C83A95"/>
    <w:rsid w:val="00C8524E"/>
    <w:rsid w:val="00C858E3"/>
    <w:rsid w:val="00C90BD9"/>
    <w:rsid w:val="00C911BD"/>
    <w:rsid w:val="00C9204C"/>
    <w:rsid w:val="00C923F1"/>
    <w:rsid w:val="00C93D30"/>
    <w:rsid w:val="00C941BA"/>
    <w:rsid w:val="00C94DA4"/>
    <w:rsid w:val="00C95309"/>
    <w:rsid w:val="00C95D5A"/>
    <w:rsid w:val="00C95E44"/>
    <w:rsid w:val="00C96CF7"/>
    <w:rsid w:val="00C975A6"/>
    <w:rsid w:val="00C97EBD"/>
    <w:rsid w:val="00CA0D19"/>
    <w:rsid w:val="00CA13DF"/>
    <w:rsid w:val="00CA14EF"/>
    <w:rsid w:val="00CA2188"/>
    <w:rsid w:val="00CA29D8"/>
    <w:rsid w:val="00CA333C"/>
    <w:rsid w:val="00CA360A"/>
    <w:rsid w:val="00CA3BD3"/>
    <w:rsid w:val="00CA5700"/>
    <w:rsid w:val="00CA5842"/>
    <w:rsid w:val="00CA5A6F"/>
    <w:rsid w:val="00CA5E9C"/>
    <w:rsid w:val="00CA5F19"/>
    <w:rsid w:val="00CA6410"/>
    <w:rsid w:val="00CA73DF"/>
    <w:rsid w:val="00CA74A6"/>
    <w:rsid w:val="00CB0EA8"/>
    <w:rsid w:val="00CB2095"/>
    <w:rsid w:val="00CB21CE"/>
    <w:rsid w:val="00CB3750"/>
    <w:rsid w:val="00CB4BFF"/>
    <w:rsid w:val="00CB5B11"/>
    <w:rsid w:val="00CB5E9A"/>
    <w:rsid w:val="00CB656C"/>
    <w:rsid w:val="00CB69C3"/>
    <w:rsid w:val="00CB6A99"/>
    <w:rsid w:val="00CB7DDC"/>
    <w:rsid w:val="00CB7DFC"/>
    <w:rsid w:val="00CC0273"/>
    <w:rsid w:val="00CC0431"/>
    <w:rsid w:val="00CC0579"/>
    <w:rsid w:val="00CC0D25"/>
    <w:rsid w:val="00CC124D"/>
    <w:rsid w:val="00CC18E0"/>
    <w:rsid w:val="00CC297C"/>
    <w:rsid w:val="00CC3304"/>
    <w:rsid w:val="00CC4435"/>
    <w:rsid w:val="00CC4D5C"/>
    <w:rsid w:val="00CC54B6"/>
    <w:rsid w:val="00CC6033"/>
    <w:rsid w:val="00CC65A8"/>
    <w:rsid w:val="00CC6661"/>
    <w:rsid w:val="00CC6A2E"/>
    <w:rsid w:val="00CC6AE5"/>
    <w:rsid w:val="00CC6D98"/>
    <w:rsid w:val="00CC6E6A"/>
    <w:rsid w:val="00CC7181"/>
    <w:rsid w:val="00CC7B0D"/>
    <w:rsid w:val="00CD0110"/>
    <w:rsid w:val="00CD0408"/>
    <w:rsid w:val="00CD110A"/>
    <w:rsid w:val="00CD1E20"/>
    <w:rsid w:val="00CD2635"/>
    <w:rsid w:val="00CD2E71"/>
    <w:rsid w:val="00CD33FB"/>
    <w:rsid w:val="00CD34D4"/>
    <w:rsid w:val="00CD35F9"/>
    <w:rsid w:val="00CD361A"/>
    <w:rsid w:val="00CD3B8D"/>
    <w:rsid w:val="00CD3CBB"/>
    <w:rsid w:val="00CD3F54"/>
    <w:rsid w:val="00CD4CA2"/>
    <w:rsid w:val="00CD5266"/>
    <w:rsid w:val="00CD5913"/>
    <w:rsid w:val="00CD5B04"/>
    <w:rsid w:val="00CD657F"/>
    <w:rsid w:val="00CD675C"/>
    <w:rsid w:val="00CD6B12"/>
    <w:rsid w:val="00CD6E35"/>
    <w:rsid w:val="00CD7117"/>
    <w:rsid w:val="00CE0BE2"/>
    <w:rsid w:val="00CE0E30"/>
    <w:rsid w:val="00CE1189"/>
    <w:rsid w:val="00CE187D"/>
    <w:rsid w:val="00CE2422"/>
    <w:rsid w:val="00CE2780"/>
    <w:rsid w:val="00CE28C9"/>
    <w:rsid w:val="00CE3511"/>
    <w:rsid w:val="00CE3601"/>
    <w:rsid w:val="00CE37B8"/>
    <w:rsid w:val="00CE408A"/>
    <w:rsid w:val="00CE44D9"/>
    <w:rsid w:val="00CE5155"/>
    <w:rsid w:val="00CE5933"/>
    <w:rsid w:val="00CE6FB5"/>
    <w:rsid w:val="00CE7F37"/>
    <w:rsid w:val="00CF18AA"/>
    <w:rsid w:val="00CF1A1A"/>
    <w:rsid w:val="00CF1A81"/>
    <w:rsid w:val="00CF1B19"/>
    <w:rsid w:val="00CF1C9B"/>
    <w:rsid w:val="00CF21C9"/>
    <w:rsid w:val="00CF239E"/>
    <w:rsid w:val="00CF2404"/>
    <w:rsid w:val="00CF28C4"/>
    <w:rsid w:val="00CF3308"/>
    <w:rsid w:val="00CF363D"/>
    <w:rsid w:val="00CF3E15"/>
    <w:rsid w:val="00CF483E"/>
    <w:rsid w:val="00CF4C77"/>
    <w:rsid w:val="00CF5107"/>
    <w:rsid w:val="00CF534C"/>
    <w:rsid w:val="00CF5B51"/>
    <w:rsid w:val="00CF637B"/>
    <w:rsid w:val="00CF7604"/>
    <w:rsid w:val="00CF7D28"/>
    <w:rsid w:val="00CF7D52"/>
    <w:rsid w:val="00CF7ED4"/>
    <w:rsid w:val="00D00440"/>
    <w:rsid w:val="00D0071B"/>
    <w:rsid w:val="00D00874"/>
    <w:rsid w:val="00D00DAD"/>
    <w:rsid w:val="00D00F8E"/>
    <w:rsid w:val="00D01654"/>
    <w:rsid w:val="00D020F3"/>
    <w:rsid w:val="00D02671"/>
    <w:rsid w:val="00D029A9"/>
    <w:rsid w:val="00D0304E"/>
    <w:rsid w:val="00D049F0"/>
    <w:rsid w:val="00D04F2A"/>
    <w:rsid w:val="00D04F9F"/>
    <w:rsid w:val="00D05746"/>
    <w:rsid w:val="00D05940"/>
    <w:rsid w:val="00D05E11"/>
    <w:rsid w:val="00D06101"/>
    <w:rsid w:val="00D06219"/>
    <w:rsid w:val="00D072CC"/>
    <w:rsid w:val="00D0764A"/>
    <w:rsid w:val="00D076C7"/>
    <w:rsid w:val="00D07EE2"/>
    <w:rsid w:val="00D11197"/>
    <w:rsid w:val="00D115DB"/>
    <w:rsid w:val="00D11990"/>
    <w:rsid w:val="00D11DF5"/>
    <w:rsid w:val="00D1215D"/>
    <w:rsid w:val="00D12920"/>
    <w:rsid w:val="00D131AA"/>
    <w:rsid w:val="00D135CC"/>
    <w:rsid w:val="00D14285"/>
    <w:rsid w:val="00D14D32"/>
    <w:rsid w:val="00D15508"/>
    <w:rsid w:val="00D157DC"/>
    <w:rsid w:val="00D15D66"/>
    <w:rsid w:val="00D17564"/>
    <w:rsid w:val="00D20F85"/>
    <w:rsid w:val="00D20FF4"/>
    <w:rsid w:val="00D21187"/>
    <w:rsid w:val="00D217A3"/>
    <w:rsid w:val="00D2198A"/>
    <w:rsid w:val="00D21B79"/>
    <w:rsid w:val="00D21E6F"/>
    <w:rsid w:val="00D226F4"/>
    <w:rsid w:val="00D24FED"/>
    <w:rsid w:val="00D258BD"/>
    <w:rsid w:val="00D25B57"/>
    <w:rsid w:val="00D26475"/>
    <w:rsid w:val="00D27347"/>
    <w:rsid w:val="00D30FEA"/>
    <w:rsid w:val="00D31A6F"/>
    <w:rsid w:val="00D3274A"/>
    <w:rsid w:val="00D32807"/>
    <w:rsid w:val="00D32A30"/>
    <w:rsid w:val="00D32A47"/>
    <w:rsid w:val="00D3467A"/>
    <w:rsid w:val="00D3507A"/>
    <w:rsid w:val="00D35408"/>
    <w:rsid w:val="00D358CB"/>
    <w:rsid w:val="00D35E73"/>
    <w:rsid w:val="00D35FE4"/>
    <w:rsid w:val="00D36059"/>
    <w:rsid w:val="00D3684E"/>
    <w:rsid w:val="00D37581"/>
    <w:rsid w:val="00D4014C"/>
    <w:rsid w:val="00D4054C"/>
    <w:rsid w:val="00D40E0F"/>
    <w:rsid w:val="00D4127B"/>
    <w:rsid w:val="00D413D9"/>
    <w:rsid w:val="00D4149C"/>
    <w:rsid w:val="00D41669"/>
    <w:rsid w:val="00D42D2A"/>
    <w:rsid w:val="00D45AC1"/>
    <w:rsid w:val="00D45EBB"/>
    <w:rsid w:val="00D46A37"/>
    <w:rsid w:val="00D4759E"/>
    <w:rsid w:val="00D4775A"/>
    <w:rsid w:val="00D47DE5"/>
    <w:rsid w:val="00D5019F"/>
    <w:rsid w:val="00D50687"/>
    <w:rsid w:val="00D50B7B"/>
    <w:rsid w:val="00D50DB4"/>
    <w:rsid w:val="00D51577"/>
    <w:rsid w:val="00D5298A"/>
    <w:rsid w:val="00D52B7A"/>
    <w:rsid w:val="00D52DD2"/>
    <w:rsid w:val="00D53F45"/>
    <w:rsid w:val="00D54898"/>
    <w:rsid w:val="00D5501C"/>
    <w:rsid w:val="00D5542B"/>
    <w:rsid w:val="00D55C78"/>
    <w:rsid w:val="00D55E19"/>
    <w:rsid w:val="00D56304"/>
    <w:rsid w:val="00D56FA0"/>
    <w:rsid w:val="00D574E1"/>
    <w:rsid w:val="00D57B07"/>
    <w:rsid w:val="00D600B4"/>
    <w:rsid w:val="00D601FD"/>
    <w:rsid w:val="00D60DC4"/>
    <w:rsid w:val="00D61BCA"/>
    <w:rsid w:val="00D6251A"/>
    <w:rsid w:val="00D63CDE"/>
    <w:rsid w:val="00D64703"/>
    <w:rsid w:val="00D64F17"/>
    <w:rsid w:val="00D65513"/>
    <w:rsid w:val="00D66A04"/>
    <w:rsid w:val="00D67894"/>
    <w:rsid w:val="00D67DBC"/>
    <w:rsid w:val="00D70490"/>
    <w:rsid w:val="00D7052A"/>
    <w:rsid w:val="00D723D5"/>
    <w:rsid w:val="00D72658"/>
    <w:rsid w:val="00D72B29"/>
    <w:rsid w:val="00D731D0"/>
    <w:rsid w:val="00D74285"/>
    <w:rsid w:val="00D74CE5"/>
    <w:rsid w:val="00D75830"/>
    <w:rsid w:val="00D77674"/>
    <w:rsid w:val="00D77D6C"/>
    <w:rsid w:val="00D803F9"/>
    <w:rsid w:val="00D821B1"/>
    <w:rsid w:val="00D82CB1"/>
    <w:rsid w:val="00D83D06"/>
    <w:rsid w:val="00D83F16"/>
    <w:rsid w:val="00D84177"/>
    <w:rsid w:val="00D84245"/>
    <w:rsid w:val="00D846F7"/>
    <w:rsid w:val="00D8492C"/>
    <w:rsid w:val="00D84EEC"/>
    <w:rsid w:val="00D8508A"/>
    <w:rsid w:val="00D85284"/>
    <w:rsid w:val="00D86F99"/>
    <w:rsid w:val="00D90131"/>
    <w:rsid w:val="00D90265"/>
    <w:rsid w:val="00D90BF3"/>
    <w:rsid w:val="00D90D63"/>
    <w:rsid w:val="00D90E19"/>
    <w:rsid w:val="00D90EAE"/>
    <w:rsid w:val="00D911A8"/>
    <w:rsid w:val="00D91C3D"/>
    <w:rsid w:val="00D92AA0"/>
    <w:rsid w:val="00D937B0"/>
    <w:rsid w:val="00D9510B"/>
    <w:rsid w:val="00D9612B"/>
    <w:rsid w:val="00D97014"/>
    <w:rsid w:val="00D97AFB"/>
    <w:rsid w:val="00D97C39"/>
    <w:rsid w:val="00DA01EA"/>
    <w:rsid w:val="00DA09D3"/>
    <w:rsid w:val="00DA1CE7"/>
    <w:rsid w:val="00DA1DD9"/>
    <w:rsid w:val="00DA2300"/>
    <w:rsid w:val="00DA23C2"/>
    <w:rsid w:val="00DA24FD"/>
    <w:rsid w:val="00DA2A7D"/>
    <w:rsid w:val="00DA3314"/>
    <w:rsid w:val="00DA44D3"/>
    <w:rsid w:val="00DA53CF"/>
    <w:rsid w:val="00DA5665"/>
    <w:rsid w:val="00DA71FB"/>
    <w:rsid w:val="00DA72ED"/>
    <w:rsid w:val="00DA7462"/>
    <w:rsid w:val="00DA7752"/>
    <w:rsid w:val="00DB13C1"/>
    <w:rsid w:val="00DB2226"/>
    <w:rsid w:val="00DB32A0"/>
    <w:rsid w:val="00DB3356"/>
    <w:rsid w:val="00DB3395"/>
    <w:rsid w:val="00DB372F"/>
    <w:rsid w:val="00DB426E"/>
    <w:rsid w:val="00DB5A51"/>
    <w:rsid w:val="00DB5C4F"/>
    <w:rsid w:val="00DB6A2F"/>
    <w:rsid w:val="00DB6EBA"/>
    <w:rsid w:val="00DB7299"/>
    <w:rsid w:val="00DB787D"/>
    <w:rsid w:val="00DC02C9"/>
    <w:rsid w:val="00DC033F"/>
    <w:rsid w:val="00DC0B4C"/>
    <w:rsid w:val="00DC168C"/>
    <w:rsid w:val="00DC1A8C"/>
    <w:rsid w:val="00DC1B58"/>
    <w:rsid w:val="00DC2728"/>
    <w:rsid w:val="00DC2993"/>
    <w:rsid w:val="00DC2CF7"/>
    <w:rsid w:val="00DC35CC"/>
    <w:rsid w:val="00DC36AC"/>
    <w:rsid w:val="00DC4023"/>
    <w:rsid w:val="00DC4026"/>
    <w:rsid w:val="00DC4033"/>
    <w:rsid w:val="00DC4467"/>
    <w:rsid w:val="00DC45A8"/>
    <w:rsid w:val="00DC4CCC"/>
    <w:rsid w:val="00DC4F57"/>
    <w:rsid w:val="00DC4FCA"/>
    <w:rsid w:val="00DC5A8C"/>
    <w:rsid w:val="00DC5BC9"/>
    <w:rsid w:val="00DC5F07"/>
    <w:rsid w:val="00DC63AB"/>
    <w:rsid w:val="00DC6459"/>
    <w:rsid w:val="00DD0301"/>
    <w:rsid w:val="00DD05DA"/>
    <w:rsid w:val="00DD08F9"/>
    <w:rsid w:val="00DD0C74"/>
    <w:rsid w:val="00DD0E5F"/>
    <w:rsid w:val="00DD13B9"/>
    <w:rsid w:val="00DD1C0E"/>
    <w:rsid w:val="00DD2062"/>
    <w:rsid w:val="00DD2B4B"/>
    <w:rsid w:val="00DD2D8A"/>
    <w:rsid w:val="00DD33BB"/>
    <w:rsid w:val="00DD3573"/>
    <w:rsid w:val="00DD3DBC"/>
    <w:rsid w:val="00DD3E5E"/>
    <w:rsid w:val="00DD54A5"/>
    <w:rsid w:val="00DD5880"/>
    <w:rsid w:val="00DD609B"/>
    <w:rsid w:val="00DD63DA"/>
    <w:rsid w:val="00DD691C"/>
    <w:rsid w:val="00DD693F"/>
    <w:rsid w:val="00DD7FFD"/>
    <w:rsid w:val="00DE078D"/>
    <w:rsid w:val="00DE07DA"/>
    <w:rsid w:val="00DE0B84"/>
    <w:rsid w:val="00DE1308"/>
    <w:rsid w:val="00DE19F8"/>
    <w:rsid w:val="00DE1B2A"/>
    <w:rsid w:val="00DE21CF"/>
    <w:rsid w:val="00DE32B9"/>
    <w:rsid w:val="00DE3649"/>
    <w:rsid w:val="00DE3929"/>
    <w:rsid w:val="00DE548A"/>
    <w:rsid w:val="00DE58F0"/>
    <w:rsid w:val="00DE65B2"/>
    <w:rsid w:val="00DE6C3F"/>
    <w:rsid w:val="00DF03EC"/>
    <w:rsid w:val="00DF0830"/>
    <w:rsid w:val="00DF1F59"/>
    <w:rsid w:val="00DF2866"/>
    <w:rsid w:val="00DF44F7"/>
    <w:rsid w:val="00DF5081"/>
    <w:rsid w:val="00DF556F"/>
    <w:rsid w:val="00DF6818"/>
    <w:rsid w:val="00DF6879"/>
    <w:rsid w:val="00DF694F"/>
    <w:rsid w:val="00DF75B7"/>
    <w:rsid w:val="00DF7C0A"/>
    <w:rsid w:val="00E000C5"/>
    <w:rsid w:val="00E00D33"/>
    <w:rsid w:val="00E0113A"/>
    <w:rsid w:val="00E01436"/>
    <w:rsid w:val="00E014DD"/>
    <w:rsid w:val="00E015BF"/>
    <w:rsid w:val="00E01756"/>
    <w:rsid w:val="00E01F75"/>
    <w:rsid w:val="00E02041"/>
    <w:rsid w:val="00E02425"/>
    <w:rsid w:val="00E034B5"/>
    <w:rsid w:val="00E03BE6"/>
    <w:rsid w:val="00E03E62"/>
    <w:rsid w:val="00E04AE3"/>
    <w:rsid w:val="00E05B5E"/>
    <w:rsid w:val="00E06427"/>
    <w:rsid w:val="00E06AE9"/>
    <w:rsid w:val="00E06C14"/>
    <w:rsid w:val="00E07262"/>
    <w:rsid w:val="00E0765A"/>
    <w:rsid w:val="00E07E48"/>
    <w:rsid w:val="00E100B3"/>
    <w:rsid w:val="00E10A1A"/>
    <w:rsid w:val="00E1108D"/>
    <w:rsid w:val="00E12059"/>
    <w:rsid w:val="00E12529"/>
    <w:rsid w:val="00E12DC7"/>
    <w:rsid w:val="00E12F6E"/>
    <w:rsid w:val="00E1301A"/>
    <w:rsid w:val="00E14362"/>
    <w:rsid w:val="00E144FC"/>
    <w:rsid w:val="00E1495D"/>
    <w:rsid w:val="00E14FAA"/>
    <w:rsid w:val="00E15071"/>
    <w:rsid w:val="00E15377"/>
    <w:rsid w:val="00E1543B"/>
    <w:rsid w:val="00E15556"/>
    <w:rsid w:val="00E166C6"/>
    <w:rsid w:val="00E16C58"/>
    <w:rsid w:val="00E20250"/>
    <w:rsid w:val="00E211A3"/>
    <w:rsid w:val="00E218B1"/>
    <w:rsid w:val="00E22C7F"/>
    <w:rsid w:val="00E23484"/>
    <w:rsid w:val="00E24F4A"/>
    <w:rsid w:val="00E26064"/>
    <w:rsid w:val="00E26479"/>
    <w:rsid w:val="00E26B7E"/>
    <w:rsid w:val="00E277E9"/>
    <w:rsid w:val="00E27F74"/>
    <w:rsid w:val="00E30795"/>
    <w:rsid w:val="00E30BF7"/>
    <w:rsid w:val="00E30ECD"/>
    <w:rsid w:val="00E3106D"/>
    <w:rsid w:val="00E31A54"/>
    <w:rsid w:val="00E31D9B"/>
    <w:rsid w:val="00E320DB"/>
    <w:rsid w:val="00E33638"/>
    <w:rsid w:val="00E34372"/>
    <w:rsid w:val="00E3484B"/>
    <w:rsid w:val="00E34AC8"/>
    <w:rsid w:val="00E34F97"/>
    <w:rsid w:val="00E36941"/>
    <w:rsid w:val="00E3715F"/>
    <w:rsid w:val="00E37209"/>
    <w:rsid w:val="00E373A0"/>
    <w:rsid w:val="00E37477"/>
    <w:rsid w:val="00E37BE5"/>
    <w:rsid w:val="00E4083A"/>
    <w:rsid w:val="00E40B8A"/>
    <w:rsid w:val="00E41FCD"/>
    <w:rsid w:val="00E42808"/>
    <w:rsid w:val="00E44C21"/>
    <w:rsid w:val="00E45F8C"/>
    <w:rsid w:val="00E46586"/>
    <w:rsid w:val="00E46C41"/>
    <w:rsid w:val="00E46E1C"/>
    <w:rsid w:val="00E477B4"/>
    <w:rsid w:val="00E47EC5"/>
    <w:rsid w:val="00E50171"/>
    <w:rsid w:val="00E50782"/>
    <w:rsid w:val="00E50806"/>
    <w:rsid w:val="00E510A6"/>
    <w:rsid w:val="00E51A7A"/>
    <w:rsid w:val="00E525D0"/>
    <w:rsid w:val="00E52D17"/>
    <w:rsid w:val="00E535CC"/>
    <w:rsid w:val="00E53A64"/>
    <w:rsid w:val="00E540EE"/>
    <w:rsid w:val="00E55A77"/>
    <w:rsid w:val="00E55B5F"/>
    <w:rsid w:val="00E561C5"/>
    <w:rsid w:val="00E570BA"/>
    <w:rsid w:val="00E57316"/>
    <w:rsid w:val="00E5742B"/>
    <w:rsid w:val="00E6059E"/>
    <w:rsid w:val="00E60780"/>
    <w:rsid w:val="00E61DD9"/>
    <w:rsid w:val="00E63BDF"/>
    <w:rsid w:val="00E63C06"/>
    <w:rsid w:val="00E65FAE"/>
    <w:rsid w:val="00E66456"/>
    <w:rsid w:val="00E709F1"/>
    <w:rsid w:val="00E71DF7"/>
    <w:rsid w:val="00E7204B"/>
    <w:rsid w:val="00E72174"/>
    <w:rsid w:val="00E72357"/>
    <w:rsid w:val="00E72DDD"/>
    <w:rsid w:val="00E73625"/>
    <w:rsid w:val="00E73ACB"/>
    <w:rsid w:val="00E747D1"/>
    <w:rsid w:val="00E74975"/>
    <w:rsid w:val="00E758E8"/>
    <w:rsid w:val="00E75BF6"/>
    <w:rsid w:val="00E766E1"/>
    <w:rsid w:val="00E76855"/>
    <w:rsid w:val="00E77863"/>
    <w:rsid w:val="00E779A4"/>
    <w:rsid w:val="00E77F9A"/>
    <w:rsid w:val="00E8039C"/>
    <w:rsid w:val="00E80D4A"/>
    <w:rsid w:val="00E81653"/>
    <w:rsid w:val="00E81AFA"/>
    <w:rsid w:val="00E81BF1"/>
    <w:rsid w:val="00E825CC"/>
    <w:rsid w:val="00E825D1"/>
    <w:rsid w:val="00E82603"/>
    <w:rsid w:val="00E82F71"/>
    <w:rsid w:val="00E83007"/>
    <w:rsid w:val="00E83299"/>
    <w:rsid w:val="00E837E9"/>
    <w:rsid w:val="00E83A6C"/>
    <w:rsid w:val="00E83F0E"/>
    <w:rsid w:val="00E84003"/>
    <w:rsid w:val="00E84C39"/>
    <w:rsid w:val="00E85207"/>
    <w:rsid w:val="00E85213"/>
    <w:rsid w:val="00E85500"/>
    <w:rsid w:val="00E85D1E"/>
    <w:rsid w:val="00E8773F"/>
    <w:rsid w:val="00E87A8F"/>
    <w:rsid w:val="00E90CB5"/>
    <w:rsid w:val="00E90D59"/>
    <w:rsid w:val="00E90E9C"/>
    <w:rsid w:val="00E917DB"/>
    <w:rsid w:val="00E91A43"/>
    <w:rsid w:val="00E9227C"/>
    <w:rsid w:val="00E925D2"/>
    <w:rsid w:val="00E94D4B"/>
    <w:rsid w:val="00E955E3"/>
    <w:rsid w:val="00E9580F"/>
    <w:rsid w:val="00E9594B"/>
    <w:rsid w:val="00E97907"/>
    <w:rsid w:val="00EA05C3"/>
    <w:rsid w:val="00EA0B28"/>
    <w:rsid w:val="00EA15E3"/>
    <w:rsid w:val="00EA160E"/>
    <w:rsid w:val="00EA233F"/>
    <w:rsid w:val="00EA2A6E"/>
    <w:rsid w:val="00EA2A88"/>
    <w:rsid w:val="00EA2E28"/>
    <w:rsid w:val="00EA36B3"/>
    <w:rsid w:val="00EA3BBC"/>
    <w:rsid w:val="00EA47FF"/>
    <w:rsid w:val="00EA4B72"/>
    <w:rsid w:val="00EA4F19"/>
    <w:rsid w:val="00EA5995"/>
    <w:rsid w:val="00EA6C53"/>
    <w:rsid w:val="00EA7201"/>
    <w:rsid w:val="00EB003D"/>
    <w:rsid w:val="00EB0802"/>
    <w:rsid w:val="00EB0BB1"/>
    <w:rsid w:val="00EB0F85"/>
    <w:rsid w:val="00EB121A"/>
    <w:rsid w:val="00EB2187"/>
    <w:rsid w:val="00EB23E2"/>
    <w:rsid w:val="00EB27BC"/>
    <w:rsid w:val="00EB2812"/>
    <w:rsid w:val="00EB3FDC"/>
    <w:rsid w:val="00EB42C5"/>
    <w:rsid w:val="00EB596B"/>
    <w:rsid w:val="00EB5FBB"/>
    <w:rsid w:val="00EB69E8"/>
    <w:rsid w:val="00EB75D1"/>
    <w:rsid w:val="00EB7653"/>
    <w:rsid w:val="00EC0040"/>
    <w:rsid w:val="00EC08F7"/>
    <w:rsid w:val="00EC184B"/>
    <w:rsid w:val="00EC1CD8"/>
    <w:rsid w:val="00EC1CEB"/>
    <w:rsid w:val="00EC1F86"/>
    <w:rsid w:val="00EC2AE2"/>
    <w:rsid w:val="00EC2D4C"/>
    <w:rsid w:val="00EC3ADB"/>
    <w:rsid w:val="00EC40FD"/>
    <w:rsid w:val="00EC4F01"/>
    <w:rsid w:val="00EC5329"/>
    <w:rsid w:val="00EC5359"/>
    <w:rsid w:val="00EC53D6"/>
    <w:rsid w:val="00EC5725"/>
    <w:rsid w:val="00EC6736"/>
    <w:rsid w:val="00EC68D1"/>
    <w:rsid w:val="00EC690C"/>
    <w:rsid w:val="00EC7198"/>
    <w:rsid w:val="00EC7BEB"/>
    <w:rsid w:val="00EC7C1C"/>
    <w:rsid w:val="00EC7FAC"/>
    <w:rsid w:val="00ED015B"/>
    <w:rsid w:val="00ED020D"/>
    <w:rsid w:val="00ED0308"/>
    <w:rsid w:val="00ED13D2"/>
    <w:rsid w:val="00ED2C62"/>
    <w:rsid w:val="00ED3A17"/>
    <w:rsid w:val="00ED3CCE"/>
    <w:rsid w:val="00ED461C"/>
    <w:rsid w:val="00ED4B1A"/>
    <w:rsid w:val="00ED4EC4"/>
    <w:rsid w:val="00ED5319"/>
    <w:rsid w:val="00ED5445"/>
    <w:rsid w:val="00ED5875"/>
    <w:rsid w:val="00ED5CAA"/>
    <w:rsid w:val="00ED6B04"/>
    <w:rsid w:val="00EE18B3"/>
    <w:rsid w:val="00EE19F7"/>
    <w:rsid w:val="00EE1EBA"/>
    <w:rsid w:val="00EE2EC7"/>
    <w:rsid w:val="00EE3D3F"/>
    <w:rsid w:val="00EE45B1"/>
    <w:rsid w:val="00EE50EB"/>
    <w:rsid w:val="00EE565D"/>
    <w:rsid w:val="00EE5FBD"/>
    <w:rsid w:val="00EF0020"/>
    <w:rsid w:val="00EF0BEA"/>
    <w:rsid w:val="00EF1470"/>
    <w:rsid w:val="00EF1646"/>
    <w:rsid w:val="00EF1704"/>
    <w:rsid w:val="00EF1762"/>
    <w:rsid w:val="00EF27D3"/>
    <w:rsid w:val="00EF2B31"/>
    <w:rsid w:val="00EF2F39"/>
    <w:rsid w:val="00EF3B58"/>
    <w:rsid w:val="00EF4252"/>
    <w:rsid w:val="00EF4931"/>
    <w:rsid w:val="00EF544F"/>
    <w:rsid w:val="00EF6A93"/>
    <w:rsid w:val="00EF6EBE"/>
    <w:rsid w:val="00EF7A9F"/>
    <w:rsid w:val="00EF7D84"/>
    <w:rsid w:val="00F0044A"/>
    <w:rsid w:val="00F00837"/>
    <w:rsid w:val="00F00856"/>
    <w:rsid w:val="00F00F1E"/>
    <w:rsid w:val="00F01665"/>
    <w:rsid w:val="00F01B58"/>
    <w:rsid w:val="00F01D55"/>
    <w:rsid w:val="00F02AC7"/>
    <w:rsid w:val="00F03195"/>
    <w:rsid w:val="00F03AEF"/>
    <w:rsid w:val="00F03C42"/>
    <w:rsid w:val="00F0408D"/>
    <w:rsid w:val="00F04A8A"/>
    <w:rsid w:val="00F05A33"/>
    <w:rsid w:val="00F07654"/>
    <w:rsid w:val="00F0796E"/>
    <w:rsid w:val="00F07D41"/>
    <w:rsid w:val="00F11044"/>
    <w:rsid w:val="00F110F1"/>
    <w:rsid w:val="00F1133C"/>
    <w:rsid w:val="00F1150A"/>
    <w:rsid w:val="00F11539"/>
    <w:rsid w:val="00F12162"/>
    <w:rsid w:val="00F12FA8"/>
    <w:rsid w:val="00F134BF"/>
    <w:rsid w:val="00F13CC1"/>
    <w:rsid w:val="00F14329"/>
    <w:rsid w:val="00F154C6"/>
    <w:rsid w:val="00F1560B"/>
    <w:rsid w:val="00F1582F"/>
    <w:rsid w:val="00F15DB2"/>
    <w:rsid w:val="00F160EC"/>
    <w:rsid w:val="00F166FA"/>
    <w:rsid w:val="00F16C28"/>
    <w:rsid w:val="00F1782B"/>
    <w:rsid w:val="00F17E31"/>
    <w:rsid w:val="00F206E8"/>
    <w:rsid w:val="00F20BFC"/>
    <w:rsid w:val="00F20CF7"/>
    <w:rsid w:val="00F21867"/>
    <w:rsid w:val="00F21C4B"/>
    <w:rsid w:val="00F22930"/>
    <w:rsid w:val="00F229C5"/>
    <w:rsid w:val="00F22F0A"/>
    <w:rsid w:val="00F23B4C"/>
    <w:rsid w:val="00F24CC8"/>
    <w:rsid w:val="00F2533E"/>
    <w:rsid w:val="00F26BA8"/>
    <w:rsid w:val="00F26EFC"/>
    <w:rsid w:val="00F27870"/>
    <w:rsid w:val="00F309E2"/>
    <w:rsid w:val="00F30FFF"/>
    <w:rsid w:val="00F31324"/>
    <w:rsid w:val="00F324FA"/>
    <w:rsid w:val="00F32A0C"/>
    <w:rsid w:val="00F32BEB"/>
    <w:rsid w:val="00F32FB7"/>
    <w:rsid w:val="00F33C13"/>
    <w:rsid w:val="00F33F31"/>
    <w:rsid w:val="00F34541"/>
    <w:rsid w:val="00F34FFD"/>
    <w:rsid w:val="00F35898"/>
    <w:rsid w:val="00F366FB"/>
    <w:rsid w:val="00F36799"/>
    <w:rsid w:val="00F367B5"/>
    <w:rsid w:val="00F376D6"/>
    <w:rsid w:val="00F378B4"/>
    <w:rsid w:val="00F37B79"/>
    <w:rsid w:val="00F37C06"/>
    <w:rsid w:val="00F37D85"/>
    <w:rsid w:val="00F41404"/>
    <w:rsid w:val="00F41DD8"/>
    <w:rsid w:val="00F42BFB"/>
    <w:rsid w:val="00F4311B"/>
    <w:rsid w:val="00F43750"/>
    <w:rsid w:val="00F43B45"/>
    <w:rsid w:val="00F43D56"/>
    <w:rsid w:val="00F448DF"/>
    <w:rsid w:val="00F44994"/>
    <w:rsid w:val="00F452E7"/>
    <w:rsid w:val="00F4575F"/>
    <w:rsid w:val="00F45C99"/>
    <w:rsid w:val="00F46EFC"/>
    <w:rsid w:val="00F474F9"/>
    <w:rsid w:val="00F47B8B"/>
    <w:rsid w:val="00F500BF"/>
    <w:rsid w:val="00F5028E"/>
    <w:rsid w:val="00F510B2"/>
    <w:rsid w:val="00F516A0"/>
    <w:rsid w:val="00F51AFC"/>
    <w:rsid w:val="00F521B1"/>
    <w:rsid w:val="00F52715"/>
    <w:rsid w:val="00F52C0D"/>
    <w:rsid w:val="00F5401E"/>
    <w:rsid w:val="00F549BC"/>
    <w:rsid w:val="00F553F9"/>
    <w:rsid w:val="00F557AA"/>
    <w:rsid w:val="00F55DE3"/>
    <w:rsid w:val="00F56189"/>
    <w:rsid w:val="00F564B5"/>
    <w:rsid w:val="00F568E1"/>
    <w:rsid w:val="00F56A6F"/>
    <w:rsid w:val="00F5736F"/>
    <w:rsid w:val="00F57AD5"/>
    <w:rsid w:val="00F6082C"/>
    <w:rsid w:val="00F61124"/>
    <w:rsid w:val="00F61353"/>
    <w:rsid w:val="00F61410"/>
    <w:rsid w:val="00F61675"/>
    <w:rsid w:val="00F61EB6"/>
    <w:rsid w:val="00F620B0"/>
    <w:rsid w:val="00F620EF"/>
    <w:rsid w:val="00F62A29"/>
    <w:rsid w:val="00F62C89"/>
    <w:rsid w:val="00F62CE9"/>
    <w:rsid w:val="00F62DAF"/>
    <w:rsid w:val="00F636F4"/>
    <w:rsid w:val="00F63A9E"/>
    <w:rsid w:val="00F63BDC"/>
    <w:rsid w:val="00F65C8C"/>
    <w:rsid w:val="00F66275"/>
    <w:rsid w:val="00F6655D"/>
    <w:rsid w:val="00F66C9D"/>
    <w:rsid w:val="00F67C74"/>
    <w:rsid w:val="00F71052"/>
    <w:rsid w:val="00F7114C"/>
    <w:rsid w:val="00F71977"/>
    <w:rsid w:val="00F71B50"/>
    <w:rsid w:val="00F71D6C"/>
    <w:rsid w:val="00F72A20"/>
    <w:rsid w:val="00F72F1C"/>
    <w:rsid w:val="00F73754"/>
    <w:rsid w:val="00F73ABC"/>
    <w:rsid w:val="00F73EA8"/>
    <w:rsid w:val="00F74323"/>
    <w:rsid w:val="00F75495"/>
    <w:rsid w:val="00F75A33"/>
    <w:rsid w:val="00F763BF"/>
    <w:rsid w:val="00F76619"/>
    <w:rsid w:val="00F76C3D"/>
    <w:rsid w:val="00F76E21"/>
    <w:rsid w:val="00F7742F"/>
    <w:rsid w:val="00F779F0"/>
    <w:rsid w:val="00F804BC"/>
    <w:rsid w:val="00F8056F"/>
    <w:rsid w:val="00F80607"/>
    <w:rsid w:val="00F80650"/>
    <w:rsid w:val="00F80F48"/>
    <w:rsid w:val="00F8158F"/>
    <w:rsid w:val="00F82124"/>
    <w:rsid w:val="00F822B8"/>
    <w:rsid w:val="00F822DC"/>
    <w:rsid w:val="00F82AC1"/>
    <w:rsid w:val="00F833E4"/>
    <w:rsid w:val="00F839AB"/>
    <w:rsid w:val="00F83D62"/>
    <w:rsid w:val="00F84142"/>
    <w:rsid w:val="00F84A3C"/>
    <w:rsid w:val="00F85C2F"/>
    <w:rsid w:val="00F85FA0"/>
    <w:rsid w:val="00F86296"/>
    <w:rsid w:val="00F863CC"/>
    <w:rsid w:val="00F87BFC"/>
    <w:rsid w:val="00F87F65"/>
    <w:rsid w:val="00F901AC"/>
    <w:rsid w:val="00F90378"/>
    <w:rsid w:val="00F90B0A"/>
    <w:rsid w:val="00F90C76"/>
    <w:rsid w:val="00F9155F"/>
    <w:rsid w:val="00F91B0D"/>
    <w:rsid w:val="00F924A6"/>
    <w:rsid w:val="00F9286F"/>
    <w:rsid w:val="00F92C1A"/>
    <w:rsid w:val="00F933A0"/>
    <w:rsid w:val="00F9363B"/>
    <w:rsid w:val="00F93930"/>
    <w:rsid w:val="00F93D7D"/>
    <w:rsid w:val="00F94C46"/>
    <w:rsid w:val="00F95649"/>
    <w:rsid w:val="00F9632E"/>
    <w:rsid w:val="00F96C26"/>
    <w:rsid w:val="00F97B37"/>
    <w:rsid w:val="00F97C3F"/>
    <w:rsid w:val="00FA0410"/>
    <w:rsid w:val="00FA15AA"/>
    <w:rsid w:val="00FA183F"/>
    <w:rsid w:val="00FA1A49"/>
    <w:rsid w:val="00FA1BC2"/>
    <w:rsid w:val="00FA21E9"/>
    <w:rsid w:val="00FA2823"/>
    <w:rsid w:val="00FA2EE9"/>
    <w:rsid w:val="00FA2F26"/>
    <w:rsid w:val="00FA3A60"/>
    <w:rsid w:val="00FA3A64"/>
    <w:rsid w:val="00FA3E11"/>
    <w:rsid w:val="00FA4392"/>
    <w:rsid w:val="00FA5141"/>
    <w:rsid w:val="00FA5328"/>
    <w:rsid w:val="00FA5DA2"/>
    <w:rsid w:val="00FA5FCF"/>
    <w:rsid w:val="00FA6180"/>
    <w:rsid w:val="00FA627C"/>
    <w:rsid w:val="00FA64C6"/>
    <w:rsid w:val="00FA7117"/>
    <w:rsid w:val="00FA7BF2"/>
    <w:rsid w:val="00FA7DA5"/>
    <w:rsid w:val="00FB03C3"/>
    <w:rsid w:val="00FB07F6"/>
    <w:rsid w:val="00FB0BA2"/>
    <w:rsid w:val="00FB13E8"/>
    <w:rsid w:val="00FB177C"/>
    <w:rsid w:val="00FB21CC"/>
    <w:rsid w:val="00FB2584"/>
    <w:rsid w:val="00FB2807"/>
    <w:rsid w:val="00FB32C3"/>
    <w:rsid w:val="00FB37F5"/>
    <w:rsid w:val="00FB4D9F"/>
    <w:rsid w:val="00FB4E9E"/>
    <w:rsid w:val="00FB550E"/>
    <w:rsid w:val="00FB5AC7"/>
    <w:rsid w:val="00FB7DFA"/>
    <w:rsid w:val="00FC02CA"/>
    <w:rsid w:val="00FC0835"/>
    <w:rsid w:val="00FC13B1"/>
    <w:rsid w:val="00FC1CB7"/>
    <w:rsid w:val="00FC212C"/>
    <w:rsid w:val="00FC23FE"/>
    <w:rsid w:val="00FC3320"/>
    <w:rsid w:val="00FC3A36"/>
    <w:rsid w:val="00FC3CF2"/>
    <w:rsid w:val="00FC3DBA"/>
    <w:rsid w:val="00FC423D"/>
    <w:rsid w:val="00FC46C1"/>
    <w:rsid w:val="00FC4C74"/>
    <w:rsid w:val="00FC544F"/>
    <w:rsid w:val="00FC5C10"/>
    <w:rsid w:val="00FC6155"/>
    <w:rsid w:val="00FC79B9"/>
    <w:rsid w:val="00FC7C7F"/>
    <w:rsid w:val="00FD196C"/>
    <w:rsid w:val="00FD1F41"/>
    <w:rsid w:val="00FD2F64"/>
    <w:rsid w:val="00FD492A"/>
    <w:rsid w:val="00FD749B"/>
    <w:rsid w:val="00FD7547"/>
    <w:rsid w:val="00FE01CB"/>
    <w:rsid w:val="00FE0D83"/>
    <w:rsid w:val="00FE141C"/>
    <w:rsid w:val="00FE18D3"/>
    <w:rsid w:val="00FE1B17"/>
    <w:rsid w:val="00FE2643"/>
    <w:rsid w:val="00FE32D9"/>
    <w:rsid w:val="00FE34BF"/>
    <w:rsid w:val="00FE3673"/>
    <w:rsid w:val="00FE3A29"/>
    <w:rsid w:val="00FE43B0"/>
    <w:rsid w:val="00FE47A3"/>
    <w:rsid w:val="00FE4943"/>
    <w:rsid w:val="00FE4DFD"/>
    <w:rsid w:val="00FE534A"/>
    <w:rsid w:val="00FE547D"/>
    <w:rsid w:val="00FE564B"/>
    <w:rsid w:val="00FE742C"/>
    <w:rsid w:val="00FF005F"/>
    <w:rsid w:val="00FF071B"/>
    <w:rsid w:val="00FF0961"/>
    <w:rsid w:val="00FF0CFB"/>
    <w:rsid w:val="00FF0D9E"/>
    <w:rsid w:val="00FF0F21"/>
    <w:rsid w:val="00FF0FFD"/>
    <w:rsid w:val="00FF176C"/>
    <w:rsid w:val="00FF1C82"/>
    <w:rsid w:val="00FF1DAD"/>
    <w:rsid w:val="00FF3BD7"/>
    <w:rsid w:val="00FF48F5"/>
    <w:rsid w:val="00FF535D"/>
    <w:rsid w:val="00FF64D7"/>
    <w:rsid w:val="00FF6827"/>
    <w:rsid w:val="00FF6F97"/>
    <w:rsid w:val="00FF71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white"/>
    </o:shapedefaults>
    <o:shapelayout v:ext="edit">
      <o:idmap v:ext="edit" data="1"/>
    </o:shapelayout>
  </w:shapeDefaults>
  <w:decimalSymbol w:val="."/>
  <w:listSeparator w:val=","/>
  <w15:docId w15:val="{DB56AD1F-21D2-40A3-B81F-EE94E38B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5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112"/>
    <w:pPr>
      <w:tabs>
        <w:tab w:val="center" w:pos="4153"/>
        <w:tab w:val="right" w:pos="8306"/>
      </w:tabs>
      <w:snapToGrid w:val="0"/>
      <w:jc w:val="center"/>
    </w:pPr>
    <w:rPr>
      <w:kern w:val="0"/>
      <w:sz w:val="18"/>
      <w:szCs w:val="18"/>
    </w:rPr>
  </w:style>
  <w:style w:type="character" w:customStyle="1" w:styleId="Char">
    <w:name w:val="页眉 Char"/>
    <w:link w:val="a3"/>
    <w:uiPriority w:val="99"/>
    <w:rsid w:val="000E7112"/>
    <w:rPr>
      <w:sz w:val="18"/>
      <w:szCs w:val="18"/>
    </w:rPr>
  </w:style>
  <w:style w:type="paragraph" w:styleId="a4">
    <w:name w:val="footer"/>
    <w:basedOn w:val="a"/>
    <w:link w:val="Char0"/>
    <w:uiPriority w:val="99"/>
    <w:unhideWhenUsed/>
    <w:rsid w:val="000E7112"/>
    <w:pPr>
      <w:tabs>
        <w:tab w:val="center" w:pos="4153"/>
        <w:tab w:val="right" w:pos="8306"/>
      </w:tabs>
      <w:snapToGrid w:val="0"/>
      <w:jc w:val="left"/>
    </w:pPr>
    <w:rPr>
      <w:kern w:val="0"/>
      <w:sz w:val="18"/>
      <w:szCs w:val="18"/>
    </w:rPr>
  </w:style>
  <w:style w:type="character" w:customStyle="1" w:styleId="Char0">
    <w:name w:val="页脚 Char"/>
    <w:link w:val="a4"/>
    <w:uiPriority w:val="99"/>
    <w:rsid w:val="000E7112"/>
    <w:rPr>
      <w:sz w:val="18"/>
      <w:szCs w:val="18"/>
    </w:rPr>
  </w:style>
  <w:style w:type="paragraph" w:styleId="a5">
    <w:name w:val="Balloon Text"/>
    <w:basedOn w:val="a"/>
    <w:link w:val="Char1"/>
    <w:uiPriority w:val="99"/>
    <w:semiHidden/>
    <w:unhideWhenUsed/>
    <w:rsid w:val="000E7112"/>
    <w:rPr>
      <w:kern w:val="0"/>
      <w:sz w:val="18"/>
      <w:szCs w:val="18"/>
    </w:rPr>
  </w:style>
  <w:style w:type="character" w:customStyle="1" w:styleId="Char1">
    <w:name w:val="批注框文本 Char"/>
    <w:link w:val="a5"/>
    <w:uiPriority w:val="99"/>
    <w:semiHidden/>
    <w:rsid w:val="000E7112"/>
    <w:rPr>
      <w:sz w:val="18"/>
      <w:szCs w:val="18"/>
    </w:rPr>
  </w:style>
  <w:style w:type="table" w:styleId="a6">
    <w:name w:val="Table Grid"/>
    <w:basedOn w:val="a1"/>
    <w:uiPriority w:val="59"/>
    <w:rsid w:val="000E71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无间距"/>
    <w:link w:val="a8"/>
    <w:uiPriority w:val="1"/>
    <w:qFormat/>
    <w:rsid w:val="00B7035E"/>
    <w:rPr>
      <w:sz w:val="22"/>
      <w:szCs w:val="22"/>
    </w:rPr>
  </w:style>
  <w:style w:type="character" w:customStyle="1" w:styleId="a8">
    <w:name w:val="无间距字符"/>
    <w:link w:val="a7"/>
    <w:uiPriority w:val="1"/>
    <w:rsid w:val="00B7035E"/>
    <w:rPr>
      <w:sz w:val="22"/>
      <w:szCs w:val="22"/>
      <w:lang w:val="en-US" w:eastAsia="zh-CN" w:bidi="ar-SA"/>
    </w:rPr>
  </w:style>
  <w:style w:type="character" w:styleId="a9">
    <w:name w:val="Hyperlink"/>
    <w:uiPriority w:val="99"/>
    <w:unhideWhenUsed/>
    <w:rsid w:val="00B7035E"/>
    <w:rPr>
      <w:strike w:val="0"/>
      <w:dstrike w:val="0"/>
      <w:color w:val="333333"/>
      <w:u w:val="none"/>
      <w:effect w:val="none"/>
    </w:rPr>
  </w:style>
  <w:style w:type="character" w:customStyle="1" w:styleId="red4">
    <w:name w:val="red4"/>
    <w:rsid w:val="00B7035E"/>
    <w:rPr>
      <w:color w:val="FF0000"/>
    </w:rPr>
  </w:style>
  <w:style w:type="character" w:styleId="aa">
    <w:name w:val="annotation reference"/>
    <w:uiPriority w:val="99"/>
    <w:semiHidden/>
    <w:unhideWhenUsed/>
    <w:rsid w:val="00B7035E"/>
    <w:rPr>
      <w:sz w:val="21"/>
      <w:szCs w:val="21"/>
    </w:rPr>
  </w:style>
  <w:style w:type="paragraph" w:styleId="ab">
    <w:name w:val="annotation text"/>
    <w:basedOn w:val="a"/>
    <w:link w:val="Char2"/>
    <w:uiPriority w:val="99"/>
    <w:semiHidden/>
    <w:unhideWhenUsed/>
    <w:rsid w:val="00B7035E"/>
    <w:pPr>
      <w:jc w:val="left"/>
    </w:pPr>
  </w:style>
  <w:style w:type="character" w:customStyle="1" w:styleId="Char2">
    <w:name w:val="批注文字 Char"/>
    <w:link w:val="ab"/>
    <w:uiPriority w:val="99"/>
    <w:semiHidden/>
    <w:rsid w:val="00B7035E"/>
    <w:rPr>
      <w:kern w:val="2"/>
      <w:sz w:val="21"/>
      <w:szCs w:val="22"/>
    </w:rPr>
  </w:style>
  <w:style w:type="paragraph" w:styleId="ac">
    <w:name w:val="annotation subject"/>
    <w:basedOn w:val="ab"/>
    <w:next w:val="ab"/>
    <w:link w:val="Char3"/>
    <w:uiPriority w:val="99"/>
    <w:semiHidden/>
    <w:unhideWhenUsed/>
    <w:rsid w:val="00B7035E"/>
    <w:rPr>
      <w:b/>
      <w:bCs/>
    </w:rPr>
  </w:style>
  <w:style w:type="character" w:customStyle="1" w:styleId="Char3">
    <w:name w:val="批注主题 Char"/>
    <w:link w:val="ac"/>
    <w:uiPriority w:val="99"/>
    <w:semiHidden/>
    <w:rsid w:val="00B7035E"/>
    <w:rPr>
      <w:b/>
      <w:bCs/>
      <w:kern w:val="2"/>
      <w:sz w:val="21"/>
      <w:szCs w:val="22"/>
    </w:rPr>
  </w:style>
  <w:style w:type="character" w:customStyle="1" w:styleId="apple-style-span">
    <w:name w:val="apple-style-span"/>
    <w:basedOn w:val="a0"/>
    <w:rsid w:val="00BB7C9D"/>
  </w:style>
  <w:style w:type="paragraph" w:styleId="ad">
    <w:name w:val="Normal (Web)"/>
    <w:basedOn w:val="a"/>
    <w:uiPriority w:val="99"/>
    <w:unhideWhenUsed/>
    <w:rsid w:val="0034447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C7198"/>
  </w:style>
  <w:style w:type="paragraph" w:styleId="ae">
    <w:name w:val="List Paragraph"/>
    <w:basedOn w:val="a"/>
    <w:uiPriority w:val="72"/>
    <w:qFormat/>
    <w:rsid w:val="004601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348">
      <w:bodyDiv w:val="1"/>
      <w:marLeft w:val="0"/>
      <w:marRight w:val="0"/>
      <w:marTop w:val="0"/>
      <w:marBottom w:val="0"/>
      <w:divBdr>
        <w:top w:val="none" w:sz="0" w:space="0" w:color="auto"/>
        <w:left w:val="none" w:sz="0" w:space="0" w:color="auto"/>
        <w:bottom w:val="none" w:sz="0" w:space="0" w:color="auto"/>
        <w:right w:val="none" w:sz="0" w:space="0" w:color="auto"/>
      </w:divBdr>
    </w:div>
    <w:div w:id="8220025">
      <w:bodyDiv w:val="1"/>
      <w:marLeft w:val="0"/>
      <w:marRight w:val="0"/>
      <w:marTop w:val="0"/>
      <w:marBottom w:val="0"/>
      <w:divBdr>
        <w:top w:val="none" w:sz="0" w:space="0" w:color="auto"/>
        <w:left w:val="none" w:sz="0" w:space="0" w:color="auto"/>
        <w:bottom w:val="none" w:sz="0" w:space="0" w:color="auto"/>
        <w:right w:val="none" w:sz="0" w:space="0" w:color="auto"/>
      </w:divBdr>
    </w:div>
    <w:div w:id="13502413">
      <w:bodyDiv w:val="1"/>
      <w:marLeft w:val="0"/>
      <w:marRight w:val="0"/>
      <w:marTop w:val="0"/>
      <w:marBottom w:val="0"/>
      <w:divBdr>
        <w:top w:val="none" w:sz="0" w:space="0" w:color="auto"/>
        <w:left w:val="none" w:sz="0" w:space="0" w:color="auto"/>
        <w:bottom w:val="none" w:sz="0" w:space="0" w:color="auto"/>
        <w:right w:val="none" w:sz="0" w:space="0" w:color="auto"/>
      </w:divBdr>
    </w:div>
    <w:div w:id="15035870">
      <w:bodyDiv w:val="1"/>
      <w:marLeft w:val="0"/>
      <w:marRight w:val="0"/>
      <w:marTop w:val="0"/>
      <w:marBottom w:val="0"/>
      <w:divBdr>
        <w:top w:val="none" w:sz="0" w:space="0" w:color="auto"/>
        <w:left w:val="none" w:sz="0" w:space="0" w:color="auto"/>
        <w:bottom w:val="none" w:sz="0" w:space="0" w:color="auto"/>
        <w:right w:val="none" w:sz="0" w:space="0" w:color="auto"/>
      </w:divBdr>
    </w:div>
    <w:div w:id="17002308">
      <w:bodyDiv w:val="1"/>
      <w:marLeft w:val="0"/>
      <w:marRight w:val="0"/>
      <w:marTop w:val="0"/>
      <w:marBottom w:val="0"/>
      <w:divBdr>
        <w:top w:val="none" w:sz="0" w:space="0" w:color="auto"/>
        <w:left w:val="none" w:sz="0" w:space="0" w:color="auto"/>
        <w:bottom w:val="none" w:sz="0" w:space="0" w:color="auto"/>
        <w:right w:val="none" w:sz="0" w:space="0" w:color="auto"/>
      </w:divBdr>
    </w:div>
    <w:div w:id="19742127">
      <w:bodyDiv w:val="1"/>
      <w:marLeft w:val="0"/>
      <w:marRight w:val="0"/>
      <w:marTop w:val="0"/>
      <w:marBottom w:val="0"/>
      <w:divBdr>
        <w:top w:val="none" w:sz="0" w:space="0" w:color="auto"/>
        <w:left w:val="none" w:sz="0" w:space="0" w:color="auto"/>
        <w:bottom w:val="none" w:sz="0" w:space="0" w:color="auto"/>
        <w:right w:val="none" w:sz="0" w:space="0" w:color="auto"/>
      </w:divBdr>
    </w:div>
    <w:div w:id="22286279">
      <w:bodyDiv w:val="1"/>
      <w:marLeft w:val="0"/>
      <w:marRight w:val="0"/>
      <w:marTop w:val="0"/>
      <w:marBottom w:val="0"/>
      <w:divBdr>
        <w:top w:val="none" w:sz="0" w:space="0" w:color="auto"/>
        <w:left w:val="none" w:sz="0" w:space="0" w:color="auto"/>
        <w:bottom w:val="none" w:sz="0" w:space="0" w:color="auto"/>
        <w:right w:val="none" w:sz="0" w:space="0" w:color="auto"/>
      </w:divBdr>
    </w:div>
    <w:div w:id="27294436">
      <w:bodyDiv w:val="1"/>
      <w:marLeft w:val="0"/>
      <w:marRight w:val="0"/>
      <w:marTop w:val="0"/>
      <w:marBottom w:val="0"/>
      <w:divBdr>
        <w:top w:val="none" w:sz="0" w:space="0" w:color="auto"/>
        <w:left w:val="none" w:sz="0" w:space="0" w:color="auto"/>
        <w:bottom w:val="none" w:sz="0" w:space="0" w:color="auto"/>
        <w:right w:val="none" w:sz="0" w:space="0" w:color="auto"/>
      </w:divBdr>
    </w:div>
    <w:div w:id="27340931">
      <w:bodyDiv w:val="1"/>
      <w:marLeft w:val="0"/>
      <w:marRight w:val="0"/>
      <w:marTop w:val="0"/>
      <w:marBottom w:val="0"/>
      <w:divBdr>
        <w:top w:val="none" w:sz="0" w:space="0" w:color="auto"/>
        <w:left w:val="none" w:sz="0" w:space="0" w:color="auto"/>
        <w:bottom w:val="none" w:sz="0" w:space="0" w:color="auto"/>
        <w:right w:val="none" w:sz="0" w:space="0" w:color="auto"/>
      </w:divBdr>
    </w:div>
    <w:div w:id="28144109">
      <w:bodyDiv w:val="1"/>
      <w:marLeft w:val="0"/>
      <w:marRight w:val="0"/>
      <w:marTop w:val="0"/>
      <w:marBottom w:val="0"/>
      <w:divBdr>
        <w:top w:val="none" w:sz="0" w:space="0" w:color="auto"/>
        <w:left w:val="none" w:sz="0" w:space="0" w:color="auto"/>
        <w:bottom w:val="none" w:sz="0" w:space="0" w:color="auto"/>
        <w:right w:val="none" w:sz="0" w:space="0" w:color="auto"/>
      </w:divBdr>
    </w:div>
    <w:div w:id="30888049">
      <w:bodyDiv w:val="1"/>
      <w:marLeft w:val="0"/>
      <w:marRight w:val="0"/>
      <w:marTop w:val="0"/>
      <w:marBottom w:val="0"/>
      <w:divBdr>
        <w:top w:val="none" w:sz="0" w:space="0" w:color="auto"/>
        <w:left w:val="none" w:sz="0" w:space="0" w:color="auto"/>
        <w:bottom w:val="none" w:sz="0" w:space="0" w:color="auto"/>
        <w:right w:val="none" w:sz="0" w:space="0" w:color="auto"/>
      </w:divBdr>
    </w:div>
    <w:div w:id="31152194">
      <w:bodyDiv w:val="1"/>
      <w:marLeft w:val="0"/>
      <w:marRight w:val="0"/>
      <w:marTop w:val="0"/>
      <w:marBottom w:val="0"/>
      <w:divBdr>
        <w:top w:val="none" w:sz="0" w:space="0" w:color="auto"/>
        <w:left w:val="none" w:sz="0" w:space="0" w:color="auto"/>
        <w:bottom w:val="none" w:sz="0" w:space="0" w:color="auto"/>
        <w:right w:val="none" w:sz="0" w:space="0" w:color="auto"/>
      </w:divBdr>
    </w:div>
    <w:div w:id="33620545">
      <w:bodyDiv w:val="1"/>
      <w:marLeft w:val="0"/>
      <w:marRight w:val="0"/>
      <w:marTop w:val="0"/>
      <w:marBottom w:val="0"/>
      <w:divBdr>
        <w:top w:val="none" w:sz="0" w:space="0" w:color="auto"/>
        <w:left w:val="none" w:sz="0" w:space="0" w:color="auto"/>
        <w:bottom w:val="none" w:sz="0" w:space="0" w:color="auto"/>
        <w:right w:val="none" w:sz="0" w:space="0" w:color="auto"/>
      </w:divBdr>
    </w:div>
    <w:div w:id="33891024">
      <w:bodyDiv w:val="1"/>
      <w:marLeft w:val="0"/>
      <w:marRight w:val="0"/>
      <w:marTop w:val="0"/>
      <w:marBottom w:val="0"/>
      <w:divBdr>
        <w:top w:val="none" w:sz="0" w:space="0" w:color="auto"/>
        <w:left w:val="none" w:sz="0" w:space="0" w:color="auto"/>
        <w:bottom w:val="none" w:sz="0" w:space="0" w:color="auto"/>
        <w:right w:val="none" w:sz="0" w:space="0" w:color="auto"/>
      </w:divBdr>
    </w:div>
    <w:div w:id="35476495">
      <w:bodyDiv w:val="1"/>
      <w:marLeft w:val="0"/>
      <w:marRight w:val="0"/>
      <w:marTop w:val="0"/>
      <w:marBottom w:val="0"/>
      <w:divBdr>
        <w:top w:val="none" w:sz="0" w:space="0" w:color="auto"/>
        <w:left w:val="none" w:sz="0" w:space="0" w:color="auto"/>
        <w:bottom w:val="none" w:sz="0" w:space="0" w:color="auto"/>
        <w:right w:val="none" w:sz="0" w:space="0" w:color="auto"/>
      </w:divBdr>
    </w:div>
    <w:div w:id="42604045">
      <w:bodyDiv w:val="1"/>
      <w:marLeft w:val="0"/>
      <w:marRight w:val="0"/>
      <w:marTop w:val="0"/>
      <w:marBottom w:val="0"/>
      <w:divBdr>
        <w:top w:val="none" w:sz="0" w:space="0" w:color="auto"/>
        <w:left w:val="none" w:sz="0" w:space="0" w:color="auto"/>
        <w:bottom w:val="none" w:sz="0" w:space="0" w:color="auto"/>
        <w:right w:val="none" w:sz="0" w:space="0" w:color="auto"/>
      </w:divBdr>
    </w:div>
    <w:div w:id="46807398">
      <w:bodyDiv w:val="1"/>
      <w:marLeft w:val="0"/>
      <w:marRight w:val="0"/>
      <w:marTop w:val="0"/>
      <w:marBottom w:val="0"/>
      <w:divBdr>
        <w:top w:val="none" w:sz="0" w:space="0" w:color="auto"/>
        <w:left w:val="none" w:sz="0" w:space="0" w:color="auto"/>
        <w:bottom w:val="none" w:sz="0" w:space="0" w:color="auto"/>
        <w:right w:val="none" w:sz="0" w:space="0" w:color="auto"/>
      </w:divBdr>
    </w:div>
    <w:div w:id="47925496">
      <w:bodyDiv w:val="1"/>
      <w:marLeft w:val="0"/>
      <w:marRight w:val="0"/>
      <w:marTop w:val="0"/>
      <w:marBottom w:val="0"/>
      <w:divBdr>
        <w:top w:val="none" w:sz="0" w:space="0" w:color="auto"/>
        <w:left w:val="none" w:sz="0" w:space="0" w:color="auto"/>
        <w:bottom w:val="none" w:sz="0" w:space="0" w:color="auto"/>
        <w:right w:val="none" w:sz="0" w:space="0" w:color="auto"/>
      </w:divBdr>
    </w:div>
    <w:div w:id="51656465">
      <w:bodyDiv w:val="1"/>
      <w:marLeft w:val="0"/>
      <w:marRight w:val="0"/>
      <w:marTop w:val="0"/>
      <w:marBottom w:val="0"/>
      <w:divBdr>
        <w:top w:val="none" w:sz="0" w:space="0" w:color="auto"/>
        <w:left w:val="none" w:sz="0" w:space="0" w:color="auto"/>
        <w:bottom w:val="none" w:sz="0" w:space="0" w:color="auto"/>
        <w:right w:val="none" w:sz="0" w:space="0" w:color="auto"/>
      </w:divBdr>
    </w:div>
    <w:div w:id="53286705">
      <w:bodyDiv w:val="1"/>
      <w:marLeft w:val="0"/>
      <w:marRight w:val="0"/>
      <w:marTop w:val="0"/>
      <w:marBottom w:val="0"/>
      <w:divBdr>
        <w:top w:val="none" w:sz="0" w:space="0" w:color="auto"/>
        <w:left w:val="none" w:sz="0" w:space="0" w:color="auto"/>
        <w:bottom w:val="none" w:sz="0" w:space="0" w:color="auto"/>
        <w:right w:val="none" w:sz="0" w:space="0" w:color="auto"/>
      </w:divBdr>
    </w:div>
    <w:div w:id="54546456">
      <w:bodyDiv w:val="1"/>
      <w:marLeft w:val="0"/>
      <w:marRight w:val="0"/>
      <w:marTop w:val="0"/>
      <w:marBottom w:val="0"/>
      <w:divBdr>
        <w:top w:val="none" w:sz="0" w:space="0" w:color="auto"/>
        <w:left w:val="none" w:sz="0" w:space="0" w:color="auto"/>
        <w:bottom w:val="none" w:sz="0" w:space="0" w:color="auto"/>
        <w:right w:val="none" w:sz="0" w:space="0" w:color="auto"/>
      </w:divBdr>
    </w:div>
    <w:div w:id="54670993">
      <w:bodyDiv w:val="1"/>
      <w:marLeft w:val="0"/>
      <w:marRight w:val="0"/>
      <w:marTop w:val="0"/>
      <w:marBottom w:val="0"/>
      <w:divBdr>
        <w:top w:val="none" w:sz="0" w:space="0" w:color="auto"/>
        <w:left w:val="none" w:sz="0" w:space="0" w:color="auto"/>
        <w:bottom w:val="none" w:sz="0" w:space="0" w:color="auto"/>
        <w:right w:val="none" w:sz="0" w:space="0" w:color="auto"/>
      </w:divBdr>
    </w:div>
    <w:div w:id="56439443">
      <w:bodyDiv w:val="1"/>
      <w:marLeft w:val="0"/>
      <w:marRight w:val="0"/>
      <w:marTop w:val="0"/>
      <w:marBottom w:val="0"/>
      <w:divBdr>
        <w:top w:val="none" w:sz="0" w:space="0" w:color="auto"/>
        <w:left w:val="none" w:sz="0" w:space="0" w:color="auto"/>
        <w:bottom w:val="none" w:sz="0" w:space="0" w:color="auto"/>
        <w:right w:val="none" w:sz="0" w:space="0" w:color="auto"/>
      </w:divBdr>
    </w:div>
    <w:div w:id="64568604">
      <w:bodyDiv w:val="1"/>
      <w:marLeft w:val="0"/>
      <w:marRight w:val="0"/>
      <w:marTop w:val="0"/>
      <w:marBottom w:val="0"/>
      <w:divBdr>
        <w:top w:val="none" w:sz="0" w:space="0" w:color="auto"/>
        <w:left w:val="none" w:sz="0" w:space="0" w:color="auto"/>
        <w:bottom w:val="none" w:sz="0" w:space="0" w:color="auto"/>
        <w:right w:val="none" w:sz="0" w:space="0" w:color="auto"/>
      </w:divBdr>
    </w:div>
    <w:div w:id="65030743">
      <w:bodyDiv w:val="1"/>
      <w:marLeft w:val="0"/>
      <w:marRight w:val="0"/>
      <w:marTop w:val="0"/>
      <w:marBottom w:val="0"/>
      <w:divBdr>
        <w:top w:val="none" w:sz="0" w:space="0" w:color="auto"/>
        <w:left w:val="none" w:sz="0" w:space="0" w:color="auto"/>
        <w:bottom w:val="none" w:sz="0" w:space="0" w:color="auto"/>
        <w:right w:val="none" w:sz="0" w:space="0" w:color="auto"/>
      </w:divBdr>
    </w:div>
    <w:div w:id="65348675">
      <w:bodyDiv w:val="1"/>
      <w:marLeft w:val="0"/>
      <w:marRight w:val="0"/>
      <w:marTop w:val="0"/>
      <w:marBottom w:val="0"/>
      <w:divBdr>
        <w:top w:val="none" w:sz="0" w:space="0" w:color="auto"/>
        <w:left w:val="none" w:sz="0" w:space="0" w:color="auto"/>
        <w:bottom w:val="none" w:sz="0" w:space="0" w:color="auto"/>
        <w:right w:val="none" w:sz="0" w:space="0" w:color="auto"/>
      </w:divBdr>
      <w:divsChild>
        <w:div w:id="34820638">
          <w:marLeft w:val="0"/>
          <w:marRight w:val="0"/>
          <w:marTop w:val="0"/>
          <w:marBottom w:val="0"/>
          <w:divBdr>
            <w:top w:val="none" w:sz="0" w:space="0" w:color="auto"/>
            <w:left w:val="none" w:sz="0" w:space="0" w:color="auto"/>
            <w:bottom w:val="none" w:sz="0" w:space="0" w:color="auto"/>
            <w:right w:val="none" w:sz="0" w:space="0" w:color="auto"/>
          </w:divBdr>
          <w:divsChild>
            <w:div w:id="675810552">
              <w:marLeft w:val="0"/>
              <w:marRight w:val="0"/>
              <w:marTop w:val="0"/>
              <w:marBottom w:val="0"/>
              <w:divBdr>
                <w:top w:val="none" w:sz="0" w:space="0" w:color="auto"/>
                <w:left w:val="none" w:sz="0" w:space="0" w:color="auto"/>
                <w:bottom w:val="none" w:sz="0" w:space="0" w:color="auto"/>
                <w:right w:val="none" w:sz="0" w:space="0" w:color="auto"/>
              </w:divBdr>
              <w:divsChild>
                <w:div w:id="16803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21276">
          <w:marLeft w:val="0"/>
          <w:marRight w:val="0"/>
          <w:marTop w:val="0"/>
          <w:marBottom w:val="0"/>
          <w:divBdr>
            <w:top w:val="none" w:sz="0" w:space="0" w:color="auto"/>
            <w:left w:val="none" w:sz="0" w:space="0" w:color="auto"/>
            <w:bottom w:val="none" w:sz="0" w:space="0" w:color="auto"/>
            <w:right w:val="none" w:sz="0" w:space="0" w:color="auto"/>
          </w:divBdr>
          <w:divsChild>
            <w:div w:id="1801221676">
              <w:marLeft w:val="0"/>
              <w:marRight w:val="0"/>
              <w:marTop w:val="0"/>
              <w:marBottom w:val="0"/>
              <w:divBdr>
                <w:top w:val="none" w:sz="0" w:space="0" w:color="auto"/>
                <w:left w:val="none" w:sz="0" w:space="0" w:color="auto"/>
                <w:bottom w:val="none" w:sz="0" w:space="0" w:color="auto"/>
                <w:right w:val="none" w:sz="0" w:space="0" w:color="auto"/>
              </w:divBdr>
              <w:divsChild>
                <w:div w:id="1827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4071">
          <w:marLeft w:val="0"/>
          <w:marRight w:val="0"/>
          <w:marTop w:val="0"/>
          <w:marBottom w:val="0"/>
          <w:divBdr>
            <w:top w:val="none" w:sz="0" w:space="0" w:color="auto"/>
            <w:left w:val="none" w:sz="0" w:space="0" w:color="auto"/>
            <w:bottom w:val="none" w:sz="0" w:space="0" w:color="auto"/>
            <w:right w:val="none" w:sz="0" w:space="0" w:color="auto"/>
          </w:divBdr>
          <w:divsChild>
            <w:div w:id="1619096244">
              <w:marLeft w:val="0"/>
              <w:marRight w:val="0"/>
              <w:marTop w:val="0"/>
              <w:marBottom w:val="0"/>
              <w:divBdr>
                <w:top w:val="none" w:sz="0" w:space="0" w:color="auto"/>
                <w:left w:val="none" w:sz="0" w:space="0" w:color="auto"/>
                <w:bottom w:val="none" w:sz="0" w:space="0" w:color="auto"/>
                <w:right w:val="none" w:sz="0" w:space="0" w:color="auto"/>
              </w:divBdr>
              <w:divsChild>
                <w:div w:id="4285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27181">
          <w:marLeft w:val="0"/>
          <w:marRight w:val="0"/>
          <w:marTop w:val="0"/>
          <w:marBottom w:val="0"/>
          <w:divBdr>
            <w:top w:val="none" w:sz="0" w:space="0" w:color="auto"/>
            <w:left w:val="none" w:sz="0" w:space="0" w:color="auto"/>
            <w:bottom w:val="none" w:sz="0" w:space="0" w:color="auto"/>
            <w:right w:val="none" w:sz="0" w:space="0" w:color="auto"/>
          </w:divBdr>
          <w:divsChild>
            <w:div w:id="976760391">
              <w:marLeft w:val="0"/>
              <w:marRight w:val="0"/>
              <w:marTop w:val="0"/>
              <w:marBottom w:val="0"/>
              <w:divBdr>
                <w:top w:val="none" w:sz="0" w:space="0" w:color="auto"/>
                <w:left w:val="none" w:sz="0" w:space="0" w:color="auto"/>
                <w:bottom w:val="none" w:sz="0" w:space="0" w:color="auto"/>
                <w:right w:val="none" w:sz="0" w:space="0" w:color="auto"/>
              </w:divBdr>
              <w:divsChild>
                <w:div w:id="5034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4334">
      <w:bodyDiv w:val="1"/>
      <w:marLeft w:val="0"/>
      <w:marRight w:val="0"/>
      <w:marTop w:val="0"/>
      <w:marBottom w:val="0"/>
      <w:divBdr>
        <w:top w:val="none" w:sz="0" w:space="0" w:color="auto"/>
        <w:left w:val="none" w:sz="0" w:space="0" w:color="auto"/>
        <w:bottom w:val="none" w:sz="0" w:space="0" w:color="auto"/>
        <w:right w:val="none" w:sz="0" w:space="0" w:color="auto"/>
      </w:divBdr>
    </w:div>
    <w:div w:id="80877490">
      <w:bodyDiv w:val="1"/>
      <w:marLeft w:val="0"/>
      <w:marRight w:val="0"/>
      <w:marTop w:val="0"/>
      <w:marBottom w:val="0"/>
      <w:divBdr>
        <w:top w:val="none" w:sz="0" w:space="0" w:color="auto"/>
        <w:left w:val="none" w:sz="0" w:space="0" w:color="auto"/>
        <w:bottom w:val="none" w:sz="0" w:space="0" w:color="auto"/>
        <w:right w:val="none" w:sz="0" w:space="0" w:color="auto"/>
      </w:divBdr>
    </w:div>
    <w:div w:id="81218512">
      <w:bodyDiv w:val="1"/>
      <w:marLeft w:val="0"/>
      <w:marRight w:val="0"/>
      <w:marTop w:val="0"/>
      <w:marBottom w:val="0"/>
      <w:divBdr>
        <w:top w:val="none" w:sz="0" w:space="0" w:color="auto"/>
        <w:left w:val="none" w:sz="0" w:space="0" w:color="auto"/>
        <w:bottom w:val="none" w:sz="0" w:space="0" w:color="auto"/>
        <w:right w:val="none" w:sz="0" w:space="0" w:color="auto"/>
      </w:divBdr>
    </w:div>
    <w:div w:id="83697830">
      <w:marLeft w:val="0"/>
      <w:marRight w:val="0"/>
      <w:marTop w:val="0"/>
      <w:marBottom w:val="0"/>
      <w:divBdr>
        <w:top w:val="none" w:sz="0" w:space="0" w:color="auto"/>
        <w:left w:val="none" w:sz="0" w:space="0" w:color="auto"/>
        <w:bottom w:val="none" w:sz="0" w:space="0" w:color="auto"/>
        <w:right w:val="none" w:sz="0" w:space="0" w:color="auto"/>
      </w:divBdr>
    </w:div>
    <w:div w:id="96606961">
      <w:bodyDiv w:val="1"/>
      <w:marLeft w:val="0"/>
      <w:marRight w:val="0"/>
      <w:marTop w:val="0"/>
      <w:marBottom w:val="0"/>
      <w:divBdr>
        <w:top w:val="none" w:sz="0" w:space="0" w:color="auto"/>
        <w:left w:val="none" w:sz="0" w:space="0" w:color="auto"/>
        <w:bottom w:val="none" w:sz="0" w:space="0" w:color="auto"/>
        <w:right w:val="none" w:sz="0" w:space="0" w:color="auto"/>
      </w:divBdr>
      <w:divsChild>
        <w:div w:id="1362364627">
          <w:marLeft w:val="0"/>
          <w:marRight w:val="0"/>
          <w:marTop w:val="150"/>
          <w:marBottom w:val="0"/>
          <w:divBdr>
            <w:top w:val="none" w:sz="0" w:space="0" w:color="auto"/>
            <w:left w:val="none" w:sz="0" w:space="0" w:color="auto"/>
            <w:bottom w:val="none" w:sz="0" w:space="0" w:color="auto"/>
            <w:right w:val="none" w:sz="0" w:space="0" w:color="auto"/>
          </w:divBdr>
          <w:divsChild>
            <w:div w:id="913392093">
              <w:marLeft w:val="0"/>
              <w:marRight w:val="0"/>
              <w:marTop w:val="0"/>
              <w:marBottom w:val="0"/>
              <w:divBdr>
                <w:top w:val="none" w:sz="0" w:space="0" w:color="auto"/>
                <w:left w:val="none" w:sz="0" w:space="0" w:color="auto"/>
                <w:bottom w:val="none" w:sz="0" w:space="0" w:color="auto"/>
                <w:right w:val="none" w:sz="0" w:space="0" w:color="auto"/>
              </w:divBdr>
              <w:divsChild>
                <w:div w:id="1599634108">
                  <w:marLeft w:val="0"/>
                  <w:marRight w:val="0"/>
                  <w:marTop w:val="0"/>
                  <w:marBottom w:val="0"/>
                  <w:divBdr>
                    <w:top w:val="single" w:sz="6" w:space="0" w:color="E3E1C8"/>
                    <w:left w:val="single" w:sz="6" w:space="0" w:color="E3E1C8"/>
                    <w:bottom w:val="single" w:sz="6" w:space="0" w:color="E3E1C8"/>
                    <w:right w:val="single" w:sz="6" w:space="0" w:color="E3E1C8"/>
                  </w:divBdr>
                  <w:divsChild>
                    <w:div w:id="4523428">
                      <w:marLeft w:val="0"/>
                      <w:marRight w:val="0"/>
                      <w:marTop w:val="0"/>
                      <w:marBottom w:val="0"/>
                      <w:divBdr>
                        <w:top w:val="single" w:sz="6" w:space="0" w:color="FFFFFF"/>
                        <w:left w:val="single" w:sz="6" w:space="0" w:color="FFFFFF"/>
                        <w:bottom w:val="single" w:sz="6" w:space="0" w:color="FFFFFF"/>
                        <w:right w:val="single" w:sz="6" w:space="0" w:color="FFFFFF"/>
                      </w:divBdr>
                      <w:divsChild>
                        <w:div w:id="1909613612">
                          <w:marLeft w:val="375"/>
                          <w:marRight w:val="375"/>
                          <w:marTop w:val="300"/>
                          <w:marBottom w:val="150"/>
                          <w:divBdr>
                            <w:top w:val="none" w:sz="0" w:space="0" w:color="auto"/>
                            <w:left w:val="none" w:sz="0" w:space="0" w:color="auto"/>
                            <w:bottom w:val="none" w:sz="0" w:space="0" w:color="auto"/>
                            <w:right w:val="none" w:sz="0" w:space="0" w:color="auto"/>
                          </w:divBdr>
                          <w:divsChild>
                            <w:div w:id="7697354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3550">
      <w:bodyDiv w:val="1"/>
      <w:marLeft w:val="0"/>
      <w:marRight w:val="0"/>
      <w:marTop w:val="0"/>
      <w:marBottom w:val="0"/>
      <w:divBdr>
        <w:top w:val="none" w:sz="0" w:space="0" w:color="auto"/>
        <w:left w:val="none" w:sz="0" w:space="0" w:color="auto"/>
        <w:bottom w:val="none" w:sz="0" w:space="0" w:color="auto"/>
        <w:right w:val="none" w:sz="0" w:space="0" w:color="auto"/>
      </w:divBdr>
    </w:div>
    <w:div w:id="97679709">
      <w:bodyDiv w:val="1"/>
      <w:marLeft w:val="0"/>
      <w:marRight w:val="0"/>
      <w:marTop w:val="0"/>
      <w:marBottom w:val="0"/>
      <w:divBdr>
        <w:top w:val="none" w:sz="0" w:space="0" w:color="auto"/>
        <w:left w:val="none" w:sz="0" w:space="0" w:color="auto"/>
        <w:bottom w:val="none" w:sz="0" w:space="0" w:color="auto"/>
        <w:right w:val="none" w:sz="0" w:space="0" w:color="auto"/>
      </w:divBdr>
    </w:div>
    <w:div w:id="98836599">
      <w:bodyDiv w:val="1"/>
      <w:marLeft w:val="0"/>
      <w:marRight w:val="0"/>
      <w:marTop w:val="0"/>
      <w:marBottom w:val="0"/>
      <w:divBdr>
        <w:top w:val="none" w:sz="0" w:space="0" w:color="auto"/>
        <w:left w:val="none" w:sz="0" w:space="0" w:color="auto"/>
        <w:bottom w:val="none" w:sz="0" w:space="0" w:color="auto"/>
        <w:right w:val="none" w:sz="0" w:space="0" w:color="auto"/>
      </w:divBdr>
    </w:div>
    <w:div w:id="111094235">
      <w:bodyDiv w:val="1"/>
      <w:marLeft w:val="0"/>
      <w:marRight w:val="0"/>
      <w:marTop w:val="0"/>
      <w:marBottom w:val="0"/>
      <w:divBdr>
        <w:top w:val="none" w:sz="0" w:space="0" w:color="auto"/>
        <w:left w:val="none" w:sz="0" w:space="0" w:color="auto"/>
        <w:bottom w:val="none" w:sz="0" w:space="0" w:color="auto"/>
        <w:right w:val="none" w:sz="0" w:space="0" w:color="auto"/>
      </w:divBdr>
      <w:divsChild>
        <w:div w:id="1119228783">
          <w:marLeft w:val="0"/>
          <w:marRight w:val="0"/>
          <w:marTop w:val="0"/>
          <w:marBottom w:val="0"/>
          <w:divBdr>
            <w:top w:val="none" w:sz="0" w:space="0" w:color="auto"/>
            <w:left w:val="none" w:sz="0" w:space="0" w:color="auto"/>
            <w:bottom w:val="none" w:sz="0" w:space="0" w:color="auto"/>
            <w:right w:val="none" w:sz="0" w:space="0" w:color="auto"/>
          </w:divBdr>
          <w:divsChild>
            <w:div w:id="1885364656">
              <w:marLeft w:val="0"/>
              <w:marRight w:val="0"/>
              <w:marTop w:val="0"/>
              <w:marBottom w:val="0"/>
              <w:divBdr>
                <w:top w:val="none" w:sz="0" w:space="0" w:color="auto"/>
                <w:left w:val="none" w:sz="0" w:space="0" w:color="auto"/>
                <w:bottom w:val="none" w:sz="0" w:space="0" w:color="auto"/>
                <w:right w:val="none" w:sz="0" w:space="0" w:color="auto"/>
              </w:divBdr>
              <w:divsChild>
                <w:div w:id="586305708">
                  <w:marLeft w:val="0"/>
                  <w:marRight w:val="0"/>
                  <w:marTop w:val="225"/>
                  <w:marBottom w:val="240"/>
                  <w:divBdr>
                    <w:top w:val="single" w:sz="6" w:space="15" w:color="B5D6E6"/>
                    <w:left w:val="single" w:sz="6" w:space="11" w:color="B5D6E6"/>
                    <w:bottom w:val="single" w:sz="6" w:space="8" w:color="B5D6E6"/>
                    <w:right w:val="single" w:sz="6" w:space="11" w:color="B5D6E6"/>
                  </w:divBdr>
                </w:div>
              </w:divsChild>
            </w:div>
          </w:divsChild>
        </w:div>
      </w:divsChild>
    </w:div>
    <w:div w:id="113836170">
      <w:bodyDiv w:val="1"/>
      <w:marLeft w:val="0"/>
      <w:marRight w:val="0"/>
      <w:marTop w:val="0"/>
      <w:marBottom w:val="0"/>
      <w:divBdr>
        <w:top w:val="none" w:sz="0" w:space="0" w:color="auto"/>
        <w:left w:val="none" w:sz="0" w:space="0" w:color="auto"/>
        <w:bottom w:val="none" w:sz="0" w:space="0" w:color="auto"/>
        <w:right w:val="none" w:sz="0" w:space="0" w:color="auto"/>
      </w:divBdr>
    </w:div>
    <w:div w:id="126553814">
      <w:bodyDiv w:val="1"/>
      <w:marLeft w:val="0"/>
      <w:marRight w:val="0"/>
      <w:marTop w:val="0"/>
      <w:marBottom w:val="0"/>
      <w:divBdr>
        <w:top w:val="none" w:sz="0" w:space="0" w:color="auto"/>
        <w:left w:val="none" w:sz="0" w:space="0" w:color="auto"/>
        <w:bottom w:val="none" w:sz="0" w:space="0" w:color="auto"/>
        <w:right w:val="none" w:sz="0" w:space="0" w:color="auto"/>
      </w:divBdr>
    </w:div>
    <w:div w:id="128516949">
      <w:bodyDiv w:val="1"/>
      <w:marLeft w:val="0"/>
      <w:marRight w:val="0"/>
      <w:marTop w:val="0"/>
      <w:marBottom w:val="0"/>
      <w:divBdr>
        <w:top w:val="none" w:sz="0" w:space="0" w:color="auto"/>
        <w:left w:val="none" w:sz="0" w:space="0" w:color="auto"/>
        <w:bottom w:val="none" w:sz="0" w:space="0" w:color="auto"/>
        <w:right w:val="none" w:sz="0" w:space="0" w:color="auto"/>
      </w:divBdr>
    </w:div>
    <w:div w:id="140080438">
      <w:bodyDiv w:val="1"/>
      <w:marLeft w:val="0"/>
      <w:marRight w:val="0"/>
      <w:marTop w:val="0"/>
      <w:marBottom w:val="0"/>
      <w:divBdr>
        <w:top w:val="none" w:sz="0" w:space="0" w:color="auto"/>
        <w:left w:val="none" w:sz="0" w:space="0" w:color="auto"/>
        <w:bottom w:val="none" w:sz="0" w:space="0" w:color="auto"/>
        <w:right w:val="none" w:sz="0" w:space="0" w:color="auto"/>
      </w:divBdr>
    </w:div>
    <w:div w:id="141653459">
      <w:bodyDiv w:val="1"/>
      <w:marLeft w:val="0"/>
      <w:marRight w:val="0"/>
      <w:marTop w:val="0"/>
      <w:marBottom w:val="0"/>
      <w:divBdr>
        <w:top w:val="none" w:sz="0" w:space="0" w:color="auto"/>
        <w:left w:val="none" w:sz="0" w:space="0" w:color="auto"/>
        <w:bottom w:val="none" w:sz="0" w:space="0" w:color="auto"/>
        <w:right w:val="none" w:sz="0" w:space="0" w:color="auto"/>
      </w:divBdr>
    </w:div>
    <w:div w:id="142897662">
      <w:bodyDiv w:val="1"/>
      <w:marLeft w:val="0"/>
      <w:marRight w:val="0"/>
      <w:marTop w:val="0"/>
      <w:marBottom w:val="0"/>
      <w:divBdr>
        <w:top w:val="none" w:sz="0" w:space="0" w:color="auto"/>
        <w:left w:val="none" w:sz="0" w:space="0" w:color="auto"/>
        <w:bottom w:val="none" w:sz="0" w:space="0" w:color="auto"/>
        <w:right w:val="none" w:sz="0" w:space="0" w:color="auto"/>
      </w:divBdr>
    </w:div>
    <w:div w:id="148135883">
      <w:bodyDiv w:val="1"/>
      <w:marLeft w:val="0"/>
      <w:marRight w:val="0"/>
      <w:marTop w:val="0"/>
      <w:marBottom w:val="0"/>
      <w:divBdr>
        <w:top w:val="none" w:sz="0" w:space="0" w:color="auto"/>
        <w:left w:val="none" w:sz="0" w:space="0" w:color="auto"/>
        <w:bottom w:val="none" w:sz="0" w:space="0" w:color="auto"/>
        <w:right w:val="none" w:sz="0" w:space="0" w:color="auto"/>
      </w:divBdr>
    </w:div>
    <w:div w:id="156653360">
      <w:bodyDiv w:val="1"/>
      <w:marLeft w:val="0"/>
      <w:marRight w:val="0"/>
      <w:marTop w:val="0"/>
      <w:marBottom w:val="0"/>
      <w:divBdr>
        <w:top w:val="none" w:sz="0" w:space="0" w:color="auto"/>
        <w:left w:val="none" w:sz="0" w:space="0" w:color="auto"/>
        <w:bottom w:val="none" w:sz="0" w:space="0" w:color="auto"/>
        <w:right w:val="none" w:sz="0" w:space="0" w:color="auto"/>
      </w:divBdr>
    </w:div>
    <w:div w:id="157427409">
      <w:bodyDiv w:val="1"/>
      <w:marLeft w:val="0"/>
      <w:marRight w:val="0"/>
      <w:marTop w:val="0"/>
      <w:marBottom w:val="0"/>
      <w:divBdr>
        <w:top w:val="none" w:sz="0" w:space="0" w:color="auto"/>
        <w:left w:val="none" w:sz="0" w:space="0" w:color="auto"/>
        <w:bottom w:val="none" w:sz="0" w:space="0" w:color="auto"/>
        <w:right w:val="none" w:sz="0" w:space="0" w:color="auto"/>
      </w:divBdr>
    </w:div>
    <w:div w:id="165026573">
      <w:bodyDiv w:val="1"/>
      <w:marLeft w:val="0"/>
      <w:marRight w:val="0"/>
      <w:marTop w:val="0"/>
      <w:marBottom w:val="0"/>
      <w:divBdr>
        <w:top w:val="none" w:sz="0" w:space="0" w:color="auto"/>
        <w:left w:val="none" w:sz="0" w:space="0" w:color="auto"/>
        <w:bottom w:val="none" w:sz="0" w:space="0" w:color="auto"/>
        <w:right w:val="none" w:sz="0" w:space="0" w:color="auto"/>
      </w:divBdr>
    </w:div>
    <w:div w:id="169954211">
      <w:bodyDiv w:val="1"/>
      <w:marLeft w:val="0"/>
      <w:marRight w:val="0"/>
      <w:marTop w:val="0"/>
      <w:marBottom w:val="0"/>
      <w:divBdr>
        <w:top w:val="none" w:sz="0" w:space="0" w:color="auto"/>
        <w:left w:val="none" w:sz="0" w:space="0" w:color="auto"/>
        <w:bottom w:val="none" w:sz="0" w:space="0" w:color="auto"/>
        <w:right w:val="none" w:sz="0" w:space="0" w:color="auto"/>
      </w:divBdr>
    </w:div>
    <w:div w:id="184757776">
      <w:bodyDiv w:val="1"/>
      <w:marLeft w:val="0"/>
      <w:marRight w:val="0"/>
      <w:marTop w:val="0"/>
      <w:marBottom w:val="0"/>
      <w:divBdr>
        <w:top w:val="none" w:sz="0" w:space="0" w:color="auto"/>
        <w:left w:val="none" w:sz="0" w:space="0" w:color="auto"/>
        <w:bottom w:val="none" w:sz="0" w:space="0" w:color="auto"/>
        <w:right w:val="none" w:sz="0" w:space="0" w:color="auto"/>
      </w:divBdr>
    </w:div>
    <w:div w:id="186719686">
      <w:bodyDiv w:val="1"/>
      <w:marLeft w:val="0"/>
      <w:marRight w:val="0"/>
      <w:marTop w:val="0"/>
      <w:marBottom w:val="0"/>
      <w:divBdr>
        <w:top w:val="none" w:sz="0" w:space="0" w:color="auto"/>
        <w:left w:val="none" w:sz="0" w:space="0" w:color="auto"/>
        <w:bottom w:val="none" w:sz="0" w:space="0" w:color="auto"/>
        <w:right w:val="none" w:sz="0" w:space="0" w:color="auto"/>
      </w:divBdr>
    </w:div>
    <w:div w:id="188184087">
      <w:bodyDiv w:val="1"/>
      <w:marLeft w:val="0"/>
      <w:marRight w:val="0"/>
      <w:marTop w:val="0"/>
      <w:marBottom w:val="0"/>
      <w:divBdr>
        <w:top w:val="none" w:sz="0" w:space="0" w:color="auto"/>
        <w:left w:val="none" w:sz="0" w:space="0" w:color="auto"/>
        <w:bottom w:val="none" w:sz="0" w:space="0" w:color="auto"/>
        <w:right w:val="none" w:sz="0" w:space="0" w:color="auto"/>
      </w:divBdr>
    </w:div>
    <w:div w:id="188564674">
      <w:bodyDiv w:val="1"/>
      <w:marLeft w:val="0"/>
      <w:marRight w:val="0"/>
      <w:marTop w:val="0"/>
      <w:marBottom w:val="0"/>
      <w:divBdr>
        <w:top w:val="none" w:sz="0" w:space="0" w:color="auto"/>
        <w:left w:val="none" w:sz="0" w:space="0" w:color="auto"/>
        <w:bottom w:val="none" w:sz="0" w:space="0" w:color="auto"/>
        <w:right w:val="none" w:sz="0" w:space="0" w:color="auto"/>
      </w:divBdr>
    </w:div>
    <w:div w:id="192571489">
      <w:bodyDiv w:val="1"/>
      <w:marLeft w:val="0"/>
      <w:marRight w:val="0"/>
      <w:marTop w:val="0"/>
      <w:marBottom w:val="0"/>
      <w:divBdr>
        <w:top w:val="none" w:sz="0" w:space="0" w:color="auto"/>
        <w:left w:val="none" w:sz="0" w:space="0" w:color="auto"/>
        <w:bottom w:val="none" w:sz="0" w:space="0" w:color="auto"/>
        <w:right w:val="none" w:sz="0" w:space="0" w:color="auto"/>
      </w:divBdr>
    </w:div>
    <w:div w:id="193688391">
      <w:bodyDiv w:val="1"/>
      <w:marLeft w:val="0"/>
      <w:marRight w:val="0"/>
      <w:marTop w:val="0"/>
      <w:marBottom w:val="0"/>
      <w:divBdr>
        <w:top w:val="none" w:sz="0" w:space="0" w:color="auto"/>
        <w:left w:val="none" w:sz="0" w:space="0" w:color="auto"/>
        <w:bottom w:val="none" w:sz="0" w:space="0" w:color="auto"/>
        <w:right w:val="none" w:sz="0" w:space="0" w:color="auto"/>
      </w:divBdr>
    </w:div>
    <w:div w:id="200365079">
      <w:bodyDiv w:val="1"/>
      <w:marLeft w:val="0"/>
      <w:marRight w:val="0"/>
      <w:marTop w:val="0"/>
      <w:marBottom w:val="0"/>
      <w:divBdr>
        <w:top w:val="none" w:sz="0" w:space="0" w:color="auto"/>
        <w:left w:val="none" w:sz="0" w:space="0" w:color="auto"/>
        <w:bottom w:val="none" w:sz="0" w:space="0" w:color="auto"/>
        <w:right w:val="none" w:sz="0" w:space="0" w:color="auto"/>
      </w:divBdr>
    </w:div>
    <w:div w:id="202211054">
      <w:bodyDiv w:val="1"/>
      <w:marLeft w:val="0"/>
      <w:marRight w:val="0"/>
      <w:marTop w:val="0"/>
      <w:marBottom w:val="0"/>
      <w:divBdr>
        <w:top w:val="none" w:sz="0" w:space="0" w:color="auto"/>
        <w:left w:val="none" w:sz="0" w:space="0" w:color="auto"/>
        <w:bottom w:val="none" w:sz="0" w:space="0" w:color="auto"/>
        <w:right w:val="none" w:sz="0" w:space="0" w:color="auto"/>
      </w:divBdr>
    </w:div>
    <w:div w:id="202981287">
      <w:bodyDiv w:val="1"/>
      <w:marLeft w:val="0"/>
      <w:marRight w:val="0"/>
      <w:marTop w:val="0"/>
      <w:marBottom w:val="0"/>
      <w:divBdr>
        <w:top w:val="none" w:sz="0" w:space="0" w:color="auto"/>
        <w:left w:val="none" w:sz="0" w:space="0" w:color="auto"/>
        <w:bottom w:val="none" w:sz="0" w:space="0" w:color="auto"/>
        <w:right w:val="none" w:sz="0" w:space="0" w:color="auto"/>
      </w:divBdr>
    </w:div>
    <w:div w:id="204606178">
      <w:bodyDiv w:val="1"/>
      <w:marLeft w:val="0"/>
      <w:marRight w:val="0"/>
      <w:marTop w:val="0"/>
      <w:marBottom w:val="0"/>
      <w:divBdr>
        <w:top w:val="none" w:sz="0" w:space="0" w:color="auto"/>
        <w:left w:val="none" w:sz="0" w:space="0" w:color="auto"/>
        <w:bottom w:val="none" w:sz="0" w:space="0" w:color="auto"/>
        <w:right w:val="none" w:sz="0" w:space="0" w:color="auto"/>
      </w:divBdr>
    </w:div>
    <w:div w:id="205604227">
      <w:bodyDiv w:val="1"/>
      <w:marLeft w:val="0"/>
      <w:marRight w:val="0"/>
      <w:marTop w:val="0"/>
      <w:marBottom w:val="0"/>
      <w:divBdr>
        <w:top w:val="none" w:sz="0" w:space="0" w:color="auto"/>
        <w:left w:val="none" w:sz="0" w:space="0" w:color="auto"/>
        <w:bottom w:val="none" w:sz="0" w:space="0" w:color="auto"/>
        <w:right w:val="none" w:sz="0" w:space="0" w:color="auto"/>
      </w:divBdr>
    </w:div>
    <w:div w:id="206066136">
      <w:bodyDiv w:val="1"/>
      <w:marLeft w:val="0"/>
      <w:marRight w:val="0"/>
      <w:marTop w:val="0"/>
      <w:marBottom w:val="0"/>
      <w:divBdr>
        <w:top w:val="none" w:sz="0" w:space="0" w:color="auto"/>
        <w:left w:val="none" w:sz="0" w:space="0" w:color="auto"/>
        <w:bottom w:val="none" w:sz="0" w:space="0" w:color="auto"/>
        <w:right w:val="none" w:sz="0" w:space="0" w:color="auto"/>
      </w:divBdr>
    </w:div>
    <w:div w:id="208304212">
      <w:bodyDiv w:val="1"/>
      <w:marLeft w:val="120"/>
      <w:marRight w:val="120"/>
      <w:marTop w:val="0"/>
      <w:marBottom w:val="0"/>
      <w:divBdr>
        <w:top w:val="none" w:sz="0" w:space="0" w:color="auto"/>
        <w:left w:val="none" w:sz="0" w:space="0" w:color="auto"/>
        <w:bottom w:val="none" w:sz="0" w:space="0" w:color="auto"/>
        <w:right w:val="none" w:sz="0" w:space="0" w:color="auto"/>
      </w:divBdr>
      <w:divsChild>
        <w:div w:id="1405029861">
          <w:marLeft w:val="0"/>
          <w:marRight w:val="0"/>
          <w:marTop w:val="0"/>
          <w:marBottom w:val="0"/>
          <w:divBdr>
            <w:top w:val="none" w:sz="0" w:space="0" w:color="auto"/>
            <w:left w:val="none" w:sz="0" w:space="0" w:color="auto"/>
            <w:bottom w:val="none" w:sz="0" w:space="0" w:color="auto"/>
            <w:right w:val="none" w:sz="0" w:space="0" w:color="auto"/>
          </w:divBdr>
          <w:divsChild>
            <w:div w:id="211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63">
      <w:bodyDiv w:val="1"/>
      <w:marLeft w:val="0"/>
      <w:marRight w:val="0"/>
      <w:marTop w:val="0"/>
      <w:marBottom w:val="0"/>
      <w:divBdr>
        <w:top w:val="none" w:sz="0" w:space="0" w:color="auto"/>
        <w:left w:val="none" w:sz="0" w:space="0" w:color="auto"/>
        <w:bottom w:val="none" w:sz="0" w:space="0" w:color="auto"/>
        <w:right w:val="none" w:sz="0" w:space="0" w:color="auto"/>
      </w:divBdr>
    </w:div>
    <w:div w:id="214465053">
      <w:bodyDiv w:val="1"/>
      <w:marLeft w:val="0"/>
      <w:marRight w:val="0"/>
      <w:marTop w:val="0"/>
      <w:marBottom w:val="0"/>
      <w:divBdr>
        <w:top w:val="none" w:sz="0" w:space="0" w:color="auto"/>
        <w:left w:val="none" w:sz="0" w:space="0" w:color="auto"/>
        <w:bottom w:val="none" w:sz="0" w:space="0" w:color="auto"/>
        <w:right w:val="none" w:sz="0" w:space="0" w:color="auto"/>
      </w:divBdr>
    </w:div>
    <w:div w:id="215747652">
      <w:bodyDiv w:val="1"/>
      <w:marLeft w:val="0"/>
      <w:marRight w:val="0"/>
      <w:marTop w:val="0"/>
      <w:marBottom w:val="0"/>
      <w:divBdr>
        <w:top w:val="none" w:sz="0" w:space="0" w:color="auto"/>
        <w:left w:val="none" w:sz="0" w:space="0" w:color="auto"/>
        <w:bottom w:val="none" w:sz="0" w:space="0" w:color="auto"/>
        <w:right w:val="none" w:sz="0" w:space="0" w:color="auto"/>
      </w:divBdr>
    </w:div>
    <w:div w:id="217665802">
      <w:bodyDiv w:val="1"/>
      <w:marLeft w:val="120"/>
      <w:marRight w:val="120"/>
      <w:marTop w:val="0"/>
      <w:marBottom w:val="0"/>
      <w:divBdr>
        <w:top w:val="none" w:sz="0" w:space="0" w:color="auto"/>
        <w:left w:val="none" w:sz="0" w:space="0" w:color="auto"/>
        <w:bottom w:val="none" w:sz="0" w:space="0" w:color="auto"/>
        <w:right w:val="none" w:sz="0" w:space="0" w:color="auto"/>
      </w:divBdr>
      <w:divsChild>
        <w:div w:id="939408285">
          <w:marLeft w:val="0"/>
          <w:marRight w:val="0"/>
          <w:marTop w:val="0"/>
          <w:marBottom w:val="0"/>
          <w:divBdr>
            <w:top w:val="none" w:sz="0" w:space="0" w:color="auto"/>
            <w:left w:val="none" w:sz="0" w:space="0" w:color="auto"/>
            <w:bottom w:val="none" w:sz="0" w:space="0" w:color="auto"/>
            <w:right w:val="none" w:sz="0" w:space="0" w:color="auto"/>
          </w:divBdr>
          <w:divsChild>
            <w:div w:id="11992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6752">
      <w:bodyDiv w:val="1"/>
      <w:marLeft w:val="120"/>
      <w:marRight w:val="120"/>
      <w:marTop w:val="0"/>
      <w:marBottom w:val="0"/>
      <w:divBdr>
        <w:top w:val="none" w:sz="0" w:space="0" w:color="auto"/>
        <w:left w:val="none" w:sz="0" w:space="0" w:color="auto"/>
        <w:bottom w:val="none" w:sz="0" w:space="0" w:color="auto"/>
        <w:right w:val="none" w:sz="0" w:space="0" w:color="auto"/>
      </w:divBdr>
      <w:divsChild>
        <w:div w:id="1093666880">
          <w:marLeft w:val="0"/>
          <w:marRight w:val="0"/>
          <w:marTop w:val="0"/>
          <w:marBottom w:val="0"/>
          <w:divBdr>
            <w:top w:val="none" w:sz="0" w:space="0" w:color="auto"/>
            <w:left w:val="none" w:sz="0" w:space="0" w:color="auto"/>
            <w:bottom w:val="none" w:sz="0" w:space="0" w:color="auto"/>
            <w:right w:val="none" w:sz="0" w:space="0" w:color="auto"/>
          </w:divBdr>
          <w:divsChild>
            <w:div w:id="1175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8114">
      <w:bodyDiv w:val="1"/>
      <w:marLeft w:val="0"/>
      <w:marRight w:val="0"/>
      <w:marTop w:val="0"/>
      <w:marBottom w:val="0"/>
      <w:divBdr>
        <w:top w:val="none" w:sz="0" w:space="0" w:color="auto"/>
        <w:left w:val="none" w:sz="0" w:space="0" w:color="auto"/>
        <w:bottom w:val="none" w:sz="0" w:space="0" w:color="auto"/>
        <w:right w:val="none" w:sz="0" w:space="0" w:color="auto"/>
      </w:divBdr>
    </w:div>
    <w:div w:id="225724132">
      <w:bodyDiv w:val="1"/>
      <w:marLeft w:val="0"/>
      <w:marRight w:val="0"/>
      <w:marTop w:val="0"/>
      <w:marBottom w:val="0"/>
      <w:divBdr>
        <w:top w:val="none" w:sz="0" w:space="0" w:color="auto"/>
        <w:left w:val="none" w:sz="0" w:space="0" w:color="auto"/>
        <w:bottom w:val="none" w:sz="0" w:space="0" w:color="auto"/>
        <w:right w:val="none" w:sz="0" w:space="0" w:color="auto"/>
      </w:divBdr>
    </w:div>
    <w:div w:id="227309581">
      <w:bodyDiv w:val="1"/>
      <w:marLeft w:val="0"/>
      <w:marRight w:val="0"/>
      <w:marTop w:val="0"/>
      <w:marBottom w:val="0"/>
      <w:divBdr>
        <w:top w:val="none" w:sz="0" w:space="0" w:color="auto"/>
        <w:left w:val="none" w:sz="0" w:space="0" w:color="auto"/>
        <w:bottom w:val="none" w:sz="0" w:space="0" w:color="auto"/>
        <w:right w:val="none" w:sz="0" w:space="0" w:color="auto"/>
      </w:divBdr>
    </w:div>
    <w:div w:id="231738229">
      <w:bodyDiv w:val="1"/>
      <w:marLeft w:val="0"/>
      <w:marRight w:val="0"/>
      <w:marTop w:val="0"/>
      <w:marBottom w:val="0"/>
      <w:divBdr>
        <w:top w:val="none" w:sz="0" w:space="0" w:color="auto"/>
        <w:left w:val="none" w:sz="0" w:space="0" w:color="auto"/>
        <w:bottom w:val="none" w:sz="0" w:space="0" w:color="auto"/>
        <w:right w:val="none" w:sz="0" w:space="0" w:color="auto"/>
      </w:divBdr>
    </w:div>
    <w:div w:id="232745216">
      <w:bodyDiv w:val="1"/>
      <w:marLeft w:val="0"/>
      <w:marRight w:val="0"/>
      <w:marTop w:val="0"/>
      <w:marBottom w:val="0"/>
      <w:divBdr>
        <w:top w:val="none" w:sz="0" w:space="0" w:color="auto"/>
        <w:left w:val="none" w:sz="0" w:space="0" w:color="auto"/>
        <w:bottom w:val="none" w:sz="0" w:space="0" w:color="auto"/>
        <w:right w:val="none" w:sz="0" w:space="0" w:color="auto"/>
      </w:divBdr>
    </w:div>
    <w:div w:id="236865014">
      <w:bodyDiv w:val="1"/>
      <w:marLeft w:val="0"/>
      <w:marRight w:val="0"/>
      <w:marTop w:val="0"/>
      <w:marBottom w:val="0"/>
      <w:divBdr>
        <w:top w:val="none" w:sz="0" w:space="0" w:color="auto"/>
        <w:left w:val="none" w:sz="0" w:space="0" w:color="auto"/>
        <w:bottom w:val="none" w:sz="0" w:space="0" w:color="auto"/>
        <w:right w:val="none" w:sz="0" w:space="0" w:color="auto"/>
      </w:divBdr>
    </w:div>
    <w:div w:id="242840990">
      <w:bodyDiv w:val="1"/>
      <w:marLeft w:val="0"/>
      <w:marRight w:val="0"/>
      <w:marTop w:val="0"/>
      <w:marBottom w:val="0"/>
      <w:divBdr>
        <w:top w:val="none" w:sz="0" w:space="0" w:color="auto"/>
        <w:left w:val="none" w:sz="0" w:space="0" w:color="auto"/>
        <w:bottom w:val="none" w:sz="0" w:space="0" w:color="auto"/>
        <w:right w:val="none" w:sz="0" w:space="0" w:color="auto"/>
      </w:divBdr>
    </w:div>
    <w:div w:id="244144492">
      <w:bodyDiv w:val="1"/>
      <w:marLeft w:val="0"/>
      <w:marRight w:val="0"/>
      <w:marTop w:val="0"/>
      <w:marBottom w:val="0"/>
      <w:divBdr>
        <w:top w:val="none" w:sz="0" w:space="0" w:color="auto"/>
        <w:left w:val="none" w:sz="0" w:space="0" w:color="auto"/>
        <w:bottom w:val="none" w:sz="0" w:space="0" w:color="auto"/>
        <w:right w:val="none" w:sz="0" w:space="0" w:color="auto"/>
      </w:divBdr>
    </w:div>
    <w:div w:id="250698281">
      <w:bodyDiv w:val="1"/>
      <w:marLeft w:val="0"/>
      <w:marRight w:val="0"/>
      <w:marTop w:val="0"/>
      <w:marBottom w:val="0"/>
      <w:divBdr>
        <w:top w:val="none" w:sz="0" w:space="0" w:color="auto"/>
        <w:left w:val="none" w:sz="0" w:space="0" w:color="auto"/>
        <w:bottom w:val="none" w:sz="0" w:space="0" w:color="auto"/>
        <w:right w:val="none" w:sz="0" w:space="0" w:color="auto"/>
      </w:divBdr>
    </w:div>
    <w:div w:id="263658556">
      <w:bodyDiv w:val="1"/>
      <w:marLeft w:val="0"/>
      <w:marRight w:val="0"/>
      <w:marTop w:val="0"/>
      <w:marBottom w:val="0"/>
      <w:divBdr>
        <w:top w:val="none" w:sz="0" w:space="0" w:color="auto"/>
        <w:left w:val="none" w:sz="0" w:space="0" w:color="auto"/>
        <w:bottom w:val="none" w:sz="0" w:space="0" w:color="auto"/>
        <w:right w:val="none" w:sz="0" w:space="0" w:color="auto"/>
      </w:divBdr>
    </w:div>
    <w:div w:id="278882254">
      <w:bodyDiv w:val="1"/>
      <w:marLeft w:val="0"/>
      <w:marRight w:val="0"/>
      <w:marTop w:val="0"/>
      <w:marBottom w:val="0"/>
      <w:divBdr>
        <w:top w:val="none" w:sz="0" w:space="0" w:color="auto"/>
        <w:left w:val="none" w:sz="0" w:space="0" w:color="auto"/>
        <w:bottom w:val="none" w:sz="0" w:space="0" w:color="auto"/>
        <w:right w:val="none" w:sz="0" w:space="0" w:color="auto"/>
      </w:divBdr>
      <w:divsChild>
        <w:div w:id="147523892">
          <w:marLeft w:val="0"/>
          <w:marRight w:val="0"/>
          <w:marTop w:val="0"/>
          <w:marBottom w:val="0"/>
          <w:divBdr>
            <w:top w:val="none" w:sz="0" w:space="0" w:color="auto"/>
            <w:left w:val="none" w:sz="0" w:space="0" w:color="auto"/>
            <w:bottom w:val="none" w:sz="0" w:space="0" w:color="auto"/>
            <w:right w:val="none" w:sz="0" w:space="0" w:color="auto"/>
          </w:divBdr>
          <w:divsChild>
            <w:div w:id="797378784">
              <w:marLeft w:val="0"/>
              <w:marRight w:val="0"/>
              <w:marTop w:val="0"/>
              <w:marBottom w:val="0"/>
              <w:divBdr>
                <w:top w:val="none" w:sz="0" w:space="0" w:color="auto"/>
                <w:left w:val="none" w:sz="0" w:space="0" w:color="auto"/>
                <w:bottom w:val="none" w:sz="0" w:space="0" w:color="auto"/>
                <w:right w:val="none" w:sz="0" w:space="0" w:color="auto"/>
              </w:divBdr>
              <w:divsChild>
                <w:div w:id="1229268942">
                  <w:marLeft w:val="0"/>
                  <w:marRight w:val="0"/>
                  <w:marTop w:val="0"/>
                  <w:marBottom w:val="0"/>
                  <w:divBdr>
                    <w:top w:val="none" w:sz="0" w:space="0" w:color="auto"/>
                    <w:left w:val="none" w:sz="0" w:space="0" w:color="auto"/>
                    <w:bottom w:val="none" w:sz="0" w:space="0" w:color="auto"/>
                    <w:right w:val="none" w:sz="0" w:space="0" w:color="auto"/>
                  </w:divBdr>
                  <w:divsChild>
                    <w:div w:id="16365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95784">
      <w:bodyDiv w:val="1"/>
      <w:marLeft w:val="0"/>
      <w:marRight w:val="0"/>
      <w:marTop w:val="0"/>
      <w:marBottom w:val="0"/>
      <w:divBdr>
        <w:top w:val="none" w:sz="0" w:space="0" w:color="auto"/>
        <w:left w:val="none" w:sz="0" w:space="0" w:color="auto"/>
        <w:bottom w:val="none" w:sz="0" w:space="0" w:color="auto"/>
        <w:right w:val="none" w:sz="0" w:space="0" w:color="auto"/>
      </w:divBdr>
    </w:div>
    <w:div w:id="283778209">
      <w:bodyDiv w:val="1"/>
      <w:marLeft w:val="0"/>
      <w:marRight w:val="0"/>
      <w:marTop w:val="0"/>
      <w:marBottom w:val="0"/>
      <w:divBdr>
        <w:top w:val="none" w:sz="0" w:space="0" w:color="auto"/>
        <w:left w:val="none" w:sz="0" w:space="0" w:color="auto"/>
        <w:bottom w:val="none" w:sz="0" w:space="0" w:color="auto"/>
        <w:right w:val="none" w:sz="0" w:space="0" w:color="auto"/>
      </w:divBdr>
    </w:div>
    <w:div w:id="287785588">
      <w:bodyDiv w:val="1"/>
      <w:marLeft w:val="0"/>
      <w:marRight w:val="0"/>
      <w:marTop w:val="0"/>
      <w:marBottom w:val="0"/>
      <w:divBdr>
        <w:top w:val="none" w:sz="0" w:space="0" w:color="auto"/>
        <w:left w:val="none" w:sz="0" w:space="0" w:color="auto"/>
        <w:bottom w:val="none" w:sz="0" w:space="0" w:color="auto"/>
        <w:right w:val="none" w:sz="0" w:space="0" w:color="auto"/>
      </w:divBdr>
    </w:div>
    <w:div w:id="289092600">
      <w:bodyDiv w:val="1"/>
      <w:marLeft w:val="0"/>
      <w:marRight w:val="0"/>
      <w:marTop w:val="0"/>
      <w:marBottom w:val="0"/>
      <w:divBdr>
        <w:top w:val="none" w:sz="0" w:space="0" w:color="auto"/>
        <w:left w:val="none" w:sz="0" w:space="0" w:color="auto"/>
        <w:bottom w:val="none" w:sz="0" w:space="0" w:color="auto"/>
        <w:right w:val="none" w:sz="0" w:space="0" w:color="auto"/>
      </w:divBdr>
    </w:div>
    <w:div w:id="290863152">
      <w:bodyDiv w:val="1"/>
      <w:marLeft w:val="0"/>
      <w:marRight w:val="0"/>
      <w:marTop w:val="0"/>
      <w:marBottom w:val="0"/>
      <w:divBdr>
        <w:top w:val="none" w:sz="0" w:space="0" w:color="auto"/>
        <w:left w:val="none" w:sz="0" w:space="0" w:color="auto"/>
        <w:bottom w:val="none" w:sz="0" w:space="0" w:color="auto"/>
        <w:right w:val="none" w:sz="0" w:space="0" w:color="auto"/>
      </w:divBdr>
    </w:div>
    <w:div w:id="295139910">
      <w:bodyDiv w:val="1"/>
      <w:marLeft w:val="0"/>
      <w:marRight w:val="0"/>
      <w:marTop w:val="0"/>
      <w:marBottom w:val="0"/>
      <w:divBdr>
        <w:top w:val="none" w:sz="0" w:space="0" w:color="auto"/>
        <w:left w:val="none" w:sz="0" w:space="0" w:color="auto"/>
        <w:bottom w:val="none" w:sz="0" w:space="0" w:color="auto"/>
        <w:right w:val="none" w:sz="0" w:space="0" w:color="auto"/>
      </w:divBdr>
    </w:div>
    <w:div w:id="298531989">
      <w:bodyDiv w:val="1"/>
      <w:marLeft w:val="0"/>
      <w:marRight w:val="0"/>
      <w:marTop w:val="0"/>
      <w:marBottom w:val="0"/>
      <w:divBdr>
        <w:top w:val="none" w:sz="0" w:space="0" w:color="auto"/>
        <w:left w:val="none" w:sz="0" w:space="0" w:color="auto"/>
        <w:bottom w:val="none" w:sz="0" w:space="0" w:color="auto"/>
        <w:right w:val="none" w:sz="0" w:space="0" w:color="auto"/>
      </w:divBdr>
    </w:div>
    <w:div w:id="304430382">
      <w:bodyDiv w:val="1"/>
      <w:marLeft w:val="0"/>
      <w:marRight w:val="0"/>
      <w:marTop w:val="0"/>
      <w:marBottom w:val="0"/>
      <w:divBdr>
        <w:top w:val="none" w:sz="0" w:space="0" w:color="auto"/>
        <w:left w:val="none" w:sz="0" w:space="0" w:color="auto"/>
        <w:bottom w:val="none" w:sz="0" w:space="0" w:color="auto"/>
        <w:right w:val="none" w:sz="0" w:space="0" w:color="auto"/>
      </w:divBdr>
    </w:div>
    <w:div w:id="316615176">
      <w:bodyDiv w:val="1"/>
      <w:marLeft w:val="0"/>
      <w:marRight w:val="0"/>
      <w:marTop w:val="0"/>
      <w:marBottom w:val="0"/>
      <w:divBdr>
        <w:top w:val="none" w:sz="0" w:space="0" w:color="auto"/>
        <w:left w:val="none" w:sz="0" w:space="0" w:color="auto"/>
        <w:bottom w:val="none" w:sz="0" w:space="0" w:color="auto"/>
        <w:right w:val="none" w:sz="0" w:space="0" w:color="auto"/>
      </w:divBdr>
    </w:div>
    <w:div w:id="319770468">
      <w:bodyDiv w:val="1"/>
      <w:marLeft w:val="0"/>
      <w:marRight w:val="0"/>
      <w:marTop w:val="0"/>
      <w:marBottom w:val="0"/>
      <w:divBdr>
        <w:top w:val="none" w:sz="0" w:space="0" w:color="auto"/>
        <w:left w:val="none" w:sz="0" w:space="0" w:color="auto"/>
        <w:bottom w:val="none" w:sz="0" w:space="0" w:color="auto"/>
        <w:right w:val="none" w:sz="0" w:space="0" w:color="auto"/>
      </w:divBdr>
    </w:div>
    <w:div w:id="324169777">
      <w:bodyDiv w:val="1"/>
      <w:marLeft w:val="0"/>
      <w:marRight w:val="0"/>
      <w:marTop w:val="0"/>
      <w:marBottom w:val="0"/>
      <w:divBdr>
        <w:top w:val="none" w:sz="0" w:space="0" w:color="auto"/>
        <w:left w:val="none" w:sz="0" w:space="0" w:color="auto"/>
        <w:bottom w:val="none" w:sz="0" w:space="0" w:color="auto"/>
        <w:right w:val="none" w:sz="0" w:space="0" w:color="auto"/>
      </w:divBdr>
    </w:div>
    <w:div w:id="327173332">
      <w:bodyDiv w:val="1"/>
      <w:marLeft w:val="0"/>
      <w:marRight w:val="0"/>
      <w:marTop w:val="0"/>
      <w:marBottom w:val="0"/>
      <w:divBdr>
        <w:top w:val="none" w:sz="0" w:space="0" w:color="auto"/>
        <w:left w:val="none" w:sz="0" w:space="0" w:color="auto"/>
        <w:bottom w:val="none" w:sz="0" w:space="0" w:color="auto"/>
        <w:right w:val="none" w:sz="0" w:space="0" w:color="auto"/>
      </w:divBdr>
    </w:div>
    <w:div w:id="328142147">
      <w:bodyDiv w:val="1"/>
      <w:marLeft w:val="0"/>
      <w:marRight w:val="0"/>
      <w:marTop w:val="0"/>
      <w:marBottom w:val="0"/>
      <w:divBdr>
        <w:top w:val="none" w:sz="0" w:space="0" w:color="auto"/>
        <w:left w:val="none" w:sz="0" w:space="0" w:color="auto"/>
        <w:bottom w:val="none" w:sz="0" w:space="0" w:color="auto"/>
        <w:right w:val="none" w:sz="0" w:space="0" w:color="auto"/>
      </w:divBdr>
    </w:div>
    <w:div w:id="330332511">
      <w:bodyDiv w:val="1"/>
      <w:marLeft w:val="0"/>
      <w:marRight w:val="0"/>
      <w:marTop w:val="0"/>
      <w:marBottom w:val="0"/>
      <w:divBdr>
        <w:top w:val="none" w:sz="0" w:space="0" w:color="auto"/>
        <w:left w:val="none" w:sz="0" w:space="0" w:color="auto"/>
        <w:bottom w:val="none" w:sz="0" w:space="0" w:color="auto"/>
        <w:right w:val="none" w:sz="0" w:space="0" w:color="auto"/>
      </w:divBdr>
    </w:div>
    <w:div w:id="330645971">
      <w:bodyDiv w:val="1"/>
      <w:marLeft w:val="120"/>
      <w:marRight w:val="120"/>
      <w:marTop w:val="0"/>
      <w:marBottom w:val="0"/>
      <w:divBdr>
        <w:top w:val="none" w:sz="0" w:space="0" w:color="auto"/>
        <w:left w:val="none" w:sz="0" w:space="0" w:color="auto"/>
        <w:bottom w:val="none" w:sz="0" w:space="0" w:color="auto"/>
        <w:right w:val="none" w:sz="0" w:space="0" w:color="auto"/>
      </w:divBdr>
      <w:divsChild>
        <w:div w:id="1815949232">
          <w:marLeft w:val="0"/>
          <w:marRight w:val="0"/>
          <w:marTop w:val="0"/>
          <w:marBottom w:val="0"/>
          <w:divBdr>
            <w:top w:val="none" w:sz="0" w:space="0" w:color="auto"/>
            <w:left w:val="none" w:sz="0" w:space="0" w:color="auto"/>
            <w:bottom w:val="none" w:sz="0" w:space="0" w:color="auto"/>
            <w:right w:val="none" w:sz="0" w:space="0" w:color="auto"/>
          </w:divBdr>
          <w:divsChild>
            <w:div w:id="408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103">
      <w:bodyDiv w:val="1"/>
      <w:marLeft w:val="0"/>
      <w:marRight w:val="0"/>
      <w:marTop w:val="0"/>
      <w:marBottom w:val="0"/>
      <w:divBdr>
        <w:top w:val="none" w:sz="0" w:space="0" w:color="auto"/>
        <w:left w:val="none" w:sz="0" w:space="0" w:color="auto"/>
        <w:bottom w:val="none" w:sz="0" w:space="0" w:color="auto"/>
        <w:right w:val="none" w:sz="0" w:space="0" w:color="auto"/>
      </w:divBdr>
    </w:div>
    <w:div w:id="337927701">
      <w:bodyDiv w:val="1"/>
      <w:marLeft w:val="0"/>
      <w:marRight w:val="0"/>
      <w:marTop w:val="0"/>
      <w:marBottom w:val="0"/>
      <w:divBdr>
        <w:top w:val="none" w:sz="0" w:space="0" w:color="auto"/>
        <w:left w:val="none" w:sz="0" w:space="0" w:color="auto"/>
        <w:bottom w:val="none" w:sz="0" w:space="0" w:color="auto"/>
        <w:right w:val="none" w:sz="0" w:space="0" w:color="auto"/>
      </w:divBdr>
    </w:div>
    <w:div w:id="338889681">
      <w:bodyDiv w:val="1"/>
      <w:marLeft w:val="0"/>
      <w:marRight w:val="0"/>
      <w:marTop w:val="0"/>
      <w:marBottom w:val="0"/>
      <w:divBdr>
        <w:top w:val="none" w:sz="0" w:space="0" w:color="auto"/>
        <w:left w:val="none" w:sz="0" w:space="0" w:color="auto"/>
        <w:bottom w:val="none" w:sz="0" w:space="0" w:color="auto"/>
        <w:right w:val="none" w:sz="0" w:space="0" w:color="auto"/>
      </w:divBdr>
    </w:div>
    <w:div w:id="340278846">
      <w:bodyDiv w:val="1"/>
      <w:marLeft w:val="0"/>
      <w:marRight w:val="0"/>
      <w:marTop w:val="0"/>
      <w:marBottom w:val="0"/>
      <w:divBdr>
        <w:top w:val="none" w:sz="0" w:space="0" w:color="auto"/>
        <w:left w:val="none" w:sz="0" w:space="0" w:color="auto"/>
        <w:bottom w:val="none" w:sz="0" w:space="0" w:color="auto"/>
        <w:right w:val="none" w:sz="0" w:space="0" w:color="auto"/>
      </w:divBdr>
    </w:div>
    <w:div w:id="340739279">
      <w:bodyDiv w:val="1"/>
      <w:marLeft w:val="0"/>
      <w:marRight w:val="0"/>
      <w:marTop w:val="0"/>
      <w:marBottom w:val="0"/>
      <w:divBdr>
        <w:top w:val="none" w:sz="0" w:space="0" w:color="auto"/>
        <w:left w:val="none" w:sz="0" w:space="0" w:color="auto"/>
        <w:bottom w:val="none" w:sz="0" w:space="0" w:color="auto"/>
        <w:right w:val="none" w:sz="0" w:space="0" w:color="auto"/>
      </w:divBdr>
      <w:divsChild>
        <w:div w:id="270354648">
          <w:marLeft w:val="0"/>
          <w:marRight w:val="0"/>
          <w:marTop w:val="150"/>
          <w:marBottom w:val="0"/>
          <w:divBdr>
            <w:top w:val="none" w:sz="0" w:space="0" w:color="auto"/>
            <w:left w:val="none" w:sz="0" w:space="0" w:color="auto"/>
            <w:bottom w:val="none" w:sz="0" w:space="0" w:color="auto"/>
            <w:right w:val="none" w:sz="0" w:space="0" w:color="auto"/>
          </w:divBdr>
          <w:divsChild>
            <w:div w:id="463159608">
              <w:marLeft w:val="0"/>
              <w:marRight w:val="0"/>
              <w:marTop w:val="0"/>
              <w:marBottom w:val="0"/>
              <w:divBdr>
                <w:top w:val="none" w:sz="0" w:space="0" w:color="auto"/>
                <w:left w:val="none" w:sz="0" w:space="0" w:color="auto"/>
                <w:bottom w:val="none" w:sz="0" w:space="0" w:color="auto"/>
                <w:right w:val="none" w:sz="0" w:space="0" w:color="auto"/>
              </w:divBdr>
              <w:divsChild>
                <w:div w:id="1872304911">
                  <w:marLeft w:val="0"/>
                  <w:marRight w:val="0"/>
                  <w:marTop w:val="0"/>
                  <w:marBottom w:val="0"/>
                  <w:divBdr>
                    <w:top w:val="single" w:sz="6" w:space="0" w:color="E3E1C8"/>
                    <w:left w:val="single" w:sz="6" w:space="0" w:color="E3E1C8"/>
                    <w:bottom w:val="single" w:sz="6" w:space="0" w:color="E3E1C8"/>
                    <w:right w:val="single" w:sz="6" w:space="0" w:color="E3E1C8"/>
                  </w:divBdr>
                  <w:divsChild>
                    <w:div w:id="1310357268">
                      <w:marLeft w:val="0"/>
                      <w:marRight w:val="0"/>
                      <w:marTop w:val="0"/>
                      <w:marBottom w:val="0"/>
                      <w:divBdr>
                        <w:top w:val="single" w:sz="6" w:space="0" w:color="FFFFFF"/>
                        <w:left w:val="single" w:sz="6" w:space="0" w:color="FFFFFF"/>
                        <w:bottom w:val="single" w:sz="6" w:space="0" w:color="FFFFFF"/>
                        <w:right w:val="single" w:sz="6" w:space="0" w:color="FFFFFF"/>
                      </w:divBdr>
                      <w:divsChild>
                        <w:div w:id="885990298">
                          <w:marLeft w:val="375"/>
                          <w:marRight w:val="375"/>
                          <w:marTop w:val="300"/>
                          <w:marBottom w:val="150"/>
                          <w:divBdr>
                            <w:top w:val="none" w:sz="0" w:space="0" w:color="auto"/>
                            <w:left w:val="none" w:sz="0" w:space="0" w:color="auto"/>
                            <w:bottom w:val="none" w:sz="0" w:space="0" w:color="auto"/>
                            <w:right w:val="none" w:sz="0" w:space="0" w:color="auto"/>
                          </w:divBdr>
                          <w:divsChild>
                            <w:div w:id="1586227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558862">
      <w:bodyDiv w:val="1"/>
      <w:marLeft w:val="0"/>
      <w:marRight w:val="0"/>
      <w:marTop w:val="0"/>
      <w:marBottom w:val="0"/>
      <w:divBdr>
        <w:top w:val="none" w:sz="0" w:space="0" w:color="auto"/>
        <w:left w:val="none" w:sz="0" w:space="0" w:color="auto"/>
        <w:bottom w:val="none" w:sz="0" w:space="0" w:color="auto"/>
        <w:right w:val="none" w:sz="0" w:space="0" w:color="auto"/>
      </w:divBdr>
    </w:div>
    <w:div w:id="343746215">
      <w:bodyDiv w:val="1"/>
      <w:marLeft w:val="0"/>
      <w:marRight w:val="0"/>
      <w:marTop w:val="0"/>
      <w:marBottom w:val="0"/>
      <w:divBdr>
        <w:top w:val="none" w:sz="0" w:space="0" w:color="auto"/>
        <w:left w:val="none" w:sz="0" w:space="0" w:color="auto"/>
        <w:bottom w:val="none" w:sz="0" w:space="0" w:color="auto"/>
        <w:right w:val="none" w:sz="0" w:space="0" w:color="auto"/>
      </w:divBdr>
    </w:div>
    <w:div w:id="352347074">
      <w:bodyDiv w:val="1"/>
      <w:marLeft w:val="0"/>
      <w:marRight w:val="0"/>
      <w:marTop w:val="0"/>
      <w:marBottom w:val="0"/>
      <w:divBdr>
        <w:top w:val="none" w:sz="0" w:space="0" w:color="auto"/>
        <w:left w:val="none" w:sz="0" w:space="0" w:color="auto"/>
        <w:bottom w:val="none" w:sz="0" w:space="0" w:color="auto"/>
        <w:right w:val="none" w:sz="0" w:space="0" w:color="auto"/>
      </w:divBdr>
    </w:div>
    <w:div w:id="353382141">
      <w:bodyDiv w:val="1"/>
      <w:marLeft w:val="0"/>
      <w:marRight w:val="0"/>
      <w:marTop w:val="0"/>
      <w:marBottom w:val="0"/>
      <w:divBdr>
        <w:top w:val="none" w:sz="0" w:space="0" w:color="auto"/>
        <w:left w:val="none" w:sz="0" w:space="0" w:color="auto"/>
        <w:bottom w:val="none" w:sz="0" w:space="0" w:color="auto"/>
        <w:right w:val="none" w:sz="0" w:space="0" w:color="auto"/>
      </w:divBdr>
    </w:div>
    <w:div w:id="368576438">
      <w:bodyDiv w:val="1"/>
      <w:marLeft w:val="0"/>
      <w:marRight w:val="0"/>
      <w:marTop w:val="0"/>
      <w:marBottom w:val="0"/>
      <w:divBdr>
        <w:top w:val="none" w:sz="0" w:space="0" w:color="auto"/>
        <w:left w:val="none" w:sz="0" w:space="0" w:color="auto"/>
        <w:bottom w:val="none" w:sz="0" w:space="0" w:color="auto"/>
        <w:right w:val="none" w:sz="0" w:space="0" w:color="auto"/>
      </w:divBdr>
    </w:div>
    <w:div w:id="372778625">
      <w:bodyDiv w:val="1"/>
      <w:marLeft w:val="0"/>
      <w:marRight w:val="0"/>
      <w:marTop w:val="0"/>
      <w:marBottom w:val="0"/>
      <w:divBdr>
        <w:top w:val="none" w:sz="0" w:space="0" w:color="auto"/>
        <w:left w:val="none" w:sz="0" w:space="0" w:color="auto"/>
        <w:bottom w:val="none" w:sz="0" w:space="0" w:color="auto"/>
        <w:right w:val="none" w:sz="0" w:space="0" w:color="auto"/>
      </w:divBdr>
    </w:div>
    <w:div w:id="374044596">
      <w:bodyDiv w:val="1"/>
      <w:marLeft w:val="0"/>
      <w:marRight w:val="0"/>
      <w:marTop w:val="0"/>
      <w:marBottom w:val="0"/>
      <w:divBdr>
        <w:top w:val="none" w:sz="0" w:space="0" w:color="auto"/>
        <w:left w:val="none" w:sz="0" w:space="0" w:color="auto"/>
        <w:bottom w:val="none" w:sz="0" w:space="0" w:color="auto"/>
        <w:right w:val="none" w:sz="0" w:space="0" w:color="auto"/>
      </w:divBdr>
    </w:div>
    <w:div w:id="374500028">
      <w:bodyDiv w:val="1"/>
      <w:marLeft w:val="0"/>
      <w:marRight w:val="0"/>
      <w:marTop w:val="0"/>
      <w:marBottom w:val="0"/>
      <w:divBdr>
        <w:top w:val="none" w:sz="0" w:space="0" w:color="auto"/>
        <w:left w:val="none" w:sz="0" w:space="0" w:color="auto"/>
        <w:bottom w:val="none" w:sz="0" w:space="0" w:color="auto"/>
        <w:right w:val="none" w:sz="0" w:space="0" w:color="auto"/>
      </w:divBdr>
    </w:div>
    <w:div w:id="379477917">
      <w:bodyDiv w:val="1"/>
      <w:marLeft w:val="0"/>
      <w:marRight w:val="0"/>
      <w:marTop w:val="0"/>
      <w:marBottom w:val="0"/>
      <w:divBdr>
        <w:top w:val="none" w:sz="0" w:space="0" w:color="auto"/>
        <w:left w:val="none" w:sz="0" w:space="0" w:color="auto"/>
        <w:bottom w:val="none" w:sz="0" w:space="0" w:color="auto"/>
        <w:right w:val="none" w:sz="0" w:space="0" w:color="auto"/>
      </w:divBdr>
    </w:div>
    <w:div w:id="385102710">
      <w:bodyDiv w:val="1"/>
      <w:marLeft w:val="0"/>
      <w:marRight w:val="0"/>
      <w:marTop w:val="0"/>
      <w:marBottom w:val="0"/>
      <w:divBdr>
        <w:top w:val="none" w:sz="0" w:space="0" w:color="auto"/>
        <w:left w:val="none" w:sz="0" w:space="0" w:color="auto"/>
        <w:bottom w:val="none" w:sz="0" w:space="0" w:color="auto"/>
        <w:right w:val="none" w:sz="0" w:space="0" w:color="auto"/>
      </w:divBdr>
    </w:div>
    <w:div w:id="389961043">
      <w:bodyDiv w:val="1"/>
      <w:marLeft w:val="0"/>
      <w:marRight w:val="0"/>
      <w:marTop w:val="0"/>
      <w:marBottom w:val="0"/>
      <w:divBdr>
        <w:top w:val="none" w:sz="0" w:space="0" w:color="auto"/>
        <w:left w:val="none" w:sz="0" w:space="0" w:color="auto"/>
        <w:bottom w:val="none" w:sz="0" w:space="0" w:color="auto"/>
        <w:right w:val="none" w:sz="0" w:space="0" w:color="auto"/>
      </w:divBdr>
    </w:div>
    <w:div w:id="392704064">
      <w:bodyDiv w:val="1"/>
      <w:marLeft w:val="0"/>
      <w:marRight w:val="0"/>
      <w:marTop w:val="0"/>
      <w:marBottom w:val="0"/>
      <w:divBdr>
        <w:top w:val="none" w:sz="0" w:space="0" w:color="auto"/>
        <w:left w:val="none" w:sz="0" w:space="0" w:color="auto"/>
        <w:bottom w:val="none" w:sz="0" w:space="0" w:color="auto"/>
        <w:right w:val="none" w:sz="0" w:space="0" w:color="auto"/>
      </w:divBdr>
    </w:div>
    <w:div w:id="393165118">
      <w:bodyDiv w:val="1"/>
      <w:marLeft w:val="0"/>
      <w:marRight w:val="0"/>
      <w:marTop w:val="0"/>
      <w:marBottom w:val="0"/>
      <w:divBdr>
        <w:top w:val="none" w:sz="0" w:space="0" w:color="auto"/>
        <w:left w:val="none" w:sz="0" w:space="0" w:color="auto"/>
        <w:bottom w:val="none" w:sz="0" w:space="0" w:color="auto"/>
        <w:right w:val="none" w:sz="0" w:space="0" w:color="auto"/>
      </w:divBdr>
    </w:div>
    <w:div w:id="398333651">
      <w:bodyDiv w:val="1"/>
      <w:marLeft w:val="0"/>
      <w:marRight w:val="0"/>
      <w:marTop w:val="0"/>
      <w:marBottom w:val="0"/>
      <w:divBdr>
        <w:top w:val="none" w:sz="0" w:space="0" w:color="auto"/>
        <w:left w:val="none" w:sz="0" w:space="0" w:color="auto"/>
        <w:bottom w:val="none" w:sz="0" w:space="0" w:color="auto"/>
        <w:right w:val="none" w:sz="0" w:space="0" w:color="auto"/>
      </w:divBdr>
    </w:div>
    <w:div w:id="401413730">
      <w:bodyDiv w:val="1"/>
      <w:marLeft w:val="0"/>
      <w:marRight w:val="0"/>
      <w:marTop w:val="0"/>
      <w:marBottom w:val="0"/>
      <w:divBdr>
        <w:top w:val="none" w:sz="0" w:space="0" w:color="auto"/>
        <w:left w:val="none" w:sz="0" w:space="0" w:color="auto"/>
        <w:bottom w:val="none" w:sz="0" w:space="0" w:color="auto"/>
        <w:right w:val="none" w:sz="0" w:space="0" w:color="auto"/>
      </w:divBdr>
    </w:div>
    <w:div w:id="404836995">
      <w:marLeft w:val="0"/>
      <w:marRight w:val="0"/>
      <w:marTop w:val="0"/>
      <w:marBottom w:val="0"/>
      <w:divBdr>
        <w:top w:val="none" w:sz="0" w:space="0" w:color="auto"/>
        <w:left w:val="none" w:sz="0" w:space="0" w:color="auto"/>
        <w:bottom w:val="none" w:sz="0" w:space="0" w:color="auto"/>
        <w:right w:val="none" w:sz="0" w:space="0" w:color="auto"/>
      </w:divBdr>
      <w:divsChild>
        <w:div w:id="201209860">
          <w:marLeft w:val="0"/>
          <w:marRight w:val="0"/>
          <w:marTop w:val="0"/>
          <w:marBottom w:val="0"/>
          <w:divBdr>
            <w:top w:val="none" w:sz="0" w:space="0" w:color="auto"/>
            <w:left w:val="none" w:sz="0" w:space="0" w:color="auto"/>
            <w:bottom w:val="none" w:sz="0" w:space="0" w:color="auto"/>
            <w:right w:val="none" w:sz="0" w:space="0" w:color="auto"/>
          </w:divBdr>
          <w:divsChild>
            <w:div w:id="11261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8684">
      <w:bodyDiv w:val="1"/>
      <w:marLeft w:val="0"/>
      <w:marRight w:val="0"/>
      <w:marTop w:val="0"/>
      <w:marBottom w:val="0"/>
      <w:divBdr>
        <w:top w:val="none" w:sz="0" w:space="0" w:color="auto"/>
        <w:left w:val="none" w:sz="0" w:space="0" w:color="auto"/>
        <w:bottom w:val="none" w:sz="0" w:space="0" w:color="auto"/>
        <w:right w:val="none" w:sz="0" w:space="0" w:color="auto"/>
      </w:divBdr>
    </w:div>
    <w:div w:id="409736643">
      <w:bodyDiv w:val="1"/>
      <w:marLeft w:val="0"/>
      <w:marRight w:val="0"/>
      <w:marTop w:val="0"/>
      <w:marBottom w:val="0"/>
      <w:divBdr>
        <w:top w:val="none" w:sz="0" w:space="0" w:color="auto"/>
        <w:left w:val="none" w:sz="0" w:space="0" w:color="auto"/>
        <w:bottom w:val="none" w:sz="0" w:space="0" w:color="auto"/>
        <w:right w:val="none" w:sz="0" w:space="0" w:color="auto"/>
      </w:divBdr>
    </w:div>
    <w:div w:id="409814306">
      <w:bodyDiv w:val="1"/>
      <w:marLeft w:val="0"/>
      <w:marRight w:val="0"/>
      <w:marTop w:val="0"/>
      <w:marBottom w:val="0"/>
      <w:divBdr>
        <w:top w:val="none" w:sz="0" w:space="0" w:color="auto"/>
        <w:left w:val="none" w:sz="0" w:space="0" w:color="auto"/>
        <w:bottom w:val="none" w:sz="0" w:space="0" w:color="auto"/>
        <w:right w:val="none" w:sz="0" w:space="0" w:color="auto"/>
      </w:divBdr>
    </w:div>
    <w:div w:id="411857625">
      <w:bodyDiv w:val="1"/>
      <w:marLeft w:val="0"/>
      <w:marRight w:val="0"/>
      <w:marTop w:val="0"/>
      <w:marBottom w:val="0"/>
      <w:divBdr>
        <w:top w:val="none" w:sz="0" w:space="0" w:color="auto"/>
        <w:left w:val="none" w:sz="0" w:space="0" w:color="auto"/>
        <w:bottom w:val="none" w:sz="0" w:space="0" w:color="auto"/>
        <w:right w:val="none" w:sz="0" w:space="0" w:color="auto"/>
      </w:divBdr>
    </w:div>
    <w:div w:id="417167624">
      <w:bodyDiv w:val="1"/>
      <w:marLeft w:val="0"/>
      <w:marRight w:val="0"/>
      <w:marTop w:val="0"/>
      <w:marBottom w:val="0"/>
      <w:divBdr>
        <w:top w:val="none" w:sz="0" w:space="0" w:color="auto"/>
        <w:left w:val="none" w:sz="0" w:space="0" w:color="auto"/>
        <w:bottom w:val="none" w:sz="0" w:space="0" w:color="auto"/>
        <w:right w:val="none" w:sz="0" w:space="0" w:color="auto"/>
      </w:divBdr>
    </w:div>
    <w:div w:id="423260793">
      <w:bodyDiv w:val="1"/>
      <w:marLeft w:val="0"/>
      <w:marRight w:val="0"/>
      <w:marTop w:val="0"/>
      <w:marBottom w:val="0"/>
      <w:divBdr>
        <w:top w:val="none" w:sz="0" w:space="0" w:color="auto"/>
        <w:left w:val="none" w:sz="0" w:space="0" w:color="auto"/>
        <w:bottom w:val="none" w:sz="0" w:space="0" w:color="auto"/>
        <w:right w:val="none" w:sz="0" w:space="0" w:color="auto"/>
      </w:divBdr>
    </w:div>
    <w:div w:id="425075803">
      <w:bodyDiv w:val="1"/>
      <w:marLeft w:val="0"/>
      <w:marRight w:val="0"/>
      <w:marTop w:val="0"/>
      <w:marBottom w:val="0"/>
      <w:divBdr>
        <w:top w:val="none" w:sz="0" w:space="0" w:color="auto"/>
        <w:left w:val="none" w:sz="0" w:space="0" w:color="auto"/>
        <w:bottom w:val="none" w:sz="0" w:space="0" w:color="auto"/>
        <w:right w:val="none" w:sz="0" w:space="0" w:color="auto"/>
      </w:divBdr>
    </w:div>
    <w:div w:id="426579512">
      <w:bodyDiv w:val="1"/>
      <w:marLeft w:val="0"/>
      <w:marRight w:val="0"/>
      <w:marTop w:val="0"/>
      <w:marBottom w:val="0"/>
      <w:divBdr>
        <w:top w:val="none" w:sz="0" w:space="0" w:color="auto"/>
        <w:left w:val="none" w:sz="0" w:space="0" w:color="auto"/>
        <w:bottom w:val="none" w:sz="0" w:space="0" w:color="auto"/>
        <w:right w:val="none" w:sz="0" w:space="0" w:color="auto"/>
      </w:divBdr>
    </w:div>
    <w:div w:id="428619307">
      <w:bodyDiv w:val="1"/>
      <w:marLeft w:val="120"/>
      <w:marRight w:val="120"/>
      <w:marTop w:val="0"/>
      <w:marBottom w:val="0"/>
      <w:divBdr>
        <w:top w:val="none" w:sz="0" w:space="0" w:color="auto"/>
        <w:left w:val="none" w:sz="0" w:space="0" w:color="auto"/>
        <w:bottom w:val="none" w:sz="0" w:space="0" w:color="auto"/>
        <w:right w:val="none" w:sz="0" w:space="0" w:color="auto"/>
      </w:divBdr>
      <w:divsChild>
        <w:div w:id="436292317">
          <w:marLeft w:val="0"/>
          <w:marRight w:val="0"/>
          <w:marTop w:val="0"/>
          <w:marBottom w:val="0"/>
          <w:divBdr>
            <w:top w:val="none" w:sz="0" w:space="0" w:color="auto"/>
            <w:left w:val="none" w:sz="0" w:space="0" w:color="auto"/>
            <w:bottom w:val="none" w:sz="0" w:space="0" w:color="auto"/>
            <w:right w:val="none" w:sz="0" w:space="0" w:color="auto"/>
          </w:divBdr>
          <w:divsChild>
            <w:div w:id="1403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7142">
      <w:bodyDiv w:val="1"/>
      <w:marLeft w:val="0"/>
      <w:marRight w:val="0"/>
      <w:marTop w:val="0"/>
      <w:marBottom w:val="0"/>
      <w:divBdr>
        <w:top w:val="none" w:sz="0" w:space="0" w:color="auto"/>
        <w:left w:val="none" w:sz="0" w:space="0" w:color="auto"/>
        <w:bottom w:val="none" w:sz="0" w:space="0" w:color="auto"/>
        <w:right w:val="none" w:sz="0" w:space="0" w:color="auto"/>
      </w:divBdr>
    </w:div>
    <w:div w:id="432089096">
      <w:bodyDiv w:val="1"/>
      <w:marLeft w:val="0"/>
      <w:marRight w:val="0"/>
      <w:marTop w:val="0"/>
      <w:marBottom w:val="0"/>
      <w:divBdr>
        <w:top w:val="none" w:sz="0" w:space="0" w:color="auto"/>
        <w:left w:val="none" w:sz="0" w:space="0" w:color="auto"/>
        <w:bottom w:val="none" w:sz="0" w:space="0" w:color="auto"/>
        <w:right w:val="none" w:sz="0" w:space="0" w:color="auto"/>
      </w:divBdr>
    </w:div>
    <w:div w:id="442000337">
      <w:bodyDiv w:val="1"/>
      <w:marLeft w:val="0"/>
      <w:marRight w:val="0"/>
      <w:marTop w:val="0"/>
      <w:marBottom w:val="0"/>
      <w:divBdr>
        <w:top w:val="none" w:sz="0" w:space="0" w:color="auto"/>
        <w:left w:val="none" w:sz="0" w:space="0" w:color="auto"/>
        <w:bottom w:val="none" w:sz="0" w:space="0" w:color="auto"/>
        <w:right w:val="none" w:sz="0" w:space="0" w:color="auto"/>
      </w:divBdr>
    </w:div>
    <w:div w:id="447243088">
      <w:bodyDiv w:val="1"/>
      <w:marLeft w:val="0"/>
      <w:marRight w:val="0"/>
      <w:marTop w:val="0"/>
      <w:marBottom w:val="0"/>
      <w:divBdr>
        <w:top w:val="none" w:sz="0" w:space="0" w:color="auto"/>
        <w:left w:val="none" w:sz="0" w:space="0" w:color="auto"/>
        <w:bottom w:val="none" w:sz="0" w:space="0" w:color="auto"/>
        <w:right w:val="none" w:sz="0" w:space="0" w:color="auto"/>
      </w:divBdr>
    </w:div>
    <w:div w:id="453183321">
      <w:bodyDiv w:val="1"/>
      <w:marLeft w:val="0"/>
      <w:marRight w:val="0"/>
      <w:marTop w:val="0"/>
      <w:marBottom w:val="0"/>
      <w:divBdr>
        <w:top w:val="none" w:sz="0" w:space="0" w:color="auto"/>
        <w:left w:val="none" w:sz="0" w:space="0" w:color="auto"/>
        <w:bottom w:val="none" w:sz="0" w:space="0" w:color="auto"/>
        <w:right w:val="none" w:sz="0" w:space="0" w:color="auto"/>
      </w:divBdr>
    </w:div>
    <w:div w:id="454522103">
      <w:bodyDiv w:val="1"/>
      <w:marLeft w:val="0"/>
      <w:marRight w:val="0"/>
      <w:marTop w:val="0"/>
      <w:marBottom w:val="0"/>
      <w:divBdr>
        <w:top w:val="none" w:sz="0" w:space="0" w:color="auto"/>
        <w:left w:val="none" w:sz="0" w:space="0" w:color="auto"/>
        <w:bottom w:val="none" w:sz="0" w:space="0" w:color="auto"/>
        <w:right w:val="none" w:sz="0" w:space="0" w:color="auto"/>
      </w:divBdr>
    </w:div>
    <w:div w:id="454565042">
      <w:bodyDiv w:val="1"/>
      <w:marLeft w:val="0"/>
      <w:marRight w:val="0"/>
      <w:marTop w:val="0"/>
      <w:marBottom w:val="0"/>
      <w:divBdr>
        <w:top w:val="none" w:sz="0" w:space="0" w:color="auto"/>
        <w:left w:val="none" w:sz="0" w:space="0" w:color="auto"/>
        <w:bottom w:val="none" w:sz="0" w:space="0" w:color="auto"/>
        <w:right w:val="none" w:sz="0" w:space="0" w:color="auto"/>
      </w:divBdr>
    </w:div>
    <w:div w:id="455296696">
      <w:bodyDiv w:val="1"/>
      <w:marLeft w:val="0"/>
      <w:marRight w:val="0"/>
      <w:marTop w:val="0"/>
      <w:marBottom w:val="0"/>
      <w:divBdr>
        <w:top w:val="none" w:sz="0" w:space="0" w:color="auto"/>
        <w:left w:val="none" w:sz="0" w:space="0" w:color="auto"/>
        <w:bottom w:val="none" w:sz="0" w:space="0" w:color="auto"/>
        <w:right w:val="none" w:sz="0" w:space="0" w:color="auto"/>
      </w:divBdr>
    </w:div>
    <w:div w:id="458302768">
      <w:bodyDiv w:val="1"/>
      <w:marLeft w:val="0"/>
      <w:marRight w:val="0"/>
      <w:marTop w:val="0"/>
      <w:marBottom w:val="0"/>
      <w:divBdr>
        <w:top w:val="none" w:sz="0" w:space="0" w:color="auto"/>
        <w:left w:val="none" w:sz="0" w:space="0" w:color="auto"/>
        <w:bottom w:val="none" w:sz="0" w:space="0" w:color="auto"/>
        <w:right w:val="none" w:sz="0" w:space="0" w:color="auto"/>
      </w:divBdr>
    </w:div>
    <w:div w:id="459806123">
      <w:bodyDiv w:val="1"/>
      <w:marLeft w:val="0"/>
      <w:marRight w:val="0"/>
      <w:marTop w:val="0"/>
      <w:marBottom w:val="0"/>
      <w:divBdr>
        <w:top w:val="none" w:sz="0" w:space="0" w:color="auto"/>
        <w:left w:val="none" w:sz="0" w:space="0" w:color="auto"/>
        <w:bottom w:val="none" w:sz="0" w:space="0" w:color="auto"/>
        <w:right w:val="none" w:sz="0" w:space="0" w:color="auto"/>
      </w:divBdr>
    </w:div>
    <w:div w:id="460075320">
      <w:bodyDiv w:val="1"/>
      <w:marLeft w:val="0"/>
      <w:marRight w:val="0"/>
      <w:marTop w:val="0"/>
      <w:marBottom w:val="0"/>
      <w:divBdr>
        <w:top w:val="none" w:sz="0" w:space="0" w:color="auto"/>
        <w:left w:val="none" w:sz="0" w:space="0" w:color="auto"/>
        <w:bottom w:val="none" w:sz="0" w:space="0" w:color="auto"/>
        <w:right w:val="none" w:sz="0" w:space="0" w:color="auto"/>
      </w:divBdr>
    </w:div>
    <w:div w:id="463280685">
      <w:bodyDiv w:val="1"/>
      <w:marLeft w:val="120"/>
      <w:marRight w:val="120"/>
      <w:marTop w:val="0"/>
      <w:marBottom w:val="0"/>
      <w:divBdr>
        <w:top w:val="none" w:sz="0" w:space="0" w:color="auto"/>
        <w:left w:val="none" w:sz="0" w:space="0" w:color="auto"/>
        <w:bottom w:val="none" w:sz="0" w:space="0" w:color="auto"/>
        <w:right w:val="none" w:sz="0" w:space="0" w:color="auto"/>
      </w:divBdr>
      <w:divsChild>
        <w:div w:id="78142468">
          <w:marLeft w:val="0"/>
          <w:marRight w:val="0"/>
          <w:marTop w:val="0"/>
          <w:marBottom w:val="0"/>
          <w:divBdr>
            <w:top w:val="none" w:sz="0" w:space="0" w:color="auto"/>
            <w:left w:val="none" w:sz="0" w:space="0" w:color="auto"/>
            <w:bottom w:val="none" w:sz="0" w:space="0" w:color="auto"/>
            <w:right w:val="none" w:sz="0" w:space="0" w:color="auto"/>
          </w:divBdr>
          <w:divsChild>
            <w:div w:id="72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3434">
      <w:bodyDiv w:val="1"/>
      <w:marLeft w:val="120"/>
      <w:marRight w:val="120"/>
      <w:marTop w:val="0"/>
      <w:marBottom w:val="0"/>
      <w:divBdr>
        <w:top w:val="none" w:sz="0" w:space="0" w:color="auto"/>
        <w:left w:val="none" w:sz="0" w:space="0" w:color="auto"/>
        <w:bottom w:val="none" w:sz="0" w:space="0" w:color="auto"/>
        <w:right w:val="none" w:sz="0" w:space="0" w:color="auto"/>
      </w:divBdr>
      <w:divsChild>
        <w:div w:id="43801243">
          <w:marLeft w:val="0"/>
          <w:marRight w:val="0"/>
          <w:marTop w:val="0"/>
          <w:marBottom w:val="0"/>
          <w:divBdr>
            <w:top w:val="none" w:sz="0" w:space="0" w:color="auto"/>
            <w:left w:val="none" w:sz="0" w:space="0" w:color="auto"/>
            <w:bottom w:val="none" w:sz="0" w:space="0" w:color="auto"/>
            <w:right w:val="none" w:sz="0" w:space="0" w:color="auto"/>
          </w:divBdr>
          <w:divsChild>
            <w:div w:id="9862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12006">
      <w:bodyDiv w:val="1"/>
      <w:marLeft w:val="0"/>
      <w:marRight w:val="0"/>
      <w:marTop w:val="0"/>
      <w:marBottom w:val="0"/>
      <w:divBdr>
        <w:top w:val="none" w:sz="0" w:space="0" w:color="auto"/>
        <w:left w:val="none" w:sz="0" w:space="0" w:color="auto"/>
        <w:bottom w:val="none" w:sz="0" w:space="0" w:color="auto"/>
        <w:right w:val="none" w:sz="0" w:space="0" w:color="auto"/>
      </w:divBdr>
    </w:div>
    <w:div w:id="481431638">
      <w:bodyDiv w:val="1"/>
      <w:marLeft w:val="0"/>
      <w:marRight w:val="0"/>
      <w:marTop w:val="0"/>
      <w:marBottom w:val="0"/>
      <w:divBdr>
        <w:top w:val="none" w:sz="0" w:space="0" w:color="auto"/>
        <w:left w:val="none" w:sz="0" w:space="0" w:color="auto"/>
        <w:bottom w:val="none" w:sz="0" w:space="0" w:color="auto"/>
        <w:right w:val="none" w:sz="0" w:space="0" w:color="auto"/>
      </w:divBdr>
    </w:div>
    <w:div w:id="482164600">
      <w:bodyDiv w:val="1"/>
      <w:marLeft w:val="0"/>
      <w:marRight w:val="0"/>
      <w:marTop w:val="0"/>
      <w:marBottom w:val="0"/>
      <w:divBdr>
        <w:top w:val="none" w:sz="0" w:space="0" w:color="auto"/>
        <w:left w:val="none" w:sz="0" w:space="0" w:color="auto"/>
        <w:bottom w:val="none" w:sz="0" w:space="0" w:color="auto"/>
        <w:right w:val="none" w:sz="0" w:space="0" w:color="auto"/>
      </w:divBdr>
    </w:div>
    <w:div w:id="484200783">
      <w:bodyDiv w:val="1"/>
      <w:marLeft w:val="0"/>
      <w:marRight w:val="0"/>
      <w:marTop w:val="0"/>
      <w:marBottom w:val="0"/>
      <w:divBdr>
        <w:top w:val="none" w:sz="0" w:space="0" w:color="auto"/>
        <w:left w:val="none" w:sz="0" w:space="0" w:color="auto"/>
        <w:bottom w:val="none" w:sz="0" w:space="0" w:color="auto"/>
        <w:right w:val="none" w:sz="0" w:space="0" w:color="auto"/>
      </w:divBdr>
    </w:div>
    <w:div w:id="488449052">
      <w:bodyDiv w:val="1"/>
      <w:marLeft w:val="0"/>
      <w:marRight w:val="0"/>
      <w:marTop w:val="0"/>
      <w:marBottom w:val="0"/>
      <w:divBdr>
        <w:top w:val="none" w:sz="0" w:space="0" w:color="auto"/>
        <w:left w:val="none" w:sz="0" w:space="0" w:color="auto"/>
        <w:bottom w:val="none" w:sz="0" w:space="0" w:color="auto"/>
        <w:right w:val="none" w:sz="0" w:space="0" w:color="auto"/>
      </w:divBdr>
    </w:div>
    <w:div w:id="488792736">
      <w:bodyDiv w:val="1"/>
      <w:marLeft w:val="0"/>
      <w:marRight w:val="0"/>
      <w:marTop w:val="0"/>
      <w:marBottom w:val="0"/>
      <w:divBdr>
        <w:top w:val="none" w:sz="0" w:space="0" w:color="auto"/>
        <w:left w:val="none" w:sz="0" w:space="0" w:color="auto"/>
        <w:bottom w:val="none" w:sz="0" w:space="0" w:color="auto"/>
        <w:right w:val="none" w:sz="0" w:space="0" w:color="auto"/>
      </w:divBdr>
    </w:div>
    <w:div w:id="491679033">
      <w:bodyDiv w:val="1"/>
      <w:marLeft w:val="0"/>
      <w:marRight w:val="0"/>
      <w:marTop w:val="0"/>
      <w:marBottom w:val="0"/>
      <w:divBdr>
        <w:top w:val="none" w:sz="0" w:space="0" w:color="auto"/>
        <w:left w:val="none" w:sz="0" w:space="0" w:color="auto"/>
        <w:bottom w:val="none" w:sz="0" w:space="0" w:color="auto"/>
        <w:right w:val="none" w:sz="0" w:space="0" w:color="auto"/>
      </w:divBdr>
    </w:div>
    <w:div w:id="498499520">
      <w:marLeft w:val="0"/>
      <w:marRight w:val="0"/>
      <w:marTop w:val="0"/>
      <w:marBottom w:val="0"/>
      <w:divBdr>
        <w:top w:val="none" w:sz="0" w:space="0" w:color="auto"/>
        <w:left w:val="none" w:sz="0" w:space="0" w:color="auto"/>
        <w:bottom w:val="none" w:sz="0" w:space="0" w:color="auto"/>
        <w:right w:val="none" w:sz="0" w:space="0" w:color="auto"/>
      </w:divBdr>
      <w:divsChild>
        <w:div w:id="1614553218">
          <w:marLeft w:val="0"/>
          <w:marRight w:val="0"/>
          <w:marTop w:val="0"/>
          <w:marBottom w:val="0"/>
          <w:divBdr>
            <w:top w:val="none" w:sz="0" w:space="0" w:color="auto"/>
            <w:left w:val="none" w:sz="0" w:space="0" w:color="auto"/>
            <w:bottom w:val="none" w:sz="0" w:space="0" w:color="auto"/>
            <w:right w:val="none" w:sz="0" w:space="0" w:color="auto"/>
          </w:divBdr>
          <w:divsChild>
            <w:div w:id="17829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5498">
      <w:bodyDiv w:val="1"/>
      <w:marLeft w:val="0"/>
      <w:marRight w:val="0"/>
      <w:marTop w:val="0"/>
      <w:marBottom w:val="0"/>
      <w:divBdr>
        <w:top w:val="none" w:sz="0" w:space="0" w:color="auto"/>
        <w:left w:val="none" w:sz="0" w:space="0" w:color="auto"/>
        <w:bottom w:val="none" w:sz="0" w:space="0" w:color="auto"/>
        <w:right w:val="none" w:sz="0" w:space="0" w:color="auto"/>
      </w:divBdr>
    </w:div>
    <w:div w:id="508133226">
      <w:bodyDiv w:val="1"/>
      <w:marLeft w:val="0"/>
      <w:marRight w:val="0"/>
      <w:marTop w:val="0"/>
      <w:marBottom w:val="0"/>
      <w:divBdr>
        <w:top w:val="none" w:sz="0" w:space="0" w:color="auto"/>
        <w:left w:val="none" w:sz="0" w:space="0" w:color="auto"/>
        <w:bottom w:val="none" w:sz="0" w:space="0" w:color="auto"/>
        <w:right w:val="none" w:sz="0" w:space="0" w:color="auto"/>
      </w:divBdr>
    </w:div>
    <w:div w:id="513500945">
      <w:bodyDiv w:val="1"/>
      <w:marLeft w:val="0"/>
      <w:marRight w:val="0"/>
      <w:marTop w:val="0"/>
      <w:marBottom w:val="0"/>
      <w:divBdr>
        <w:top w:val="none" w:sz="0" w:space="0" w:color="auto"/>
        <w:left w:val="none" w:sz="0" w:space="0" w:color="auto"/>
        <w:bottom w:val="none" w:sz="0" w:space="0" w:color="auto"/>
        <w:right w:val="none" w:sz="0" w:space="0" w:color="auto"/>
      </w:divBdr>
    </w:div>
    <w:div w:id="518742124">
      <w:bodyDiv w:val="1"/>
      <w:marLeft w:val="0"/>
      <w:marRight w:val="0"/>
      <w:marTop w:val="0"/>
      <w:marBottom w:val="0"/>
      <w:divBdr>
        <w:top w:val="none" w:sz="0" w:space="0" w:color="auto"/>
        <w:left w:val="none" w:sz="0" w:space="0" w:color="auto"/>
        <w:bottom w:val="none" w:sz="0" w:space="0" w:color="auto"/>
        <w:right w:val="none" w:sz="0" w:space="0" w:color="auto"/>
      </w:divBdr>
    </w:div>
    <w:div w:id="525824860">
      <w:bodyDiv w:val="1"/>
      <w:marLeft w:val="0"/>
      <w:marRight w:val="0"/>
      <w:marTop w:val="0"/>
      <w:marBottom w:val="0"/>
      <w:divBdr>
        <w:top w:val="none" w:sz="0" w:space="0" w:color="auto"/>
        <w:left w:val="none" w:sz="0" w:space="0" w:color="auto"/>
        <w:bottom w:val="none" w:sz="0" w:space="0" w:color="auto"/>
        <w:right w:val="none" w:sz="0" w:space="0" w:color="auto"/>
      </w:divBdr>
    </w:div>
    <w:div w:id="531260572">
      <w:bodyDiv w:val="1"/>
      <w:marLeft w:val="0"/>
      <w:marRight w:val="0"/>
      <w:marTop w:val="0"/>
      <w:marBottom w:val="0"/>
      <w:divBdr>
        <w:top w:val="none" w:sz="0" w:space="0" w:color="auto"/>
        <w:left w:val="none" w:sz="0" w:space="0" w:color="auto"/>
        <w:bottom w:val="none" w:sz="0" w:space="0" w:color="auto"/>
        <w:right w:val="none" w:sz="0" w:space="0" w:color="auto"/>
      </w:divBdr>
    </w:div>
    <w:div w:id="540170132">
      <w:bodyDiv w:val="1"/>
      <w:marLeft w:val="0"/>
      <w:marRight w:val="0"/>
      <w:marTop w:val="0"/>
      <w:marBottom w:val="0"/>
      <w:divBdr>
        <w:top w:val="none" w:sz="0" w:space="0" w:color="auto"/>
        <w:left w:val="none" w:sz="0" w:space="0" w:color="auto"/>
        <w:bottom w:val="none" w:sz="0" w:space="0" w:color="auto"/>
        <w:right w:val="none" w:sz="0" w:space="0" w:color="auto"/>
      </w:divBdr>
    </w:div>
    <w:div w:id="548499027">
      <w:bodyDiv w:val="1"/>
      <w:marLeft w:val="0"/>
      <w:marRight w:val="0"/>
      <w:marTop w:val="0"/>
      <w:marBottom w:val="0"/>
      <w:divBdr>
        <w:top w:val="none" w:sz="0" w:space="0" w:color="auto"/>
        <w:left w:val="none" w:sz="0" w:space="0" w:color="auto"/>
        <w:bottom w:val="none" w:sz="0" w:space="0" w:color="auto"/>
        <w:right w:val="none" w:sz="0" w:space="0" w:color="auto"/>
      </w:divBdr>
    </w:div>
    <w:div w:id="550075616">
      <w:bodyDiv w:val="1"/>
      <w:marLeft w:val="0"/>
      <w:marRight w:val="0"/>
      <w:marTop w:val="0"/>
      <w:marBottom w:val="0"/>
      <w:divBdr>
        <w:top w:val="none" w:sz="0" w:space="0" w:color="auto"/>
        <w:left w:val="none" w:sz="0" w:space="0" w:color="auto"/>
        <w:bottom w:val="none" w:sz="0" w:space="0" w:color="auto"/>
        <w:right w:val="none" w:sz="0" w:space="0" w:color="auto"/>
      </w:divBdr>
    </w:div>
    <w:div w:id="555363473">
      <w:bodyDiv w:val="1"/>
      <w:marLeft w:val="0"/>
      <w:marRight w:val="0"/>
      <w:marTop w:val="0"/>
      <w:marBottom w:val="0"/>
      <w:divBdr>
        <w:top w:val="none" w:sz="0" w:space="0" w:color="auto"/>
        <w:left w:val="none" w:sz="0" w:space="0" w:color="auto"/>
        <w:bottom w:val="none" w:sz="0" w:space="0" w:color="auto"/>
        <w:right w:val="none" w:sz="0" w:space="0" w:color="auto"/>
      </w:divBdr>
    </w:div>
    <w:div w:id="557857814">
      <w:bodyDiv w:val="1"/>
      <w:marLeft w:val="0"/>
      <w:marRight w:val="0"/>
      <w:marTop w:val="0"/>
      <w:marBottom w:val="0"/>
      <w:divBdr>
        <w:top w:val="none" w:sz="0" w:space="0" w:color="auto"/>
        <w:left w:val="none" w:sz="0" w:space="0" w:color="auto"/>
        <w:bottom w:val="none" w:sz="0" w:space="0" w:color="auto"/>
        <w:right w:val="none" w:sz="0" w:space="0" w:color="auto"/>
      </w:divBdr>
    </w:div>
    <w:div w:id="560017135">
      <w:bodyDiv w:val="1"/>
      <w:marLeft w:val="0"/>
      <w:marRight w:val="0"/>
      <w:marTop w:val="0"/>
      <w:marBottom w:val="0"/>
      <w:divBdr>
        <w:top w:val="none" w:sz="0" w:space="0" w:color="auto"/>
        <w:left w:val="none" w:sz="0" w:space="0" w:color="auto"/>
        <w:bottom w:val="none" w:sz="0" w:space="0" w:color="auto"/>
        <w:right w:val="none" w:sz="0" w:space="0" w:color="auto"/>
      </w:divBdr>
    </w:div>
    <w:div w:id="564293767">
      <w:bodyDiv w:val="1"/>
      <w:marLeft w:val="0"/>
      <w:marRight w:val="0"/>
      <w:marTop w:val="0"/>
      <w:marBottom w:val="0"/>
      <w:divBdr>
        <w:top w:val="none" w:sz="0" w:space="0" w:color="auto"/>
        <w:left w:val="none" w:sz="0" w:space="0" w:color="auto"/>
        <w:bottom w:val="none" w:sz="0" w:space="0" w:color="auto"/>
        <w:right w:val="none" w:sz="0" w:space="0" w:color="auto"/>
      </w:divBdr>
    </w:div>
    <w:div w:id="565191477">
      <w:bodyDiv w:val="1"/>
      <w:marLeft w:val="0"/>
      <w:marRight w:val="0"/>
      <w:marTop w:val="0"/>
      <w:marBottom w:val="0"/>
      <w:divBdr>
        <w:top w:val="none" w:sz="0" w:space="0" w:color="auto"/>
        <w:left w:val="none" w:sz="0" w:space="0" w:color="auto"/>
        <w:bottom w:val="none" w:sz="0" w:space="0" w:color="auto"/>
        <w:right w:val="none" w:sz="0" w:space="0" w:color="auto"/>
      </w:divBdr>
    </w:div>
    <w:div w:id="566454818">
      <w:bodyDiv w:val="1"/>
      <w:marLeft w:val="0"/>
      <w:marRight w:val="0"/>
      <w:marTop w:val="0"/>
      <w:marBottom w:val="0"/>
      <w:divBdr>
        <w:top w:val="none" w:sz="0" w:space="0" w:color="auto"/>
        <w:left w:val="none" w:sz="0" w:space="0" w:color="auto"/>
        <w:bottom w:val="none" w:sz="0" w:space="0" w:color="auto"/>
        <w:right w:val="none" w:sz="0" w:space="0" w:color="auto"/>
      </w:divBdr>
    </w:div>
    <w:div w:id="575940381">
      <w:bodyDiv w:val="1"/>
      <w:marLeft w:val="0"/>
      <w:marRight w:val="0"/>
      <w:marTop w:val="0"/>
      <w:marBottom w:val="0"/>
      <w:divBdr>
        <w:top w:val="none" w:sz="0" w:space="0" w:color="auto"/>
        <w:left w:val="none" w:sz="0" w:space="0" w:color="auto"/>
        <w:bottom w:val="none" w:sz="0" w:space="0" w:color="auto"/>
        <w:right w:val="none" w:sz="0" w:space="0" w:color="auto"/>
      </w:divBdr>
    </w:div>
    <w:div w:id="576937490">
      <w:bodyDiv w:val="1"/>
      <w:marLeft w:val="0"/>
      <w:marRight w:val="0"/>
      <w:marTop w:val="0"/>
      <w:marBottom w:val="0"/>
      <w:divBdr>
        <w:top w:val="none" w:sz="0" w:space="0" w:color="auto"/>
        <w:left w:val="none" w:sz="0" w:space="0" w:color="auto"/>
        <w:bottom w:val="none" w:sz="0" w:space="0" w:color="auto"/>
        <w:right w:val="none" w:sz="0" w:space="0" w:color="auto"/>
      </w:divBdr>
    </w:div>
    <w:div w:id="584535233">
      <w:bodyDiv w:val="1"/>
      <w:marLeft w:val="0"/>
      <w:marRight w:val="0"/>
      <w:marTop w:val="0"/>
      <w:marBottom w:val="0"/>
      <w:divBdr>
        <w:top w:val="none" w:sz="0" w:space="0" w:color="auto"/>
        <w:left w:val="none" w:sz="0" w:space="0" w:color="auto"/>
        <w:bottom w:val="none" w:sz="0" w:space="0" w:color="auto"/>
        <w:right w:val="none" w:sz="0" w:space="0" w:color="auto"/>
      </w:divBdr>
    </w:div>
    <w:div w:id="586578330">
      <w:bodyDiv w:val="1"/>
      <w:marLeft w:val="0"/>
      <w:marRight w:val="0"/>
      <w:marTop w:val="0"/>
      <w:marBottom w:val="0"/>
      <w:divBdr>
        <w:top w:val="none" w:sz="0" w:space="0" w:color="auto"/>
        <w:left w:val="none" w:sz="0" w:space="0" w:color="auto"/>
        <w:bottom w:val="none" w:sz="0" w:space="0" w:color="auto"/>
        <w:right w:val="none" w:sz="0" w:space="0" w:color="auto"/>
      </w:divBdr>
    </w:div>
    <w:div w:id="588468491">
      <w:bodyDiv w:val="1"/>
      <w:marLeft w:val="0"/>
      <w:marRight w:val="0"/>
      <w:marTop w:val="0"/>
      <w:marBottom w:val="0"/>
      <w:divBdr>
        <w:top w:val="none" w:sz="0" w:space="0" w:color="auto"/>
        <w:left w:val="none" w:sz="0" w:space="0" w:color="auto"/>
        <w:bottom w:val="none" w:sz="0" w:space="0" w:color="auto"/>
        <w:right w:val="none" w:sz="0" w:space="0" w:color="auto"/>
      </w:divBdr>
    </w:div>
    <w:div w:id="589847637">
      <w:bodyDiv w:val="1"/>
      <w:marLeft w:val="0"/>
      <w:marRight w:val="0"/>
      <w:marTop w:val="0"/>
      <w:marBottom w:val="0"/>
      <w:divBdr>
        <w:top w:val="none" w:sz="0" w:space="0" w:color="auto"/>
        <w:left w:val="none" w:sz="0" w:space="0" w:color="auto"/>
        <w:bottom w:val="none" w:sz="0" w:space="0" w:color="auto"/>
        <w:right w:val="none" w:sz="0" w:space="0" w:color="auto"/>
      </w:divBdr>
    </w:div>
    <w:div w:id="600335507">
      <w:bodyDiv w:val="1"/>
      <w:marLeft w:val="0"/>
      <w:marRight w:val="0"/>
      <w:marTop w:val="0"/>
      <w:marBottom w:val="0"/>
      <w:divBdr>
        <w:top w:val="none" w:sz="0" w:space="0" w:color="auto"/>
        <w:left w:val="none" w:sz="0" w:space="0" w:color="auto"/>
        <w:bottom w:val="none" w:sz="0" w:space="0" w:color="auto"/>
        <w:right w:val="none" w:sz="0" w:space="0" w:color="auto"/>
      </w:divBdr>
    </w:div>
    <w:div w:id="603879904">
      <w:bodyDiv w:val="1"/>
      <w:marLeft w:val="0"/>
      <w:marRight w:val="0"/>
      <w:marTop w:val="0"/>
      <w:marBottom w:val="0"/>
      <w:divBdr>
        <w:top w:val="none" w:sz="0" w:space="0" w:color="auto"/>
        <w:left w:val="none" w:sz="0" w:space="0" w:color="auto"/>
        <w:bottom w:val="none" w:sz="0" w:space="0" w:color="auto"/>
        <w:right w:val="none" w:sz="0" w:space="0" w:color="auto"/>
      </w:divBdr>
    </w:div>
    <w:div w:id="605234693">
      <w:bodyDiv w:val="1"/>
      <w:marLeft w:val="0"/>
      <w:marRight w:val="0"/>
      <w:marTop w:val="0"/>
      <w:marBottom w:val="0"/>
      <w:divBdr>
        <w:top w:val="none" w:sz="0" w:space="0" w:color="auto"/>
        <w:left w:val="none" w:sz="0" w:space="0" w:color="auto"/>
        <w:bottom w:val="none" w:sz="0" w:space="0" w:color="auto"/>
        <w:right w:val="none" w:sz="0" w:space="0" w:color="auto"/>
      </w:divBdr>
    </w:div>
    <w:div w:id="618335793">
      <w:bodyDiv w:val="1"/>
      <w:marLeft w:val="0"/>
      <w:marRight w:val="0"/>
      <w:marTop w:val="0"/>
      <w:marBottom w:val="0"/>
      <w:divBdr>
        <w:top w:val="none" w:sz="0" w:space="0" w:color="auto"/>
        <w:left w:val="none" w:sz="0" w:space="0" w:color="auto"/>
        <w:bottom w:val="none" w:sz="0" w:space="0" w:color="auto"/>
        <w:right w:val="none" w:sz="0" w:space="0" w:color="auto"/>
      </w:divBdr>
    </w:div>
    <w:div w:id="623585249">
      <w:bodyDiv w:val="1"/>
      <w:marLeft w:val="0"/>
      <w:marRight w:val="0"/>
      <w:marTop w:val="0"/>
      <w:marBottom w:val="0"/>
      <w:divBdr>
        <w:top w:val="none" w:sz="0" w:space="0" w:color="auto"/>
        <w:left w:val="none" w:sz="0" w:space="0" w:color="auto"/>
        <w:bottom w:val="none" w:sz="0" w:space="0" w:color="auto"/>
        <w:right w:val="none" w:sz="0" w:space="0" w:color="auto"/>
      </w:divBdr>
    </w:div>
    <w:div w:id="624046181">
      <w:bodyDiv w:val="1"/>
      <w:marLeft w:val="0"/>
      <w:marRight w:val="0"/>
      <w:marTop w:val="0"/>
      <w:marBottom w:val="0"/>
      <w:divBdr>
        <w:top w:val="none" w:sz="0" w:space="0" w:color="auto"/>
        <w:left w:val="none" w:sz="0" w:space="0" w:color="auto"/>
        <w:bottom w:val="none" w:sz="0" w:space="0" w:color="auto"/>
        <w:right w:val="none" w:sz="0" w:space="0" w:color="auto"/>
      </w:divBdr>
    </w:div>
    <w:div w:id="633098910">
      <w:bodyDiv w:val="1"/>
      <w:marLeft w:val="0"/>
      <w:marRight w:val="0"/>
      <w:marTop w:val="0"/>
      <w:marBottom w:val="0"/>
      <w:divBdr>
        <w:top w:val="none" w:sz="0" w:space="0" w:color="auto"/>
        <w:left w:val="none" w:sz="0" w:space="0" w:color="auto"/>
        <w:bottom w:val="none" w:sz="0" w:space="0" w:color="auto"/>
        <w:right w:val="none" w:sz="0" w:space="0" w:color="auto"/>
      </w:divBdr>
    </w:div>
    <w:div w:id="641925768">
      <w:bodyDiv w:val="1"/>
      <w:marLeft w:val="0"/>
      <w:marRight w:val="0"/>
      <w:marTop w:val="0"/>
      <w:marBottom w:val="0"/>
      <w:divBdr>
        <w:top w:val="none" w:sz="0" w:space="0" w:color="auto"/>
        <w:left w:val="none" w:sz="0" w:space="0" w:color="auto"/>
        <w:bottom w:val="none" w:sz="0" w:space="0" w:color="auto"/>
        <w:right w:val="none" w:sz="0" w:space="0" w:color="auto"/>
      </w:divBdr>
    </w:div>
    <w:div w:id="642389451">
      <w:bodyDiv w:val="1"/>
      <w:marLeft w:val="0"/>
      <w:marRight w:val="0"/>
      <w:marTop w:val="0"/>
      <w:marBottom w:val="0"/>
      <w:divBdr>
        <w:top w:val="none" w:sz="0" w:space="0" w:color="auto"/>
        <w:left w:val="none" w:sz="0" w:space="0" w:color="auto"/>
        <w:bottom w:val="none" w:sz="0" w:space="0" w:color="auto"/>
        <w:right w:val="none" w:sz="0" w:space="0" w:color="auto"/>
      </w:divBdr>
    </w:div>
    <w:div w:id="643848357">
      <w:bodyDiv w:val="1"/>
      <w:marLeft w:val="0"/>
      <w:marRight w:val="0"/>
      <w:marTop w:val="0"/>
      <w:marBottom w:val="0"/>
      <w:divBdr>
        <w:top w:val="none" w:sz="0" w:space="0" w:color="auto"/>
        <w:left w:val="none" w:sz="0" w:space="0" w:color="auto"/>
        <w:bottom w:val="none" w:sz="0" w:space="0" w:color="auto"/>
        <w:right w:val="none" w:sz="0" w:space="0" w:color="auto"/>
      </w:divBdr>
    </w:div>
    <w:div w:id="651719064">
      <w:bodyDiv w:val="1"/>
      <w:marLeft w:val="0"/>
      <w:marRight w:val="0"/>
      <w:marTop w:val="0"/>
      <w:marBottom w:val="0"/>
      <w:divBdr>
        <w:top w:val="none" w:sz="0" w:space="0" w:color="auto"/>
        <w:left w:val="none" w:sz="0" w:space="0" w:color="auto"/>
        <w:bottom w:val="none" w:sz="0" w:space="0" w:color="auto"/>
        <w:right w:val="none" w:sz="0" w:space="0" w:color="auto"/>
      </w:divBdr>
    </w:div>
    <w:div w:id="662197871">
      <w:bodyDiv w:val="1"/>
      <w:marLeft w:val="0"/>
      <w:marRight w:val="0"/>
      <w:marTop w:val="0"/>
      <w:marBottom w:val="0"/>
      <w:divBdr>
        <w:top w:val="none" w:sz="0" w:space="0" w:color="auto"/>
        <w:left w:val="none" w:sz="0" w:space="0" w:color="auto"/>
        <w:bottom w:val="none" w:sz="0" w:space="0" w:color="auto"/>
        <w:right w:val="none" w:sz="0" w:space="0" w:color="auto"/>
      </w:divBdr>
      <w:divsChild>
        <w:div w:id="1044602547">
          <w:marLeft w:val="0"/>
          <w:marRight w:val="0"/>
          <w:marTop w:val="0"/>
          <w:marBottom w:val="0"/>
          <w:divBdr>
            <w:top w:val="none" w:sz="0" w:space="0" w:color="auto"/>
            <w:left w:val="none" w:sz="0" w:space="0" w:color="auto"/>
            <w:bottom w:val="none" w:sz="0" w:space="0" w:color="auto"/>
            <w:right w:val="none" w:sz="0" w:space="0" w:color="auto"/>
          </w:divBdr>
          <w:divsChild>
            <w:div w:id="38240036">
              <w:marLeft w:val="0"/>
              <w:marRight w:val="0"/>
              <w:marTop w:val="0"/>
              <w:marBottom w:val="0"/>
              <w:divBdr>
                <w:top w:val="none" w:sz="0" w:space="0" w:color="auto"/>
                <w:left w:val="none" w:sz="0" w:space="0" w:color="auto"/>
                <w:bottom w:val="none" w:sz="0" w:space="0" w:color="auto"/>
                <w:right w:val="none" w:sz="0" w:space="0" w:color="auto"/>
              </w:divBdr>
              <w:divsChild>
                <w:div w:id="137721751">
                  <w:marLeft w:val="0"/>
                  <w:marRight w:val="0"/>
                  <w:marTop w:val="0"/>
                  <w:marBottom w:val="0"/>
                  <w:divBdr>
                    <w:top w:val="none" w:sz="0" w:space="0" w:color="auto"/>
                    <w:left w:val="none" w:sz="0" w:space="0" w:color="auto"/>
                    <w:bottom w:val="none" w:sz="0" w:space="0" w:color="auto"/>
                    <w:right w:val="none" w:sz="0" w:space="0" w:color="auto"/>
                  </w:divBdr>
                  <w:divsChild>
                    <w:div w:id="18780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5915">
      <w:bodyDiv w:val="1"/>
      <w:marLeft w:val="0"/>
      <w:marRight w:val="0"/>
      <w:marTop w:val="0"/>
      <w:marBottom w:val="0"/>
      <w:divBdr>
        <w:top w:val="none" w:sz="0" w:space="0" w:color="auto"/>
        <w:left w:val="none" w:sz="0" w:space="0" w:color="auto"/>
        <w:bottom w:val="none" w:sz="0" w:space="0" w:color="auto"/>
        <w:right w:val="none" w:sz="0" w:space="0" w:color="auto"/>
      </w:divBdr>
    </w:div>
    <w:div w:id="666518649">
      <w:bodyDiv w:val="1"/>
      <w:marLeft w:val="0"/>
      <w:marRight w:val="0"/>
      <w:marTop w:val="0"/>
      <w:marBottom w:val="0"/>
      <w:divBdr>
        <w:top w:val="none" w:sz="0" w:space="0" w:color="auto"/>
        <w:left w:val="none" w:sz="0" w:space="0" w:color="auto"/>
        <w:bottom w:val="none" w:sz="0" w:space="0" w:color="auto"/>
        <w:right w:val="none" w:sz="0" w:space="0" w:color="auto"/>
      </w:divBdr>
    </w:div>
    <w:div w:id="670762008">
      <w:bodyDiv w:val="1"/>
      <w:marLeft w:val="120"/>
      <w:marRight w:val="120"/>
      <w:marTop w:val="0"/>
      <w:marBottom w:val="0"/>
      <w:divBdr>
        <w:top w:val="none" w:sz="0" w:space="0" w:color="auto"/>
        <w:left w:val="none" w:sz="0" w:space="0" w:color="auto"/>
        <w:bottom w:val="none" w:sz="0" w:space="0" w:color="auto"/>
        <w:right w:val="none" w:sz="0" w:space="0" w:color="auto"/>
      </w:divBdr>
      <w:divsChild>
        <w:div w:id="895236797">
          <w:marLeft w:val="0"/>
          <w:marRight w:val="0"/>
          <w:marTop w:val="0"/>
          <w:marBottom w:val="0"/>
          <w:divBdr>
            <w:top w:val="none" w:sz="0" w:space="0" w:color="auto"/>
            <w:left w:val="none" w:sz="0" w:space="0" w:color="auto"/>
            <w:bottom w:val="none" w:sz="0" w:space="0" w:color="auto"/>
            <w:right w:val="none" w:sz="0" w:space="0" w:color="auto"/>
          </w:divBdr>
          <w:divsChild>
            <w:div w:id="363095922">
              <w:marLeft w:val="0"/>
              <w:marRight w:val="0"/>
              <w:marTop w:val="0"/>
              <w:marBottom w:val="0"/>
              <w:divBdr>
                <w:top w:val="none" w:sz="0" w:space="0" w:color="auto"/>
                <w:left w:val="none" w:sz="0" w:space="0" w:color="auto"/>
                <w:bottom w:val="none" w:sz="0" w:space="0" w:color="auto"/>
                <w:right w:val="none" w:sz="0" w:space="0" w:color="auto"/>
              </w:divBdr>
            </w:div>
          </w:divsChild>
        </w:div>
        <w:div w:id="1144391871">
          <w:marLeft w:val="0"/>
          <w:marRight w:val="0"/>
          <w:marTop w:val="0"/>
          <w:marBottom w:val="0"/>
          <w:divBdr>
            <w:top w:val="none" w:sz="0" w:space="0" w:color="auto"/>
            <w:left w:val="none" w:sz="0" w:space="0" w:color="auto"/>
            <w:bottom w:val="none" w:sz="0" w:space="0" w:color="auto"/>
            <w:right w:val="none" w:sz="0" w:space="0" w:color="auto"/>
          </w:divBdr>
          <w:divsChild>
            <w:div w:id="96946369">
              <w:marLeft w:val="0"/>
              <w:marRight w:val="0"/>
              <w:marTop w:val="0"/>
              <w:marBottom w:val="0"/>
              <w:divBdr>
                <w:top w:val="none" w:sz="0" w:space="0" w:color="auto"/>
                <w:left w:val="none" w:sz="0" w:space="0" w:color="auto"/>
                <w:bottom w:val="none" w:sz="0" w:space="0" w:color="auto"/>
                <w:right w:val="none" w:sz="0" w:space="0" w:color="auto"/>
              </w:divBdr>
            </w:div>
          </w:divsChild>
        </w:div>
        <w:div w:id="1691293998">
          <w:marLeft w:val="0"/>
          <w:marRight w:val="0"/>
          <w:marTop w:val="0"/>
          <w:marBottom w:val="0"/>
          <w:divBdr>
            <w:top w:val="none" w:sz="0" w:space="0" w:color="auto"/>
            <w:left w:val="none" w:sz="0" w:space="0" w:color="auto"/>
            <w:bottom w:val="none" w:sz="0" w:space="0" w:color="auto"/>
            <w:right w:val="none" w:sz="0" w:space="0" w:color="auto"/>
          </w:divBdr>
          <w:divsChild>
            <w:div w:id="604729391">
              <w:marLeft w:val="0"/>
              <w:marRight w:val="0"/>
              <w:marTop w:val="0"/>
              <w:marBottom w:val="0"/>
              <w:divBdr>
                <w:top w:val="none" w:sz="0" w:space="0" w:color="auto"/>
                <w:left w:val="none" w:sz="0" w:space="0" w:color="auto"/>
                <w:bottom w:val="none" w:sz="0" w:space="0" w:color="auto"/>
                <w:right w:val="none" w:sz="0" w:space="0" w:color="auto"/>
              </w:divBdr>
            </w:div>
          </w:divsChild>
        </w:div>
        <w:div w:id="459299617">
          <w:marLeft w:val="0"/>
          <w:marRight w:val="0"/>
          <w:marTop w:val="0"/>
          <w:marBottom w:val="0"/>
          <w:divBdr>
            <w:top w:val="none" w:sz="0" w:space="0" w:color="auto"/>
            <w:left w:val="none" w:sz="0" w:space="0" w:color="auto"/>
            <w:bottom w:val="none" w:sz="0" w:space="0" w:color="auto"/>
            <w:right w:val="none" w:sz="0" w:space="0" w:color="auto"/>
          </w:divBdr>
          <w:divsChild>
            <w:div w:id="3872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6162">
      <w:bodyDiv w:val="1"/>
      <w:marLeft w:val="120"/>
      <w:marRight w:val="120"/>
      <w:marTop w:val="0"/>
      <w:marBottom w:val="0"/>
      <w:divBdr>
        <w:top w:val="none" w:sz="0" w:space="0" w:color="auto"/>
        <w:left w:val="none" w:sz="0" w:space="0" w:color="auto"/>
        <w:bottom w:val="none" w:sz="0" w:space="0" w:color="auto"/>
        <w:right w:val="none" w:sz="0" w:space="0" w:color="auto"/>
      </w:divBdr>
      <w:divsChild>
        <w:div w:id="773210181">
          <w:marLeft w:val="0"/>
          <w:marRight w:val="0"/>
          <w:marTop w:val="0"/>
          <w:marBottom w:val="0"/>
          <w:divBdr>
            <w:top w:val="none" w:sz="0" w:space="0" w:color="auto"/>
            <w:left w:val="none" w:sz="0" w:space="0" w:color="auto"/>
            <w:bottom w:val="none" w:sz="0" w:space="0" w:color="auto"/>
            <w:right w:val="none" w:sz="0" w:space="0" w:color="auto"/>
          </w:divBdr>
          <w:divsChild>
            <w:div w:id="11661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7888">
      <w:bodyDiv w:val="1"/>
      <w:marLeft w:val="0"/>
      <w:marRight w:val="0"/>
      <w:marTop w:val="0"/>
      <w:marBottom w:val="0"/>
      <w:divBdr>
        <w:top w:val="none" w:sz="0" w:space="0" w:color="auto"/>
        <w:left w:val="none" w:sz="0" w:space="0" w:color="auto"/>
        <w:bottom w:val="none" w:sz="0" w:space="0" w:color="auto"/>
        <w:right w:val="none" w:sz="0" w:space="0" w:color="auto"/>
      </w:divBdr>
    </w:div>
    <w:div w:id="686252331">
      <w:bodyDiv w:val="1"/>
      <w:marLeft w:val="0"/>
      <w:marRight w:val="0"/>
      <w:marTop w:val="0"/>
      <w:marBottom w:val="0"/>
      <w:divBdr>
        <w:top w:val="none" w:sz="0" w:space="0" w:color="auto"/>
        <w:left w:val="none" w:sz="0" w:space="0" w:color="auto"/>
        <w:bottom w:val="none" w:sz="0" w:space="0" w:color="auto"/>
        <w:right w:val="none" w:sz="0" w:space="0" w:color="auto"/>
      </w:divBdr>
    </w:div>
    <w:div w:id="690449347">
      <w:bodyDiv w:val="1"/>
      <w:marLeft w:val="0"/>
      <w:marRight w:val="0"/>
      <w:marTop w:val="0"/>
      <w:marBottom w:val="0"/>
      <w:divBdr>
        <w:top w:val="none" w:sz="0" w:space="0" w:color="auto"/>
        <w:left w:val="none" w:sz="0" w:space="0" w:color="auto"/>
        <w:bottom w:val="none" w:sz="0" w:space="0" w:color="auto"/>
        <w:right w:val="none" w:sz="0" w:space="0" w:color="auto"/>
      </w:divBdr>
    </w:div>
    <w:div w:id="690843584">
      <w:bodyDiv w:val="1"/>
      <w:marLeft w:val="0"/>
      <w:marRight w:val="0"/>
      <w:marTop w:val="0"/>
      <w:marBottom w:val="0"/>
      <w:divBdr>
        <w:top w:val="none" w:sz="0" w:space="0" w:color="auto"/>
        <w:left w:val="none" w:sz="0" w:space="0" w:color="auto"/>
        <w:bottom w:val="none" w:sz="0" w:space="0" w:color="auto"/>
        <w:right w:val="none" w:sz="0" w:space="0" w:color="auto"/>
      </w:divBdr>
    </w:div>
    <w:div w:id="695740799">
      <w:bodyDiv w:val="1"/>
      <w:marLeft w:val="0"/>
      <w:marRight w:val="0"/>
      <w:marTop w:val="0"/>
      <w:marBottom w:val="0"/>
      <w:divBdr>
        <w:top w:val="none" w:sz="0" w:space="0" w:color="auto"/>
        <w:left w:val="none" w:sz="0" w:space="0" w:color="auto"/>
        <w:bottom w:val="none" w:sz="0" w:space="0" w:color="auto"/>
        <w:right w:val="none" w:sz="0" w:space="0" w:color="auto"/>
      </w:divBdr>
    </w:div>
    <w:div w:id="698164338">
      <w:bodyDiv w:val="1"/>
      <w:marLeft w:val="0"/>
      <w:marRight w:val="0"/>
      <w:marTop w:val="0"/>
      <w:marBottom w:val="0"/>
      <w:divBdr>
        <w:top w:val="none" w:sz="0" w:space="0" w:color="auto"/>
        <w:left w:val="none" w:sz="0" w:space="0" w:color="auto"/>
        <w:bottom w:val="none" w:sz="0" w:space="0" w:color="auto"/>
        <w:right w:val="none" w:sz="0" w:space="0" w:color="auto"/>
      </w:divBdr>
    </w:div>
    <w:div w:id="707527967">
      <w:bodyDiv w:val="1"/>
      <w:marLeft w:val="0"/>
      <w:marRight w:val="0"/>
      <w:marTop w:val="0"/>
      <w:marBottom w:val="0"/>
      <w:divBdr>
        <w:top w:val="none" w:sz="0" w:space="0" w:color="auto"/>
        <w:left w:val="none" w:sz="0" w:space="0" w:color="auto"/>
        <w:bottom w:val="none" w:sz="0" w:space="0" w:color="auto"/>
        <w:right w:val="none" w:sz="0" w:space="0" w:color="auto"/>
      </w:divBdr>
      <w:divsChild>
        <w:div w:id="449395761">
          <w:marLeft w:val="0"/>
          <w:marRight w:val="0"/>
          <w:marTop w:val="0"/>
          <w:marBottom w:val="0"/>
          <w:divBdr>
            <w:top w:val="none" w:sz="0" w:space="0" w:color="auto"/>
            <w:left w:val="none" w:sz="0" w:space="0" w:color="auto"/>
            <w:bottom w:val="none" w:sz="0" w:space="0" w:color="auto"/>
            <w:right w:val="none" w:sz="0" w:space="0" w:color="auto"/>
          </w:divBdr>
          <w:divsChild>
            <w:div w:id="220488204">
              <w:marLeft w:val="0"/>
              <w:marRight w:val="0"/>
              <w:marTop w:val="0"/>
              <w:marBottom w:val="0"/>
              <w:divBdr>
                <w:top w:val="none" w:sz="0" w:space="0" w:color="auto"/>
                <w:left w:val="none" w:sz="0" w:space="0" w:color="auto"/>
                <w:bottom w:val="none" w:sz="0" w:space="0" w:color="auto"/>
                <w:right w:val="none" w:sz="0" w:space="0" w:color="auto"/>
              </w:divBdr>
              <w:divsChild>
                <w:div w:id="1854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542">
          <w:marLeft w:val="0"/>
          <w:marRight w:val="0"/>
          <w:marTop w:val="0"/>
          <w:marBottom w:val="0"/>
          <w:divBdr>
            <w:top w:val="none" w:sz="0" w:space="0" w:color="auto"/>
            <w:left w:val="none" w:sz="0" w:space="0" w:color="auto"/>
            <w:bottom w:val="none" w:sz="0" w:space="0" w:color="auto"/>
            <w:right w:val="none" w:sz="0" w:space="0" w:color="auto"/>
          </w:divBdr>
          <w:divsChild>
            <w:div w:id="763190864">
              <w:marLeft w:val="0"/>
              <w:marRight w:val="0"/>
              <w:marTop w:val="0"/>
              <w:marBottom w:val="0"/>
              <w:divBdr>
                <w:top w:val="none" w:sz="0" w:space="0" w:color="auto"/>
                <w:left w:val="none" w:sz="0" w:space="0" w:color="auto"/>
                <w:bottom w:val="none" w:sz="0" w:space="0" w:color="auto"/>
                <w:right w:val="none" w:sz="0" w:space="0" w:color="auto"/>
              </w:divBdr>
              <w:divsChild>
                <w:div w:id="3643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2992">
          <w:marLeft w:val="0"/>
          <w:marRight w:val="0"/>
          <w:marTop w:val="0"/>
          <w:marBottom w:val="0"/>
          <w:divBdr>
            <w:top w:val="none" w:sz="0" w:space="0" w:color="auto"/>
            <w:left w:val="none" w:sz="0" w:space="0" w:color="auto"/>
            <w:bottom w:val="none" w:sz="0" w:space="0" w:color="auto"/>
            <w:right w:val="none" w:sz="0" w:space="0" w:color="auto"/>
          </w:divBdr>
          <w:divsChild>
            <w:div w:id="725642803">
              <w:marLeft w:val="0"/>
              <w:marRight w:val="0"/>
              <w:marTop w:val="0"/>
              <w:marBottom w:val="0"/>
              <w:divBdr>
                <w:top w:val="none" w:sz="0" w:space="0" w:color="auto"/>
                <w:left w:val="none" w:sz="0" w:space="0" w:color="auto"/>
                <w:bottom w:val="none" w:sz="0" w:space="0" w:color="auto"/>
                <w:right w:val="none" w:sz="0" w:space="0" w:color="auto"/>
              </w:divBdr>
              <w:divsChild>
                <w:div w:id="12385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3654">
          <w:marLeft w:val="0"/>
          <w:marRight w:val="0"/>
          <w:marTop w:val="0"/>
          <w:marBottom w:val="0"/>
          <w:divBdr>
            <w:top w:val="none" w:sz="0" w:space="0" w:color="auto"/>
            <w:left w:val="none" w:sz="0" w:space="0" w:color="auto"/>
            <w:bottom w:val="none" w:sz="0" w:space="0" w:color="auto"/>
            <w:right w:val="none" w:sz="0" w:space="0" w:color="auto"/>
          </w:divBdr>
          <w:divsChild>
            <w:div w:id="381177276">
              <w:marLeft w:val="0"/>
              <w:marRight w:val="0"/>
              <w:marTop w:val="0"/>
              <w:marBottom w:val="0"/>
              <w:divBdr>
                <w:top w:val="none" w:sz="0" w:space="0" w:color="auto"/>
                <w:left w:val="none" w:sz="0" w:space="0" w:color="auto"/>
                <w:bottom w:val="none" w:sz="0" w:space="0" w:color="auto"/>
                <w:right w:val="none" w:sz="0" w:space="0" w:color="auto"/>
              </w:divBdr>
              <w:divsChild>
                <w:div w:id="11812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1954">
      <w:bodyDiv w:val="1"/>
      <w:marLeft w:val="0"/>
      <w:marRight w:val="0"/>
      <w:marTop w:val="0"/>
      <w:marBottom w:val="0"/>
      <w:divBdr>
        <w:top w:val="none" w:sz="0" w:space="0" w:color="auto"/>
        <w:left w:val="none" w:sz="0" w:space="0" w:color="auto"/>
        <w:bottom w:val="none" w:sz="0" w:space="0" w:color="auto"/>
        <w:right w:val="none" w:sz="0" w:space="0" w:color="auto"/>
      </w:divBdr>
    </w:div>
    <w:div w:id="711423762">
      <w:bodyDiv w:val="1"/>
      <w:marLeft w:val="0"/>
      <w:marRight w:val="0"/>
      <w:marTop w:val="0"/>
      <w:marBottom w:val="0"/>
      <w:divBdr>
        <w:top w:val="none" w:sz="0" w:space="0" w:color="auto"/>
        <w:left w:val="none" w:sz="0" w:space="0" w:color="auto"/>
        <w:bottom w:val="none" w:sz="0" w:space="0" w:color="auto"/>
        <w:right w:val="none" w:sz="0" w:space="0" w:color="auto"/>
      </w:divBdr>
      <w:divsChild>
        <w:div w:id="2094038509">
          <w:marLeft w:val="0"/>
          <w:marRight w:val="0"/>
          <w:marTop w:val="0"/>
          <w:marBottom w:val="0"/>
          <w:divBdr>
            <w:top w:val="none" w:sz="0" w:space="0" w:color="auto"/>
            <w:left w:val="single" w:sz="6" w:space="0" w:color="BCBCBC"/>
            <w:bottom w:val="none" w:sz="0" w:space="0" w:color="auto"/>
            <w:right w:val="single" w:sz="6" w:space="0" w:color="BCBCBC"/>
          </w:divBdr>
          <w:divsChild>
            <w:div w:id="19831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5732">
      <w:bodyDiv w:val="1"/>
      <w:marLeft w:val="0"/>
      <w:marRight w:val="0"/>
      <w:marTop w:val="0"/>
      <w:marBottom w:val="0"/>
      <w:divBdr>
        <w:top w:val="none" w:sz="0" w:space="0" w:color="auto"/>
        <w:left w:val="none" w:sz="0" w:space="0" w:color="auto"/>
        <w:bottom w:val="none" w:sz="0" w:space="0" w:color="auto"/>
        <w:right w:val="none" w:sz="0" w:space="0" w:color="auto"/>
      </w:divBdr>
    </w:div>
    <w:div w:id="742214700">
      <w:bodyDiv w:val="1"/>
      <w:marLeft w:val="0"/>
      <w:marRight w:val="0"/>
      <w:marTop w:val="0"/>
      <w:marBottom w:val="0"/>
      <w:divBdr>
        <w:top w:val="none" w:sz="0" w:space="0" w:color="auto"/>
        <w:left w:val="none" w:sz="0" w:space="0" w:color="auto"/>
        <w:bottom w:val="none" w:sz="0" w:space="0" w:color="auto"/>
        <w:right w:val="none" w:sz="0" w:space="0" w:color="auto"/>
      </w:divBdr>
    </w:div>
    <w:div w:id="747732040">
      <w:bodyDiv w:val="1"/>
      <w:marLeft w:val="0"/>
      <w:marRight w:val="0"/>
      <w:marTop w:val="0"/>
      <w:marBottom w:val="0"/>
      <w:divBdr>
        <w:top w:val="none" w:sz="0" w:space="0" w:color="auto"/>
        <w:left w:val="none" w:sz="0" w:space="0" w:color="auto"/>
        <w:bottom w:val="none" w:sz="0" w:space="0" w:color="auto"/>
        <w:right w:val="none" w:sz="0" w:space="0" w:color="auto"/>
      </w:divBdr>
    </w:div>
    <w:div w:id="749161613">
      <w:bodyDiv w:val="1"/>
      <w:marLeft w:val="0"/>
      <w:marRight w:val="0"/>
      <w:marTop w:val="0"/>
      <w:marBottom w:val="0"/>
      <w:divBdr>
        <w:top w:val="none" w:sz="0" w:space="0" w:color="auto"/>
        <w:left w:val="none" w:sz="0" w:space="0" w:color="auto"/>
        <w:bottom w:val="none" w:sz="0" w:space="0" w:color="auto"/>
        <w:right w:val="none" w:sz="0" w:space="0" w:color="auto"/>
      </w:divBdr>
    </w:div>
    <w:div w:id="750740056">
      <w:bodyDiv w:val="1"/>
      <w:marLeft w:val="0"/>
      <w:marRight w:val="0"/>
      <w:marTop w:val="0"/>
      <w:marBottom w:val="0"/>
      <w:divBdr>
        <w:top w:val="none" w:sz="0" w:space="0" w:color="auto"/>
        <w:left w:val="none" w:sz="0" w:space="0" w:color="auto"/>
        <w:bottom w:val="none" w:sz="0" w:space="0" w:color="auto"/>
        <w:right w:val="none" w:sz="0" w:space="0" w:color="auto"/>
      </w:divBdr>
    </w:div>
    <w:div w:id="755250097">
      <w:bodyDiv w:val="1"/>
      <w:marLeft w:val="0"/>
      <w:marRight w:val="0"/>
      <w:marTop w:val="0"/>
      <w:marBottom w:val="0"/>
      <w:divBdr>
        <w:top w:val="none" w:sz="0" w:space="0" w:color="auto"/>
        <w:left w:val="none" w:sz="0" w:space="0" w:color="auto"/>
        <w:bottom w:val="none" w:sz="0" w:space="0" w:color="auto"/>
        <w:right w:val="none" w:sz="0" w:space="0" w:color="auto"/>
      </w:divBdr>
    </w:div>
    <w:div w:id="762073323">
      <w:bodyDiv w:val="1"/>
      <w:marLeft w:val="0"/>
      <w:marRight w:val="0"/>
      <w:marTop w:val="0"/>
      <w:marBottom w:val="0"/>
      <w:divBdr>
        <w:top w:val="none" w:sz="0" w:space="0" w:color="auto"/>
        <w:left w:val="none" w:sz="0" w:space="0" w:color="auto"/>
        <w:bottom w:val="none" w:sz="0" w:space="0" w:color="auto"/>
        <w:right w:val="none" w:sz="0" w:space="0" w:color="auto"/>
      </w:divBdr>
    </w:div>
    <w:div w:id="765613620">
      <w:marLeft w:val="0"/>
      <w:marRight w:val="0"/>
      <w:marTop w:val="0"/>
      <w:marBottom w:val="0"/>
      <w:divBdr>
        <w:top w:val="none" w:sz="0" w:space="0" w:color="auto"/>
        <w:left w:val="none" w:sz="0" w:space="0" w:color="auto"/>
        <w:bottom w:val="none" w:sz="0" w:space="0" w:color="auto"/>
        <w:right w:val="none" w:sz="0" w:space="0" w:color="auto"/>
      </w:divBdr>
    </w:div>
    <w:div w:id="772751118">
      <w:bodyDiv w:val="1"/>
      <w:marLeft w:val="0"/>
      <w:marRight w:val="0"/>
      <w:marTop w:val="0"/>
      <w:marBottom w:val="0"/>
      <w:divBdr>
        <w:top w:val="none" w:sz="0" w:space="0" w:color="auto"/>
        <w:left w:val="none" w:sz="0" w:space="0" w:color="auto"/>
        <w:bottom w:val="none" w:sz="0" w:space="0" w:color="auto"/>
        <w:right w:val="none" w:sz="0" w:space="0" w:color="auto"/>
      </w:divBdr>
    </w:div>
    <w:div w:id="778262108">
      <w:bodyDiv w:val="1"/>
      <w:marLeft w:val="0"/>
      <w:marRight w:val="0"/>
      <w:marTop w:val="0"/>
      <w:marBottom w:val="0"/>
      <w:divBdr>
        <w:top w:val="none" w:sz="0" w:space="0" w:color="auto"/>
        <w:left w:val="none" w:sz="0" w:space="0" w:color="auto"/>
        <w:bottom w:val="none" w:sz="0" w:space="0" w:color="auto"/>
        <w:right w:val="none" w:sz="0" w:space="0" w:color="auto"/>
      </w:divBdr>
    </w:div>
    <w:div w:id="781458578">
      <w:bodyDiv w:val="1"/>
      <w:marLeft w:val="0"/>
      <w:marRight w:val="0"/>
      <w:marTop w:val="0"/>
      <w:marBottom w:val="0"/>
      <w:divBdr>
        <w:top w:val="none" w:sz="0" w:space="0" w:color="auto"/>
        <w:left w:val="none" w:sz="0" w:space="0" w:color="auto"/>
        <w:bottom w:val="none" w:sz="0" w:space="0" w:color="auto"/>
        <w:right w:val="none" w:sz="0" w:space="0" w:color="auto"/>
      </w:divBdr>
    </w:div>
    <w:div w:id="797650362">
      <w:bodyDiv w:val="1"/>
      <w:marLeft w:val="0"/>
      <w:marRight w:val="0"/>
      <w:marTop w:val="0"/>
      <w:marBottom w:val="0"/>
      <w:divBdr>
        <w:top w:val="none" w:sz="0" w:space="0" w:color="auto"/>
        <w:left w:val="none" w:sz="0" w:space="0" w:color="auto"/>
        <w:bottom w:val="none" w:sz="0" w:space="0" w:color="auto"/>
        <w:right w:val="none" w:sz="0" w:space="0" w:color="auto"/>
      </w:divBdr>
    </w:div>
    <w:div w:id="803624077">
      <w:marLeft w:val="0"/>
      <w:marRight w:val="0"/>
      <w:marTop w:val="0"/>
      <w:marBottom w:val="0"/>
      <w:divBdr>
        <w:top w:val="none" w:sz="0" w:space="0" w:color="auto"/>
        <w:left w:val="none" w:sz="0" w:space="0" w:color="auto"/>
        <w:bottom w:val="none" w:sz="0" w:space="0" w:color="auto"/>
        <w:right w:val="none" w:sz="0" w:space="0" w:color="auto"/>
      </w:divBdr>
    </w:div>
    <w:div w:id="807866483">
      <w:bodyDiv w:val="1"/>
      <w:marLeft w:val="0"/>
      <w:marRight w:val="0"/>
      <w:marTop w:val="0"/>
      <w:marBottom w:val="0"/>
      <w:divBdr>
        <w:top w:val="none" w:sz="0" w:space="0" w:color="auto"/>
        <w:left w:val="none" w:sz="0" w:space="0" w:color="auto"/>
        <w:bottom w:val="none" w:sz="0" w:space="0" w:color="auto"/>
        <w:right w:val="none" w:sz="0" w:space="0" w:color="auto"/>
      </w:divBdr>
      <w:divsChild>
        <w:div w:id="1356419382">
          <w:marLeft w:val="0"/>
          <w:marRight w:val="0"/>
          <w:marTop w:val="0"/>
          <w:marBottom w:val="0"/>
          <w:divBdr>
            <w:top w:val="none" w:sz="0" w:space="0" w:color="auto"/>
            <w:left w:val="none" w:sz="0" w:space="0" w:color="auto"/>
            <w:bottom w:val="none" w:sz="0" w:space="0" w:color="auto"/>
            <w:right w:val="none" w:sz="0" w:space="0" w:color="auto"/>
          </w:divBdr>
          <w:divsChild>
            <w:div w:id="591358875">
              <w:marLeft w:val="0"/>
              <w:marRight w:val="0"/>
              <w:marTop w:val="0"/>
              <w:marBottom w:val="0"/>
              <w:divBdr>
                <w:top w:val="none" w:sz="0" w:space="0" w:color="auto"/>
                <w:left w:val="single" w:sz="6" w:space="0" w:color="CCCCCC"/>
                <w:bottom w:val="single" w:sz="2" w:space="23" w:color="CCCCCC"/>
                <w:right w:val="single" w:sz="6" w:space="0" w:color="CCCCCC"/>
              </w:divBdr>
              <w:divsChild>
                <w:div w:id="2156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4772">
      <w:bodyDiv w:val="1"/>
      <w:marLeft w:val="0"/>
      <w:marRight w:val="0"/>
      <w:marTop w:val="0"/>
      <w:marBottom w:val="0"/>
      <w:divBdr>
        <w:top w:val="none" w:sz="0" w:space="0" w:color="auto"/>
        <w:left w:val="none" w:sz="0" w:space="0" w:color="auto"/>
        <w:bottom w:val="none" w:sz="0" w:space="0" w:color="auto"/>
        <w:right w:val="none" w:sz="0" w:space="0" w:color="auto"/>
      </w:divBdr>
    </w:div>
    <w:div w:id="815338479">
      <w:bodyDiv w:val="1"/>
      <w:marLeft w:val="0"/>
      <w:marRight w:val="0"/>
      <w:marTop w:val="0"/>
      <w:marBottom w:val="0"/>
      <w:divBdr>
        <w:top w:val="none" w:sz="0" w:space="0" w:color="auto"/>
        <w:left w:val="none" w:sz="0" w:space="0" w:color="auto"/>
        <w:bottom w:val="none" w:sz="0" w:space="0" w:color="auto"/>
        <w:right w:val="none" w:sz="0" w:space="0" w:color="auto"/>
      </w:divBdr>
    </w:div>
    <w:div w:id="824316076">
      <w:bodyDiv w:val="1"/>
      <w:marLeft w:val="0"/>
      <w:marRight w:val="0"/>
      <w:marTop w:val="0"/>
      <w:marBottom w:val="0"/>
      <w:divBdr>
        <w:top w:val="none" w:sz="0" w:space="0" w:color="auto"/>
        <w:left w:val="none" w:sz="0" w:space="0" w:color="auto"/>
        <w:bottom w:val="none" w:sz="0" w:space="0" w:color="auto"/>
        <w:right w:val="none" w:sz="0" w:space="0" w:color="auto"/>
      </w:divBdr>
    </w:div>
    <w:div w:id="829248402">
      <w:bodyDiv w:val="1"/>
      <w:marLeft w:val="0"/>
      <w:marRight w:val="0"/>
      <w:marTop w:val="0"/>
      <w:marBottom w:val="0"/>
      <w:divBdr>
        <w:top w:val="none" w:sz="0" w:space="0" w:color="auto"/>
        <w:left w:val="none" w:sz="0" w:space="0" w:color="auto"/>
        <w:bottom w:val="none" w:sz="0" w:space="0" w:color="auto"/>
        <w:right w:val="none" w:sz="0" w:space="0" w:color="auto"/>
      </w:divBdr>
    </w:div>
    <w:div w:id="836847518">
      <w:bodyDiv w:val="1"/>
      <w:marLeft w:val="0"/>
      <w:marRight w:val="0"/>
      <w:marTop w:val="0"/>
      <w:marBottom w:val="0"/>
      <w:divBdr>
        <w:top w:val="none" w:sz="0" w:space="0" w:color="auto"/>
        <w:left w:val="none" w:sz="0" w:space="0" w:color="auto"/>
        <w:bottom w:val="none" w:sz="0" w:space="0" w:color="auto"/>
        <w:right w:val="none" w:sz="0" w:space="0" w:color="auto"/>
      </w:divBdr>
    </w:div>
    <w:div w:id="837235927">
      <w:bodyDiv w:val="1"/>
      <w:marLeft w:val="0"/>
      <w:marRight w:val="0"/>
      <w:marTop w:val="0"/>
      <w:marBottom w:val="0"/>
      <w:divBdr>
        <w:top w:val="none" w:sz="0" w:space="0" w:color="auto"/>
        <w:left w:val="none" w:sz="0" w:space="0" w:color="auto"/>
        <w:bottom w:val="none" w:sz="0" w:space="0" w:color="auto"/>
        <w:right w:val="none" w:sz="0" w:space="0" w:color="auto"/>
      </w:divBdr>
    </w:div>
    <w:div w:id="840972839">
      <w:bodyDiv w:val="1"/>
      <w:marLeft w:val="0"/>
      <w:marRight w:val="0"/>
      <w:marTop w:val="0"/>
      <w:marBottom w:val="0"/>
      <w:divBdr>
        <w:top w:val="none" w:sz="0" w:space="0" w:color="auto"/>
        <w:left w:val="none" w:sz="0" w:space="0" w:color="auto"/>
        <w:bottom w:val="none" w:sz="0" w:space="0" w:color="auto"/>
        <w:right w:val="none" w:sz="0" w:space="0" w:color="auto"/>
      </w:divBdr>
    </w:div>
    <w:div w:id="845486333">
      <w:bodyDiv w:val="1"/>
      <w:marLeft w:val="0"/>
      <w:marRight w:val="0"/>
      <w:marTop w:val="0"/>
      <w:marBottom w:val="0"/>
      <w:divBdr>
        <w:top w:val="none" w:sz="0" w:space="0" w:color="auto"/>
        <w:left w:val="none" w:sz="0" w:space="0" w:color="auto"/>
        <w:bottom w:val="none" w:sz="0" w:space="0" w:color="auto"/>
        <w:right w:val="none" w:sz="0" w:space="0" w:color="auto"/>
      </w:divBdr>
    </w:div>
    <w:div w:id="846216363">
      <w:bodyDiv w:val="1"/>
      <w:marLeft w:val="0"/>
      <w:marRight w:val="0"/>
      <w:marTop w:val="0"/>
      <w:marBottom w:val="0"/>
      <w:divBdr>
        <w:top w:val="none" w:sz="0" w:space="0" w:color="auto"/>
        <w:left w:val="none" w:sz="0" w:space="0" w:color="auto"/>
        <w:bottom w:val="none" w:sz="0" w:space="0" w:color="auto"/>
        <w:right w:val="none" w:sz="0" w:space="0" w:color="auto"/>
      </w:divBdr>
    </w:div>
    <w:div w:id="846478669">
      <w:bodyDiv w:val="1"/>
      <w:marLeft w:val="0"/>
      <w:marRight w:val="0"/>
      <w:marTop w:val="0"/>
      <w:marBottom w:val="0"/>
      <w:divBdr>
        <w:top w:val="none" w:sz="0" w:space="0" w:color="auto"/>
        <w:left w:val="none" w:sz="0" w:space="0" w:color="auto"/>
        <w:bottom w:val="none" w:sz="0" w:space="0" w:color="auto"/>
        <w:right w:val="none" w:sz="0" w:space="0" w:color="auto"/>
      </w:divBdr>
      <w:divsChild>
        <w:div w:id="1274243203">
          <w:marLeft w:val="0"/>
          <w:marRight w:val="0"/>
          <w:marTop w:val="0"/>
          <w:marBottom w:val="0"/>
          <w:divBdr>
            <w:top w:val="none" w:sz="0" w:space="0" w:color="auto"/>
            <w:left w:val="none" w:sz="0" w:space="0" w:color="auto"/>
            <w:bottom w:val="none" w:sz="0" w:space="0" w:color="auto"/>
            <w:right w:val="none" w:sz="0" w:space="0" w:color="auto"/>
          </w:divBdr>
          <w:divsChild>
            <w:div w:id="10769466">
              <w:marLeft w:val="0"/>
              <w:marRight w:val="0"/>
              <w:marTop w:val="0"/>
              <w:marBottom w:val="0"/>
              <w:divBdr>
                <w:top w:val="none" w:sz="0" w:space="0" w:color="auto"/>
                <w:left w:val="none" w:sz="0" w:space="0" w:color="auto"/>
                <w:bottom w:val="none" w:sz="0" w:space="0" w:color="auto"/>
                <w:right w:val="none" w:sz="0" w:space="0" w:color="auto"/>
              </w:divBdr>
              <w:divsChild>
                <w:div w:id="18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0259">
      <w:bodyDiv w:val="1"/>
      <w:marLeft w:val="0"/>
      <w:marRight w:val="0"/>
      <w:marTop w:val="0"/>
      <w:marBottom w:val="0"/>
      <w:divBdr>
        <w:top w:val="none" w:sz="0" w:space="0" w:color="auto"/>
        <w:left w:val="none" w:sz="0" w:space="0" w:color="auto"/>
        <w:bottom w:val="none" w:sz="0" w:space="0" w:color="auto"/>
        <w:right w:val="none" w:sz="0" w:space="0" w:color="auto"/>
      </w:divBdr>
    </w:div>
    <w:div w:id="862593826">
      <w:bodyDiv w:val="1"/>
      <w:marLeft w:val="0"/>
      <w:marRight w:val="0"/>
      <w:marTop w:val="0"/>
      <w:marBottom w:val="0"/>
      <w:divBdr>
        <w:top w:val="none" w:sz="0" w:space="0" w:color="auto"/>
        <w:left w:val="none" w:sz="0" w:space="0" w:color="auto"/>
        <w:bottom w:val="none" w:sz="0" w:space="0" w:color="auto"/>
        <w:right w:val="none" w:sz="0" w:space="0" w:color="auto"/>
      </w:divBdr>
    </w:div>
    <w:div w:id="869998896">
      <w:bodyDiv w:val="1"/>
      <w:marLeft w:val="0"/>
      <w:marRight w:val="0"/>
      <w:marTop w:val="0"/>
      <w:marBottom w:val="0"/>
      <w:divBdr>
        <w:top w:val="none" w:sz="0" w:space="0" w:color="auto"/>
        <w:left w:val="none" w:sz="0" w:space="0" w:color="auto"/>
        <w:bottom w:val="none" w:sz="0" w:space="0" w:color="auto"/>
        <w:right w:val="none" w:sz="0" w:space="0" w:color="auto"/>
      </w:divBdr>
    </w:div>
    <w:div w:id="871571739">
      <w:bodyDiv w:val="1"/>
      <w:marLeft w:val="0"/>
      <w:marRight w:val="0"/>
      <w:marTop w:val="0"/>
      <w:marBottom w:val="0"/>
      <w:divBdr>
        <w:top w:val="none" w:sz="0" w:space="0" w:color="auto"/>
        <w:left w:val="none" w:sz="0" w:space="0" w:color="auto"/>
        <w:bottom w:val="none" w:sz="0" w:space="0" w:color="auto"/>
        <w:right w:val="none" w:sz="0" w:space="0" w:color="auto"/>
      </w:divBdr>
    </w:div>
    <w:div w:id="874929916">
      <w:bodyDiv w:val="1"/>
      <w:marLeft w:val="0"/>
      <w:marRight w:val="0"/>
      <w:marTop w:val="0"/>
      <w:marBottom w:val="0"/>
      <w:divBdr>
        <w:top w:val="none" w:sz="0" w:space="0" w:color="auto"/>
        <w:left w:val="none" w:sz="0" w:space="0" w:color="auto"/>
        <w:bottom w:val="none" w:sz="0" w:space="0" w:color="auto"/>
        <w:right w:val="none" w:sz="0" w:space="0" w:color="auto"/>
      </w:divBdr>
    </w:div>
    <w:div w:id="882907231">
      <w:bodyDiv w:val="1"/>
      <w:marLeft w:val="0"/>
      <w:marRight w:val="0"/>
      <w:marTop w:val="0"/>
      <w:marBottom w:val="0"/>
      <w:divBdr>
        <w:top w:val="none" w:sz="0" w:space="0" w:color="auto"/>
        <w:left w:val="none" w:sz="0" w:space="0" w:color="auto"/>
        <w:bottom w:val="none" w:sz="0" w:space="0" w:color="auto"/>
        <w:right w:val="none" w:sz="0" w:space="0" w:color="auto"/>
      </w:divBdr>
    </w:div>
    <w:div w:id="886374563">
      <w:bodyDiv w:val="1"/>
      <w:marLeft w:val="0"/>
      <w:marRight w:val="0"/>
      <w:marTop w:val="0"/>
      <w:marBottom w:val="0"/>
      <w:divBdr>
        <w:top w:val="none" w:sz="0" w:space="0" w:color="auto"/>
        <w:left w:val="none" w:sz="0" w:space="0" w:color="auto"/>
        <w:bottom w:val="none" w:sz="0" w:space="0" w:color="auto"/>
        <w:right w:val="none" w:sz="0" w:space="0" w:color="auto"/>
      </w:divBdr>
    </w:div>
    <w:div w:id="891430659">
      <w:bodyDiv w:val="1"/>
      <w:marLeft w:val="0"/>
      <w:marRight w:val="0"/>
      <w:marTop w:val="0"/>
      <w:marBottom w:val="0"/>
      <w:divBdr>
        <w:top w:val="none" w:sz="0" w:space="0" w:color="auto"/>
        <w:left w:val="none" w:sz="0" w:space="0" w:color="auto"/>
        <w:bottom w:val="none" w:sz="0" w:space="0" w:color="auto"/>
        <w:right w:val="none" w:sz="0" w:space="0" w:color="auto"/>
      </w:divBdr>
    </w:div>
    <w:div w:id="891573980">
      <w:marLeft w:val="0"/>
      <w:marRight w:val="0"/>
      <w:marTop w:val="0"/>
      <w:marBottom w:val="0"/>
      <w:divBdr>
        <w:top w:val="none" w:sz="0" w:space="0" w:color="auto"/>
        <w:left w:val="none" w:sz="0" w:space="0" w:color="auto"/>
        <w:bottom w:val="none" w:sz="0" w:space="0" w:color="auto"/>
        <w:right w:val="none" w:sz="0" w:space="0" w:color="auto"/>
      </w:divBdr>
      <w:divsChild>
        <w:div w:id="1669550928">
          <w:marLeft w:val="0"/>
          <w:marRight w:val="0"/>
          <w:marTop w:val="0"/>
          <w:marBottom w:val="0"/>
          <w:divBdr>
            <w:top w:val="none" w:sz="0" w:space="0" w:color="auto"/>
            <w:left w:val="none" w:sz="0" w:space="0" w:color="auto"/>
            <w:bottom w:val="none" w:sz="0" w:space="0" w:color="auto"/>
            <w:right w:val="none" w:sz="0" w:space="0" w:color="auto"/>
          </w:divBdr>
          <w:divsChild>
            <w:div w:id="15265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2076">
      <w:bodyDiv w:val="1"/>
      <w:marLeft w:val="0"/>
      <w:marRight w:val="0"/>
      <w:marTop w:val="0"/>
      <w:marBottom w:val="0"/>
      <w:divBdr>
        <w:top w:val="none" w:sz="0" w:space="0" w:color="auto"/>
        <w:left w:val="none" w:sz="0" w:space="0" w:color="auto"/>
        <w:bottom w:val="none" w:sz="0" w:space="0" w:color="auto"/>
        <w:right w:val="none" w:sz="0" w:space="0" w:color="auto"/>
      </w:divBdr>
    </w:div>
    <w:div w:id="899904664">
      <w:bodyDiv w:val="1"/>
      <w:marLeft w:val="0"/>
      <w:marRight w:val="0"/>
      <w:marTop w:val="0"/>
      <w:marBottom w:val="0"/>
      <w:divBdr>
        <w:top w:val="none" w:sz="0" w:space="0" w:color="auto"/>
        <w:left w:val="none" w:sz="0" w:space="0" w:color="auto"/>
        <w:bottom w:val="none" w:sz="0" w:space="0" w:color="auto"/>
        <w:right w:val="none" w:sz="0" w:space="0" w:color="auto"/>
      </w:divBdr>
    </w:div>
    <w:div w:id="901673049">
      <w:bodyDiv w:val="1"/>
      <w:marLeft w:val="0"/>
      <w:marRight w:val="0"/>
      <w:marTop w:val="0"/>
      <w:marBottom w:val="0"/>
      <w:divBdr>
        <w:top w:val="none" w:sz="0" w:space="0" w:color="auto"/>
        <w:left w:val="none" w:sz="0" w:space="0" w:color="auto"/>
        <w:bottom w:val="none" w:sz="0" w:space="0" w:color="auto"/>
        <w:right w:val="none" w:sz="0" w:space="0" w:color="auto"/>
      </w:divBdr>
    </w:div>
    <w:div w:id="905797219">
      <w:bodyDiv w:val="1"/>
      <w:marLeft w:val="0"/>
      <w:marRight w:val="0"/>
      <w:marTop w:val="0"/>
      <w:marBottom w:val="0"/>
      <w:divBdr>
        <w:top w:val="none" w:sz="0" w:space="0" w:color="auto"/>
        <w:left w:val="none" w:sz="0" w:space="0" w:color="auto"/>
        <w:bottom w:val="none" w:sz="0" w:space="0" w:color="auto"/>
        <w:right w:val="none" w:sz="0" w:space="0" w:color="auto"/>
      </w:divBdr>
    </w:div>
    <w:div w:id="907421063">
      <w:bodyDiv w:val="1"/>
      <w:marLeft w:val="0"/>
      <w:marRight w:val="0"/>
      <w:marTop w:val="0"/>
      <w:marBottom w:val="0"/>
      <w:divBdr>
        <w:top w:val="none" w:sz="0" w:space="0" w:color="auto"/>
        <w:left w:val="none" w:sz="0" w:space="0" w:color="auto"/>
        <w:bottom w:val="none" w:sz="0" w:space="0" w:color="auto"/>
        <w:right w:val="none" w:sz="0" w:space="0" w:color="auto"/>
      </w:divBdr>
    </w:div>
    <w:div w:id="918246602">
      <w:bodyDiv w:val="1"/>
      <w:marLeft w:val="0"/>
      <w:marRight w:val="0"/>
      <w:marTop w:val="0"/>
      <w:marBottom w:val="0"/>
      <w:divBdr>
        <w:top w:val="none" w:sz="0" w:space="0" w:color="auto"/>
        <w:left w:val="none" w:sz="0" w:space="0" w:color="auto"/>
        <w:bottom w:val="none" w:sz="0" w:space="0" w:color="auto"/>
        <w:right w:val="none" w:sz="0" w:space="0" w:color="auto"/>
      </w:divBdr>
    </w:div>
    <w:div w:id="920286780">
      <w:bodyDiv w:val="1"/>
      <w:marLeft w:val="0"/>
      <w:marRight w:val="0"/>
      <w:marTop w:val="0"/>
      <w:marBottom w:val="0"/>
      <w:divBdr>
        <w:top w:val="none" w:sz="0" w:space="0" w:color="auto"/>
        <w:left w:val="none" w:sz="0" w:space="0" w:color="auto"/>
        <w:bottom w:val="none" w:sz="0" w:space="0" w:color="auto"/>
        <w:right w:val="none" w:sz="0" w:space="0" w:color="auto"/>
      </w:divBdr>
    </w:div>
    <w:div w:id="921644188">
      <w:bodyDiv w:val="1"/>
      <w:marLeft w:val="0"/>
      <w:marRight w:val="0"/>
      <w:marTop w:val="0"/>
      <w:marBottom w:val="0"/>
      <w:divBdr>
        <w:top w:val="none" w:sz="0" w:space="0" w:color="auto"/>
        <w:left w:val="none" w:sz="0" w:space="0" w:color="auto"/>
        <w:bottom w:val="none" w:sz="0" w:space="0" w:color="auto"/>
        <w:right w:val="none" w:sz="0" w:space="0" w:color="auto"/>
      </w:divBdr>
    </w:div>
    <w:div w:id="922909103">
      <w:bodyDiv w:val="1"/>
      <w:marLeft w:val="0"/>
      <w:marRight w:val="0"/>
      <w:marTop w:val="0"/>
      <w:marBottom w:val="0"/>
      <w:divBdr>
        <w:top w:val="none" w:sz="0" w:space="0" w:color="auto"/>
        <w:left w:val="none" w:sz="0" w:space="0" w:color="auto"/>
        <w:bottom w:val="none" w:sz="0" w:space="0" w:color="auto"/>
        <w:right w:val="none" w:sz="0" w:space="0" w:color="auto"/>
      </w:divBdr>
    </w:div>
    <w:div w:id="934706692">
      <w:bodyDiv w:val="1"/>
      <w:marLeft w:val="0"/>
      <w:marRight w:val="0"/>
      <w:marTop w:val="0"/>
      <w:marBottom w:val="0"/>
      <w:divBdr>
        <w:top w:val="none" w:sz="0" w:space="0" w:color="auto"/>
        <w:left w:val="none" w:sz="0" w:space="0" w:color="auto"/>
        <w:bottom w:val="none" w:sz="0" w:space="0" w:color="auto"/>
        <w:right w:val="none" w:sz="0" w:space="0" w:color="auto"/>
      </w:divBdr>
    </w:div>
    <w:div w:id="945961077">
      <w:bodyDiv w:val="1"/>
      <w:marLeft w:val="0"/>
      <w:marRight w:val="0"/>
      <w:marTop w:val="0"/>
      <w:marBottom w:val="0"/>
      <w:divBdr>
        <w:top w:val="none" w:sz="0" w:space="0" w:color="auto"/>
        <w:left w:val="none" w:sz="0" w:space="0" w:color="auto"/>
        <w:bottom w:val="none" w:sz="0" w:space="0" w:color="auto"/>
        <w:right w:val="none" w:sz="0" w:space="0" w:color="auto"/>
      </w:divBdr>
    </w:div>
    <w:div w:id="947395950">
      <w:bodyDiv w:val="1"/>
      <w:marLeft w:val="0"/>
      <w:marRight w:val="0"/>
      <w:marTop w:val="0"/>
      <w:marBottom w:val="0"/>
      <w:divBdr>
        <w:top w:val="none" w:sz="0" w:space="0" w:color="auto"/>
        <w:left w:val="none" w:sz="0" w:space="0" w:color="auto"/>
        <w:bottom w:val="none" w:sz="0" w:space="0" w:color="auto"/>
        <w:right w:val="none" w:sz="0" w:space="0" w:color="auto"/>
      </w:divBdr>
    </w:div>
    <w:div w:id="952715399">
      <w:bodyDiv w:val="1"/>
      <w:marLeft w:val="0"/>
      <w:marRight w:val="0"/>
      <w:marTop w:val="0"/>
      <w:marBottom w:val="0"/>
      <w:divBdr>
        <w:top w:val="none" w:sz="0" w:space="0" w:color="auto"/>
        <w:left w:val="none" w:sz="0" w:space="0" w:color="auto"/>
        <w:bottom w:val="none" w:sz="0" w:space="0" w:color="auto"/>
        <w:right w:val="none" w:sz="0" w:space="0" w:color="auto"/>
      </w:divBdr>
    </w:div>
    <w:div w:id="954940989">
      <w:bodyDiv w:val="1"/>
      <w:marLeft w:val="0"/>
      <w:marRight w:val="0"/>
      <w:marTop w:val="0"/>
      <w:marBottom w:val="0"/>
      <w:divBdr>
        <w:top w:val="none" w:sz="0" w:space="0" w:color="auto"/>
        <w:left w:val="none" w:sz="0" w:space="0" w:color="auto"/>
        <w:bottom w:val="none" w:sz="0" w:space="0" w:color="auto"/>
        <w:right w:val="none" w:sz="0" w:space="0" w:color="auto"/>
      </w:divBdr>
    </w:div>
    <w:div w:id="958225904">
      <w:bodyDiv w:val="1"/>
      <w:marLeft w:val="0"/>
      <w:marRight w:val="0"/>
      <w:marTop w:val="0"/>
      <w:marBottom w:val="0"/>
      <w:divBdr>
        <w:top w:val="none" w:sz="0" w:space="0" w:color="auto"/>
        <w:left w:val="none" w:sz="0" w:space="0" w:color="auto"/>
        <w:bottom w:val="none" w:sz="0" w:space="0" w:color="auto"/>
        <w:right w:val="none" w:sz="0" w:space="0" w:color="auto"/>
      </w:divBdr>
    </w:div>
    <w:div w:id="959532351">
      <w:bodyDiv w:val="1"/>
      <w:marLeft w:val="0"/>
      <w:marRight w:val="0"/>
      <w:marTop w:val="0"/>
      <w:marBottom w:val="0"/>
      <w:divBdr>
        <w:top w:val="none" w:sz="0" w:space="0" w:color="auto"/>
        <w:left w:val="none" w:sz="0" w:space="0" w:color="auto"/>
        <w:bottom w:val="none" w:sz="0" w:space="0" w:color="auto"/>
        <w:right w:val="none" w:sz="0" w:space="0" w:color="auto"/>
      </w:divBdr>
    </w:div>
    <w:div w:id="960452378">
      <w:bodyDiv w:val="1"/>
      <w:marLeft w:val="0"/>
      <w:marRight w:val="0"/>
      <w:marTop w:val="0"/>
      <w:marBottom w:val="0"/>
      <w:divBdr>
        <w:top w:val="none" w:sz="0" w:space="0" w:color="auto"/>
        <w:left w:val="none" w:sz="0" w:space="0" w:color="auto"/>
        <w:bottom w:val="none" w:sz="0" w:space="0" w:color="auto"/>
        <w:right w:val="none" w:sz="0" w:space="0" w:color="auto"/>
      </w:divBdr>
    </w:div>
    <w:div w:id="967929505">
      <w:bodyDiv w:val="1"/>
      <w:marLeft w:val="0"/>
      <w:marRight w:val="0"/>
      <w:marTop w:val="0"/>
      <w:marBottom w:val="0"/>
      <w:divBdr>
        <w:top w:val="none" w:sz="0" w:space="0" w:color="auto"/>
        <w:left w:val="none" w:sz="0" w:space="0" w:color="auto"/>
        <w:bottom w:val="none" w:sz="0" w:space="0" w:color="auto"/>
        <w:right w:val="none" w:sz="0" w:space="0" w:color="auto"/>
      </w:divBdr>
    </w:div>
    <w:div w:id="968701159">
      <w:bodyDiv w:val="1"/>
      <w:marLeft w:val="0"/>
      <w:marRight w:val="0"/>
      <w:marTop w:val="0"/>
      <w:marBottom w:val="0"/>
      <w:divBdr>
        <w:top w:val="none" w:sz="0" w:space="0" w:color="auto"/>
        <w:left w:val="none" w:sz="0" w:space="0" w:color="auto"/>
        <w:bottom w:val="none" w:sz="0" w:space="0" w:color="auto"/>
        <w:right w:val="none" w:sz="0" w:space="0" w:color="auto"/>
      </w:divBdr>
    </w:div>
    <w:div w:id="974260348">
      <w:bodyDiv w:val="1"/>
      <w:marLeft w:val="0"/>
      <w:marRight w:val="0"/>
      <w:marTop w:val="0"/>
      <w:marBottom w:val="0"/>
      <w:divBdr>
        <w:top w:val="none" w:sz="0" w:space="0" w:color="auto"/>
        <w:left w:val="none" w:sz="0" w:space="0" w:color="auto"/>
        <w:bottom w:val="none" w:sz="0" w:space="0" w:color="auto"/>
        <w:right w:val="none" w:sz="0" w:space="0" w:color="auto"/>
      </w:divBdr>
    </w:div>
    <w:div w:id="977876860">
      <w:bodyDiv w:val="1"/>
      <w:marLeft w:val="0"/>
      <w:marRight w:val="0"/>
      <w:marTop w:val="0"/>
      <w:marBottom w:val="0"/>
      <w:divBdr>
        <w:top w:val="none" w:sz="0" w:space="0" w:color="auto"/>
        <w:left w:val="none" w:sz="0" w:space="0" w:color="auto"/>
        <w:bottom w:val="none" w:sz="0" w:space="0" w:color="auto"/>
        <w:right w:val="none" w:sz="0" w:space="0" w:color="auto"/>
      </w:divBdr>
    </w:div>
    <w:div w:id="979924680">
      <w:bodyDiv w:val="1"/>
      <w:marLeft w:val="0"/>
      <w:marRight w:val="0"/>
      <w:marTop w:val="0"/>
      <w:marBottom w:val="0"/>
      <w:divBdr>
        <w:top w:val="none" w:sz="0" w:space="0" w:color="auto"/>
        <w:left w:val="none" w:sz="0" w:space="0" w:color="auto"/>
        <w:bottom w:val="none" w:sz="0" w:space="0" w:color="auto"/>
        <w:right w:val="none" w:sz="0" w:space="0" w:color="auto"/>
      </w:divBdr>
    </w:div>
    <w:div w:id="981421574">
      <w:bodyDiv w:val="1"/>
      <w:marLeft w:val="0"/>
      <w:marRight w:val="0"/>
      <w:marTop w:val="0"/>
      <w:marBottom w:val="0"/>
      <w:divBdr>
        <w:top w:val="none" w:sz="0" w:space="0" w:color="auto"/>
        <w:left w:val="none" w:sz="0" w:space="0" w:color="auto"/>
        <w:bottom w:val="none" w:sz="0" w:space="0" w:color="auto"/>
        <w:right w:val="none" w:sz="0" w:space="0" w:color="auto"/>
      </w:divBdr>
    </w:div>
    <w:div w:id="981928083">
      <w:bodyDiv w:val="1"/>
      <w:marLeft w:val="0"/>
      <w:marRight w:val="0"/>
      <w:marTop w:val="0"/>
      <w:marBottom w:val="0"/>
      <w:divBdr>
        <w:top w:val="none" w:sz="0" w:space="0" w:color="auto"/>
        <w:left w:val="none" w:sz="0" w:space="0" w:color="auto"/>
        <w:bottom w:val="none" w:sz="0" w:space="0" w:color="auto"/>
        <w:right w:val="none" w:sz="0" w:space="0" w:color="auto"/>
      </w:divBdr>
    </w:div>
    <w:div w:id="1008824959">
      <w:bodyDiv w:val="1"/>
      <w:marLeft w:val="0"/>
      <w:marRight w:val="0"/>
      <w:marTop w:val="0"/>
      <w:marBottom w:val="0"/>
      <w:divBdr>
        <w:top w:val="none" w:sz="0" w:space="0" w:color="auto"/>
        <w:left w:val="none" w:sz="0" w:space="0" w:color="auto"/>
        <w:bottom w:val="none" w:sz="0" w:space="0" w:color="auto"/>
        <w:right w:val="none" w:sz="0" w:space="0" w:color="auto"/>
      </w:divBdr>
    </w:div>
    <w:div w:id="1010520830">
      <w:marLeft w:val="0"/>
      <w:marRight w:val="0"/>
      <w:marTop w:val="0"/>
      <w:marBottom w:val="0"/>
      <w:divBdr>
        <w:top w:val="none" w:sz="0" w:space="0" w:color="auto"/>
        <w:left w:val="none" w:sz="0" w:space="0" w:color="auto"/>
        <w:bottom w:val="none" w:sz="0" w:space="0" w:color="auto"/>
        <w:right w:val="none" w:sz="0" w:space="0" w:color="auto"/>
      </w:divBdr>
      <w:divsChild>
        <w:div w:id="397174329">
          <w:marLeft w:val="0"/>
          <w:marRight w:val="0"/>
          <w:marTop w:val="0"/>
          <w:marBottom w:val="0"/>
          <w:divBdr>
            <w:top w:val="none" w:sz="0" w:space="0" w:color="auto"/>
            <w:left w:val="none" w:sz="0" w:space="0" w:color="auto"/>
            <w:bottom w:val="none" w:sz="0" w:space="0" w:color="auto"/>
            <w:right w:val="none" w:sz="0" w:space="0" w:color="auto"/>
          </w:divBdr>
          <w:divsChild>
            <w:div w:id="11024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5668">
      <w:bodyDiv w:val="1"/>
      <w:marLeft w:val="0"/>
      <w:marRight w:val="0"/>
      <w:marTop w:val="0"/>
      <w:marBottom w:val="0"/>
      <w:divBdr>
        <w:top w:val="none" w:sz="0" w:space="0" w:color="auto"/>
        <w:left w:val="none" w:sz="0" w:space="0" w:color="auto"/>
        <w:bottom w:val="none" w:sz="0" w:space="0" w:color="auto"/>
        <w:right w:val="none" w:sz="0" w:space="0" w:color="auto"/>
      </w:divBdr>
    </w:div>
    <w:div w:id="1012610621">
      <w:bodyDiv w:val="1"/>
      <w:marLeft w:val="0"/>
      <w:marRight w:val="0"/>
      <w:marTop w:val="0"/>
      <w:marBottom w:val="0"/>
      <w:divBdr>
        <w:top w:val="none" w:sz="0" w:space="0" w:color="auto"/>
        <w:left w:val="none" w:sz="0" w:space="0" w:color="auto"/>
        <w:bottom w:val="none" w:sz="0" w:space="0" w:color="auto"/>
        <w:right w:val="none" w:sz="0" w:space="0" w:color="auto"/>
      </w:divBdr>
    </w:div>
    <w:div w:id="1016998901">
      <w:bodyDiv w:val="1"/>
      <w:marLeft w:val="0"/>
      <w:marRight w:val="0"/>
      <w:marTop w:val="0"/>
      <w:marBottom w:val="0"/>
      <w:divBdr>
        <w:top w:val="none" w:sz="0" w:space="0" w:color="auto"/>
        <w:left w:val="none" w:sz="0" w:space="0" w:color="auto"/>
        <w:bottom w:val="none" w:sz="0" w:space="0" w:color="auto"/>
        <w:right w:val="none" w:sz="0" w:space="0" w:color="auto"/>
      </w:divBdr>
    </w:div>
    <w:div w:id="1019357855">
      <w:bodyDiv w:val="1"/>
      <w:marLeft w:val="0"/>
      <w:marRight w:val="0"/>
      <w:marTop w:val="0"/>
      <w:marBottom w:val="0"/>
      <w:divBdr>
        <w:top w:val="none" w:sz="0" w:space="0" w:color="auto"/>
        <w:left w:val="none" w:sz="0" w:space="0" w:color="auto"/>
        <w:bottom w:val="none" w:sz="0" w:space="0" w:color="auto"/>
        <w:right w:val="none" w:sz="0" w:space="0" w:color="auto"/>
      </w:divBdr>
    </w:div>
    <w:div w:id="1022560390">
      <w:bodyDiv w:val="1"/>
      <w:marLeft w:val="0"/>
      <w:marRight w:val="0"/>
      <w:marTop w:val="0"/>
      <w:marBottom w:val="0"/>
      <w:divBdr>
        <w:top w:val="none" w:sz="0" w:space="0" w:color="auto"/>
        <w:left w:val="none" w:sz="0" w:space="0" w:color="auto"/>
        <w:bottom w:val="none" w:sz="0" w:space="0" w:color="auto"/>
        <w:right w:val="none" w:sz="0" w:space="0" w:color="auto"/>
      </w:divBdr>
    </w:div>
    <w:div w:id="1027029481">
      <w:bodyDiv w:val="1"/>
      <w:marLeft w:val="0"/>
      <w:marRight w:val="0"/>
      <w:marTop w:val="0"/>
      <w:marBottom w:val="0"/>
      <w:divBdr>
        <w:top w:val="none" w:sz="0" w:space="0" w:color="auto"/>
        <w:left w:val="none" w:sz="0" w:space="0" w:color="auto"/>
        <w:bottom w:val="none" w:sz="0" w:space="0" w:color="auto"/>
        <w:right w:val="none" w:sz="0" w:space="0" w:color="auto"/>
      </w:divBdr>
    </w:div>
    <w:div w:id="1027177505">
      <w:bodyDiv w:val="1"/>
      <w:marLeft w:val="0"/>
      <w:marRight w:val="0"/>
      <w:marTop w:val="0"/>
      <w:marBottom w:val="0"/>
      <w:divBdr>
        <w:top w:val="none" w:sz="0" w:space="0" w:color="auto"/>
        <w:left w:val="none" w:sz="0" w:space="0" w:color="auto"/>
        <w:bottom w:val="none" w:sz="0" w:space="0" w:color="auto"/>
        <w:right w:val="none" w:sz="0" w:space="0" w:color="auto"/>
      </w:divBdr>
    </w:div>
    <w:div w:id="1030959910">
      <w:bodyDiv w:val="1"/>
      <w:marLeft w:val="0"/>
      <w:marRight w:val="0"/>
      <w:marTop w:val="0"/>
      <w:marBottom w:val="0"/>
      <w:divBdr>
        <w:top w:val="none" w:sz="0" w:space="0" w:color="auto"/>
        <w:left w:val="none" w:sz="0" w:space="0" w:color="auto"/>
        <w:bottom w:val="none" w:sz="0" w:space="0" w:color="auto"/>
        <w:right w:val="none" w:sz="0" w:space="0" w:color="auto"/>
      </w:divBdr>
    </w:div>
    <w:div w:id="1042707981">
      <w:bodyDiv w:val="1"/>
      <w:marLeft w:val="0"/>
      <w:marRight w:val="0"/>
      <w:marTop w:val="0"/>
      <w:marBottom w:val="0"/>
      <w:divBdr>
        <w:top w:val="none" w:sz="0" w:space="0" w:color="auto"/>
        <w:left w:val="none" w:sz="0" w:space="0" w:color="auto"/>
        <w:bottom w:val="none" w:sz="0" w:space="0" w:color="auto"/>
        <w:right w:val="none" w:sz="0" w:space="0" w:color="auto"/>
      </w:divBdr>
    </w:div>
    <w:div w:id="1043024035">
      <w:bodyDiv w:val="1"/>
      <w:marLeft w:val="0"/>
      <w:marRight w:val="0"/>
      <w:marTop w:val="0"/>
      <w:marBottom w:val="0"/>
      <w:divBdr>
        <w:top w:val="none" w:sz="0" w:space="0" w:color="auto"/>
        <w:left w:val="none" w:sz="0" w:space="0" w:color="auto"/>
        <w:bottom w:val="none" w:sz="0" w:space="0" w:color="auto"/>
        <w:right w:val="none" w:sz="0" w:space="0" w:color="auto"/>
      </w:divBdr>
    </w:div>
    <w:div w:id="1046830088">
      <w:bodyDiv w:val="1"/>
      <w:marLeft w:val="0"/>
      <w:marRight w:val="0"/>
      <w:marTop w:val="0"/>
      <w:marBottom w:val="0"/>
      <w:divBdr>
        <w:top w:val="none" w:sz="0" w:space="0" w:color="auto"/>
        <w:left w:val="none" w:sz="0" w:space="0" w:color="auto"/>
        <w:bottom w:val="none" w:sz="0" w:space="0" w:color="auto"/>
        <w:right w:val="none" w:sz="0" w:space="0" w:color="auto"/>
      </w:divBdr>
    </w:div>
    <w:div w:id="1054699631">
      <w:bodyDiv w:val="1"/>
      <w:marLeft w:val="0"/>
      <w:marRight w:val="0"/>
      <w:marTop w:val="0"/>
      <w:marBottom w:val="0"/>
      <w:divBdr>
        <w:top w:val="none" w:sz="0" w:space="0" w:color="auto"/>
        <w:left w:val="none" w:sz="0" w:space="0" w:color="auto"/>
        <w:bottom w:val="none" w:sz="0" w:space="0" w:color="auto"/>
        <w:right w:val="none" w:sz="0" w:space="0" w:color="auto"/>
      </w:divBdr>
    </w:div>
    <w:div w:id="1061900564">
      <w:bodyDiv w:val="1"/>
      <w:marLeft w:val="0"/>
      <w:marRight w:val="0"/>
      <w:marTop w:val="0"/>
      <w:marBottom w:val="0"/>
      <w:divBdr>
        <w:top w:val="none" w:sz="0" w:space="0" w:color="auto"/>
        <w:left w:val="none" w:sz="0" w:space="0" w:color="auto"/>
        <w:bottom w:val="none" w:sz="0" w:space="0" w:color="auto"/>
        <w:right w:val="none" w:sz="0" w:space="0" w:color="auto"/>
      </w:divBdr>
    </w:div>
    <w:div w:id="1065758411">
      <w:bodyDiv w:val="1"/>
      <w:marLeft w:val="0"/>
      <w:marRight w:val="0"/>
      <w:marTop w:val="0"/>
      <w:marBottom w:val="0"/>
      <w:divBdr>
        <w:top w:val="none" w:sz="0" w:space="0" w:color="auto"/>
        <w:left w:val="none" w:sz="0" w:space="0" w:color="auto"/>
        <w:bottom w:val="none" w:sz="0" w:space="0" w:color="auto"/>
        <w:right w:val="none" w:sz="0" w:space="0" w:color="auto"/>
      </w:divBdr>
    </w:div>
    <w:div w:id="1067459510">
      <w:bodyDiv w:val="1"/>
      <w:marLeft w:val="0"/>
      <w:marRight w:val="0"/>
      <w:marTop w:val="0"/>
      <w:marBottom w:val="0"/>
      <w:divBdr>
        <w:top w:val="none" w:sz="0" w:space="0" w:color="auto"/>
        <w:left w:val="none" w:sz="0" w:space="0" w:color="auto"/>
        <w:bottom w:val="none" w:sz="0" w:space="0" w:color="auto"/>
        <w:right w:val="none" w:sz="0" w:space="0" w:color="auto"/>
      </w:divBdr>
    </w:div>
    <w:div w:id="1070693207">
      <w:bodyDiv w:val="1"/>
      <w:marLeft w:val="0"/>
      <w:marRight w:val="0"/>
      <w:marTop w:val="0"/>
      <w:marBottom w:val="0"/>
      <w:divBdr>
        <w:top w:val="none" w:sz="0" w:space="0" w:color="auto"/>
        <w:left w:val="none" w:sz="0" w:space="0" w:color="auto"/>
        <w:bottom w:val="none" w:sz="0" w:space="0" w:color="auto"/>
        <w:right w:val="none" w:sz="0" w:space="0" w:color="auto"/>
      </w:divBdr>
    </w:div>
    <w:div w:id="1071541070">
      <w:marLeft w:val="0"/>
      <w:marRight w:val="0"/>
      <w:marTop w:val="0"/>
      <w:marBottom w:val="0"/>
      <w:divBdr>
        <w:top w:val="none" w:sz="0" w:space="0" w:color="auto"/>
        <w:left w:val="none" w:sz="0" w:space="0" w:color="auto"/>
        <w:bottom w:val="none" w:sz="0" w:space="0" w:color="auto"/>
        <w:right w:val="none" w:sz="0" w:space="0" w:color="auto"/>
      </w:divBdr>
      <w:divsChild>
        <w:div w:id="306280388">
          <w:marLeft w:val="0"/>
          <w:marRight w:val="0"/>
          <w:marTop w:val="0"/>
          <w:marBottom w:val="0"/>
          <w:divBdr>
            <w:top w:val="none" w:sz="0" w:space="0" w:color="auto"/>
            <w:left w:val="none" w:sz="0" w:space="0" w:color="auto"/>
            <w:bottom w:val="none" w:sz="0" w:space="0" w:color="auto"/>
            <w:right w:val="none" w:sz="0" w:space="0" w:color="auto"/>
          </w:divBdr>
          <w:divsChild>
            <w:div w:id="11452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7064">
      <w:bodyDiv w:val="1"/>
      <w:marLeft w:val="0"/>
      <w:marRight w:val="0"/>
      <w:marTop w:val="0"/>
      <w:marBottom w:val="0"/>
      <w:divBdr>
        <w:top w:val="none" w:sz="0" w:space="0" w:color="auto"/>
        <w:left w:val="none" w:sz="0" w:space="0" w:color="auto"/>
        <w:bottom w:val="none" w:sz="0" w:space="0" w:color="auto"/>
        <w:right w:val="none" w:sz="0" w:space="0" w:color="auto"/>
      </w:divBdr>
    </w:div>
    <w:div w:id="1079717916">
      <w:bodyDiv w:val="1"/>
      <w:marLeft w:val="0"/>
      <w:marRight w:val="0"/>
      <w:marTop w:val="0"/>
      <w:marBottom w:val="0"/>
      <w:divBdr>
        <w:top w:val="none" w:sz="0" w:space="0" w:color="auto"/>
        <w:left w:val="none" w:sz="0" w:space="0" w:color="auto"/>
        <w:bottom w:val="none" w:sz="0" w:space="0" w:color="auto"/>
        <w:right w:val="none" w:sz="0" w:space="0" w:color="auto"/>
      </w:divBdr>
    </w:div>
    <w:div w:id="1095395539">
      <w:bodyDiv w:val="1"/>
      <w:marLeft w:val="0"/>
      <w:marRight w:val="0"/>
      <w:marTop w:val="0"/>
      <w:marBottom w:val="0"/>
      <w:divBdr>
        <w:top w:val="none" w:sz="0" w:space="0" w:color="auto"/>
        <w:left w:val="none" w:sz="0" w:space="0" w:color="auto"/>
        <w:bottom w:val="none" w:sz="0" w:space="0" w:color="auto"/>
        <w:right w:val="none" w:sz="0" w:space="0" w:color="auto"/>
      </w:divBdr>
    </w:div>
    <w:div w:id="1098333579">
      <w:bodyDiv w:val="1"/>
      <w:marLeft w:val="0"/>
      <w:marRight w:val="0"/>
      <w:marTop w:val="0"/>
      <w:marBottom w:val="0"/>
      <w:divBdr>
        <w:top w:val="none" w:sz="0" w:space="0" w:color="auto"/>
        <w:left w:val="none" w:sz="0" w:space="0" w:color="auto"/>
        <w:bottom w:val="none" w:sz="0" w:space="0" w:color="auto"/>
        <w:right w:val="none" w:sz="0" w:space="0" w:color="auto"/>
      </w:divBdr>
    </w:div>
    <w:div w:id="1107114282">
      <w:bodyDiv w:val="1"/>
      <w:marLeft w:val="0"/>
      <w:marRight w:val="0"/>
      <w:marTop w:val="0"/>
      <w:marBottom w:val="0"/>
      <w:divBdr>
        <w:top w:val="none" w:sz="0" w:space="0" w:color="auto"/>
        <w:left w:val="none" w:sz="0" w:space="0" w:color="auto"/>
        <w:bottom w:val="none" w:sz="0" w:space="0" w:color="auto"/>
        <w:right w:val="none" w:sz="0" w:space="0" w:color="auto"/>
      </w:divBdr>
      <w:divsChild>
        <w:div w:id="823549837">
          <w:marLeft w:val="0"/>
          <w:marRight w:val="0"/>
          <w:marTop w:val="150"/>
          <w:marBottom w:val="0"/>
          <w:divBdr>
            <w:top w:val="none" w:sz="0" w:space="0" w:color="auto"/>
            <w:left w:val="none" w:sz="0" w:space="0" w:color="auto"/>
            <w:bottom w:val="none" w:sz="0" w:space="0" w:color="auto"/>
            <w:right w:val="none" w:sz="0" w:space="0" w:color="auto"/>
          </w:divBdr>
          <w:divsChild>
            <w:div w:id="1725449495">
              <w:marLeft w:val="0"/>
              <w:marRight w:val="0"/>
              <w:marTop w:val="0"/>
              <w:marBottom w:val="0"/>
              <w:divBdr>
                <w:top w:val="none" w:sz="0" w:space="0" w:color="auto"/>
                <w:left w:val="none" w:sz="0" w:space="0" w:color="auto"/>
                <w:bottom w:val="none" w:sz="0" w:space="0" w:color="auto"/>
                <w:right w:val="none" w:sz="0" w:space="0" w:color="auto"/>
              </w:divBdr>
              <w:divsChild>
                <w:div w:id="1743063854">
                  <w:marLeft w:val="0"/>
                  <w:marRight w:val="0"/>
                  <w:marTop w:val="0"/>
                  <w:marBottom w:val="0"/>
                  <w:divBdr>
                    <w:top w:val="single" w:sz="6" w:space="0" w:color="E3E1C8"/>
                    <w:left w:val="single" w:sz="6" w:space="0" w:color="E3E1C8"/>
                    <w:bottom w:val="single" w:sz="6" w:space="0" w:color="E3E1C8"/>
                    <w:right w:val="single" w:sz="6" w:space="0" w:color="E3E1C8"/>
                  </w:divBdr>
                  <w:divsChild>
                    <w:div w:id="701907278">
                      <w:marLeft w:val="0"/>
                      <w:marRight w:val="0"/>
                      <w:marTop w:val="0"/>
                      <w:marBottom w:val="0"/>
                      <w:divBdr>
                        <w:top w:val="single" w:sz="6" w:space="0" w:color="FFFFFF"/>
                        <w:left w:val="single" w:sz="6" w:space="0" w:color="FFFFFF"/>
                        <w:bottom w:val="single" w:sz="6" w:space="0" w:color="FFFFFF"/>
                        <w:right w:val="single" w:sz="6" w:space="0" w:color="FFFFFF"/>
                      </w:divBdr>
                      <w:divsChild>
                        <w:div w:id="1209300494">
                          <w:marLeft w:val="375"/>
                          <w:marRight w:val="375"/>
                          <w:marTop w:val="300"/>
                          <w:marBottom w:val="150"/>
                          <w:divBdr>
                            <w:top w:val="none" w:sz="0" w:space="0" w:color="auto"/>
                            <w:left w:val="none" w:sz="0" w:space="0" w:color="auto"/>
                            <w:bottom w:val="none" w:sz="0" w:space="0" w:color="auto"/>
                            <w:right w:val="none" w:sz="0" w:space="0" w:color="auto"/>
                          </w:divBdr>
                          <w:divsChild>
                            <w:div w:id="6137494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20436">
      <w:bodyDiv w:val="1"/>
      <w:marLeft w:val="0"/>
      <w:marRight w:val="0"/>
      <w:marTop w:val="0"/>
      <w:marBottom w:val="0"/>
      <w:divBdr>
        <w:top w:val="none" w:sz="0" w:space="0" w:color="auto"/>
        <w:left w:val="none" w:sz="0" w:space="0" w:color="auto"/>
        <w:bottom w:val="none" w:sz="0" w:space="0" w:color="auto"/>
        <w:right w:val="none" w:sz="0" w:space="0" w:color="auto"/>
      </w:divBdr>
      <w:divsChild>
        <w:div w:id="1900936">
          <w:marLeft w:val="0"/>
          <w:marRight w:val="0"/>
          <w:marTop w:val="150"/>
          <w:marBottom w:val="0"/>
          <w:divBdr>
            <w:top w:val="none" w:sz="0" w:space="0" w:color="auto"/>
            <w:left w:val="none" w:sz="0" w:space="0" w:color="auto"/>
            <w:bottom w:val="none" w:sz="0" w:space="0" w:color="auto"/>
            <w:right w:val="none" w:sz="0" w:space="0" w:color="auto"/>
          </w:divBdr>
          <w:divsChild>
            <w:div w:id="2088960437">
              <w:marLeft w:val="0"/>
              <w:marRight w:val="0"/>
              <w:marTop w:val="0"/>
              <w:marBottom w:val="0"/>
              <w:divBdr>
                <w:top w:val="none" w:sz="0" w:space="0" w:color="auto"/>
                <w:left w:val="none" w:sz="0" w:space="0" w:color="auto"/>
                <w:bottom w:val="none" w:sz="0" w:space="0" w:color="auto"/>
                <w:right w:val="none" w:sz="0" w:space="0" w:color="auto"/>
              </w:divBdr>
              <w:divsChild>
                <w:div w:id="239095346">
                  <w:marLeft w:val="0"/>
                  <w:marRight w:val="0"/>
                  <w:marTop w:val="0"/>
                  <w:marBottom w:val="0"/>
                  <w:divBdr>
                    <w:top w:val="single" w:sz="6" w:space="0" w:color="E3E1C8"/>
                    <w:left w:val="single" w:sz="6" w:space="0" w:color="E3E1C8"/>
                    <w:bottom w:val="single" w:sz="6" w:space="0" w:color="E3E1C8"/>
                    <w:right w:val="single" w:sz="6" w:space="0" w:color="E3E1C8"/>
                  </w:divBdr>
                  <w:divsChild>
                    <w:div w:id="1415668450">
                      <w:marLeft w:val="0"/>
                      <w:marRight w:val="0"/>
                      <w:marTop w:val="0"/>
                      <w:marBottom w:val="0"/>
                      <w:divBdr>
                        <w:top w:val="single" w:sz="6" w:space="0" w:color="FFFFFF"/>
                        <w:left w:val="single" w:sz="6" w:space="0" w:color="FFFFFF"/>
                        <w:bottom w:val="single" w:sz="6" w:space="0" w:color="FFFFFF"/>
                        <w:right w:val="single" w:sz="6" w:space="0" w:color="FFFFFF"/>
                      </w:divBdr>
                      <w:divsChild>
                        <w:div w:id="1994554646">
                          <w:marLeft w:val="375"/>
                          <w:marRight w:val="375"/>
                          <w:marTop w:val="300"/>
                          <w:marBottom w:val="150"/>
                          <w:divBdr>
                            <w:top w:val="none" w:sz="0" w:space="0" w:color="auto"/>
                            <w:left w:val="none" w:sz="0" w:space="0" w:color="auto"/>
                            <w:bottom w:val="none" w:sz="0" w:space="0" w:color="auto"/>
                            <w:right w:val="none" w:sz="0" w:space="0" w:color="auto"/>
                          </w:divBdr>
                          <w:divsChild>
                            <w:div w:id="2302384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532237">
      <w:bodyDiv w:val="1"/>
      <w:marLeft w:val="0"/>
      <w:marRight w:val="0"/>
      <w:marTop w:val="0"/>
      <w:marBottom w:val="0"/>
      <w:divBdr>
        <w:top w:val="none" w:sz="0" w:space="0" w:color="auto"/>
        <w:left w:val="none" w:sz="0" w:space="0" w:color="auto"/>
        <w:bottom w:val="none" w:sz="0" w:space="0" w:color="auto"/>
        <w:right w:val="none" w:sz="0" w:space="0" w:color="auto"/>
      </w:divBdr>
    </w:div>
    <w:div w:id="1139568826">
      <w:bodyDiv w:val="1"/>
      <w:marLeft w:val="0"/>
      <w:marRight w:val="0"/>
      <w:marTop w:val="0"/>
      <w:marBottom w:val="0"/>
      <w:divBdr>
        <w:top w:val="none" w:sz="0" w:space="0" w:color="auto"/>
        <w:left w:val="none" w:sz="0" w:space="0" w:color="auto"/>
        <w:bottom w:val="none" w:sz="0" w:space="0" w:color="auto"/>
        <w:right w:val="none" w:sz="0" w:space="0" w:color="auto"/>
      </w:divBdr>
    </w:div>
    <w:div w:id="1141312628">
      <w:bodyDiv w:val="1"/>
      <w:marLeft w:val="0"/>
      <w:marRight w:val="0"/>
      <w:marTop w:val="0"/>
      <w:marBottom w:val="0"/>
      <w:divBdr>
        <w:top w:val="none" w:sz="0" w:space="0" w:color="auto"/>
        <w:left w:val="none" w:sz="0" w:space="0" w:color="auto"/>
        <w:bottom w:val="none" w:sz="0" w:space="0" w:color="auto"/>
        <w:right w:val="none" w:sz="0" w:space="0" w:color="auto"/>
      </w:divBdr>
    </w:div>
    <w:div w:id="1145198623">
      <w:bodyDiv w:val="1"/>
      <w:marLeft w:val="0"/>
      <w:marRight w:val="0"/>
      <w:marTop w:val="0"/>
      <w:marBottom w:val="0"/>
      <w:divBdr>
        <w:top w:val="none" w:sz="0" w:space="0" w:color="auto"/>
        <w:left w:val="none" w:sz="0" w:space="0" w:color="auto"/>
        <w:bottom w:val="none" w:sz="0" w:space="0" w:color="auto"/>
        <w:right w:val="none" w:sz="0" w:space="0" w:color="auto"/>
      </w:divBdr>
    </w:div>
    <w:div w:id="1146976433">
      <w:bodyDiv w:val="1"/>
      <w:marLeft w:val="0"/>
      <w:marRight w:val="0"/>
      <w:marTop w:val="0"/>
      <w:marBottom w:val="0"/>
      <w:divBdr>
        <w:top w:val="none" w:sz="0" w:space="0" w:color="auto"/>
        <w:left w:val="none" w:sz="0" w:space="0" w:color="auto"/>
        <w:bottom w:val="none" w:sz="0" w:space="0" w:color="auto"/>
        <w:right w:val="none" w:sz="0" w:space="0" w:color="auto"/>
      </w:divBdr>
    </w:div>
    <w:div w:id="1151018248">
      <w:bodyDiv w:val="1"/>
      <w:marLeft w:val="0"/>
      <w:marRight w:val="0"/>
      <w:marTop w:val="0"/>
      <w:marBottom w:val="0"/>
      <w:divBdr>
        <w:top w:val="none" w:sz="0" w:space="0" w:color="auto"/>
        <w:left w:val="none" w:sz="0" w:space="0" w:color="auto"/>
        <w:bottom w:val="none" w:sz="0" w:space="0" w:color="auto"/>
        <w:right w:val="none" w:sz="0" w:space="0" w:color="auto"/>
      </w:divBdr>
    </w:div>
    <w:div w:id="1152406449">
      <w:bodyDiv w:val="1"/>
      <w:marLeft w:val="0"/>
      <w:marRight w:val="0"/>
      <w:marTop w:val="0"/>
      <w:marBottom w:val="0"/>
      <w:divBdr>
        <w:top w:val="none" w:sz="0" w:space="0" w:color="auto"/>
        <w:left w:val="none" w:sz="0" w:space="0" w:color="auto"/>
        <w:bottom w:val="none" w:sz="0" w:space="0" w:color="auto"/>
        <w:right w:val="none" w:sz="0" w:space="0" w:color="auto"/>
      </w:divBdr>
    </w:div>
    <w:div w:id="1165197098">
      <w:bodyDiv w:val="1"/>
      <w:marLeft w:val="0"/>
      <w:marRight w:val="0"/>
      <w:marTop w:val="0"/>
      <w:marBottom w:val="0"/>
      <w:divBdr>
        <w:top w:val="none" w:sz="0" w:space="0" w:color="auto"/>
        <w:left w:val="none" w:sz="0" w:space="0" w:color="auto"/>
        <w:bottom w:val="none" w:sz="0" w:space="0" w:color="auto"/>
        <w:right w:val="none" w:sz="0" w:space="0" w:color="auto"/>
      </w:divBdr>
      <w:divsChild>
        <w:div w:id="1876964464">
          <w:marLeft w:val="0"/>
          <w:marRight w:val="0"/>
          <w:marTop w:val="150"/>
          <w:marBottom w:val="0"/>
          <w:divBdr>
            <w:top w:val="none" w:sz="0" w:space="0" w:color="auto"/>
            <w:left w:val="none" w:sz="0" w:space="0" w:color="auto"/>
            <w:bottom w:val="none" w:sz="0" w:space="0" w:color="auto"/>
            <w:right w:val="none" w:sz="0" w:space="0" w:color="auto"/>
          </w:divBdr>
          <w:divsChild>
            <w:div w:id="1206915953">
              <w:marLeft w:val="0"/>
              <w:marRight w:val="0"/>
              <w:marTop w:val="0"/>
              <w:marBottom w:val="0"/>
              <w:divBdr>
                <w:top w:val="none" w:sz="0" w:space="0" w:color="auto"/>
                <w:left w:val="none" w:sz="0" w:space="0" w:color="auto"/>
                <w:bottom w:val="none" w:sz="0" w:space="0" w:color="auto"/>
                <w:right w:val="none" w:sz="0" w:space="0" w:color="auto"/>
              </w:divBdr>
              <w:divsChild>
                <w:div w:id="252979255">
                  <w:marLeft w:val="0"/>
                  <w:marRight w:val="0"/>
                  <w:marTop w:val="0"/>
                  <w:marBottom w:val="0"/>
                  <w:divBdr>
                    <w:top w:val="single" w:sz="6" w:space="0" w:color="E3E1C8"/>
                    <w:left w:val="single" w:sz="6" w:space="0" w:color="E3E1C8"/>
                    <w:bottom w:val="single" w:sz="6" w:space="0" w:color="E3E1C8"/>
                    <w:right w:val="single" w:sz="6" w:space="0" w:color="E3E1C8"/>
                  </w:divBdr>
                  <w:divsChild>
                    <w:div w:id="1727684408">
                      <w:marLeft w:val="0"/>
                      <w:marRight w:val="0"/>
                      <w:marTop w:val="0"/>
                      <w:marBottom w:val="0"/>
                      <w:divBdr>
                        <w:top w:val="single" w:sz="6" w:space="0" w:color="FFFFFF"/>
                        <w:left w:val="single" w:sz="6" w:space="0" w:color="FFFFFF"/>
                        <w:bottom w:val="single" w:sz="6" w:space="0" w:color="FFFFFF"/>
                        <w:right w:val="single" w:sz="6" w:space="0" w:color="FFFFFF"/>
                      </w:divBdr>
                      <w:divsChild>
                        <w:div w:id="1951667634">
                          <w:marLeft w:val="375"/>
                          <w:marRight w:val="375"/>
                          <w:marTop w:val="300"/>
                          <w:marBottom w:val="150"/>
                          <w:divBdr>
                            <w:top w:val="none" w:sz="0" w:space="0" w:color="auto"/>
                            <w:left w:val="none" w:sz="0" w:space="0" w:color="auto"/>
                            <w:bottom w:val="none" w:sz="0" w:space="0" w:color="auto"/>
                            <w:right w:val="none" w:sz="0" w:space="0" w:color="auto"/>
                          </w:divBdr>
                          <w:divsChild>
                            <w:div w:id="18539577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706855">
      <w:bodyDiv w:val="1"/>
      <w:marLeft w:val="0"/>
      <w:marRight w:val="0"/>
      <w:marTop w:val="0"/>
      <w:marBottom w:val="0"/>
      <w:divBdr>
        <w:top w:val="none" w:sz="0" w:space="0" w:color="auto"/>
        <w:left w:val="none" w:sz="0" w:space="0" w:color="auto"/>
        <w:bottom w:val="none" w:sz="0" w:space="0" w:color="auto"/>
        <w:right w:val="none" w:sz="0" w:space="0" w:color="auto"/>
      </w:divBdr>
    </w:div>
    <w:div w:id="1166090576">
      <w:bodyDiv w:val="1"/>
      <w:marLeft w:val="0"/>
      <w:marRight w:val="0"/>
      <w:marTop w:val="0"/>
      <w:marBottom w:val="0"/>
      <w:divBdr>
        <w:top w:val="none" w:sz="0" w:space="0" w:color="auto"/>
        <w:left w:val="none" w:sz="0" w:space="0" w:color="auto"/>
        <w:bottom w:val="none" w:sz="0" w:space="0" w:color="auto"/>
        <w:right w:val="none" w:sz="0" w:space="0" w:color="auto"/>
      </w:divBdr>
    </w:div>
    <w:div w:id="1168473009">
      <w:bodyDiv w:val="1"/>
      <w:marLeft w:val="0"/>
      <w:marRight w:val="0"/>
      <w:marTop w:val="0"/>
      <w:marBottom w:val="0"/>
      <w:divBdr>
        <w:top w:val="none" w:sz="0" w:space="0" w:color="auto"/>
        <w:left w:val="none" w:sz="0" w:space="0" w:color="auto"/>
        <w:bottom w:val="none" w:sz="0" w:space="0" w:color="auto"/>
        <w:right w:val="none" w:sz="0" w:space="0" w:color="auto"/>
      </w:divBdr>
    </w:div>
    <w:div w:id="1180510078">
      <w:marLeft w:val="0"/>
      <w:marRight w:val="0"/>
      <w:marTop w:val="0"/>
      <w:marBottom w:val="0"/>
      <w:divBdr>
        <w:top w:val="none" w:sz="0" w:space="0" w:color="auto"/>
        <w:left w:val="none" w:sz="0" w:space="0" w:color="auto"/>
        <w:bottom w:val="none" w:sz="0" w:space="0" w:color="auto"/>
        <w:right w:val="none" w:sz="0" w:space="0" w:color="auto"/>
      </w:divBdr>
      <w:divsChild>
        <w:div w:id="1172141236">
          <w:marLeft w:val="0"/>
          <w:marRight w:val="0"/>
          <w:marTop w:val="0"/>
          <w:marBottom w:val="0"/>
          <w:divBdr>
            <w:top w:val="none" w:sz="0" w:space="0" w:color="auto"/>
            <w:left w:val="none" w:sz="0" w:space="0" w:color="auto"/>
            <w:bottom w:val="none" w:sz="0" w:space="0" w:color="auto"/>
            <w:right w:val="none" w:sz="0" w:space="0" w:color="auto"/>
          </w:divBdr>
          <w:divsChild>
            <w:div w:id="1589576689">
              <w:marLeft w:val="0"/>
              <w:marRight w:val="0"/>
              <w:marTop w:val="0"/>
              <w:marBottom w:val="0"/>
              <w:divBdr>
                <w:top w:val="none" w:sz="0" w:space="0" w:color="auto"/>
                <w:left w:val="none" w:sz="0" w:space="0" w:color="auto"/>
                <w:bottom w:val="none" w:sz="0" w:space="0" w:color="auto"/>
                <w:right w:val="none" w:sz="0" w:space="0" w:color="auto"/>
              </w:divBdr>
              <w:divsChild>
                <w:div w:id="1152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202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186552866">
      <w:bodyDiv w:val="1"/>
      <w:marLeft w:val="0"/>
      <w:marRight w:val="0"/>
      <w:marTop w:val="0"/>
      <w:marBottom w:val="0"/>
      <w:divBdr>
        <w:top w:val="none" w:sz="0" w:space="0" w:color="auto"/>
        <w:left w:val="none" w:sz="0" w:space="0" w:color="auto"/>
        <w:bottom w:val="none" w:sz="0" w:space="0" w:color="auto"/>
        <w:right w:val="none" w:sz="0" w:space="0" w:color="auto"/>
      </w:divBdr>
    </w:div>
    <w:div w:id="1187594654">
      <w:bodyDiv w:val="1"/>
      <w:marLeft w:val="0"/>
      <w:marRight w:val="0"/>
      <w:marTop w:val="0"/>
      <w:marBottom w:val="0"/>
      <w:divBdr>
        <w:top w:val="none" w:sz="0" w:space="0" w:color="auto"/>
        <w:left w:val="none" w:sz="0" w:space="0" w:color="auto"/>
        <w:bottom w:val="none" w:sz="0" w:space="0" w:color="auto"/>
        <w:right w:val="none" w:sz="0" w:space="0" w:color="auto"/>
      </w:divBdr>
    </w:div>
    <w:div w:id="1200433969">
      <w:bodyDiv w:val="1"/>
      <w:marLeft w:val="0"/>
      <w:marRight w:val="0"/>
      <w:marTop w:val="0"/>
      <w:marBottom w:val="0"/>
      <w:divBdr>
        <w:top w:val="none" w:sz="0" w:space="0" w:color="auto"/>
        <w:left w:val="none" w:sz="0" w:space="0" w:color="auto"/>
        <w:bottom w:val="none" w:sz="0" w:space="0" w:color="auto"/>
        <w:right w:val="none" w:sz="0" w:space="0" w:color="auto"/>
      </w:divBdr>
    </w:div>
    <w:div w:id="1205944439">
      <w:bodyDiv w:val="1"/>
      <w:marLeft w:val="0"/>
      <w:marRight w:val="0"/>
      <w:marTop w:val="0"/>
      <w:marBottom w:val="0"/>
      <w:divBdr>
        <w:top w:val="none" w:sz="0" w:space="0" w:color="auto"/>
        <w:left w:val="none" w:sz="0" w:space="0" w:color="auto"/>
        <w:bottom w:val="none" w:sz="0" w:space="0" w:color="auto"/>
        <w:right w:val="none" w:sz="0" w:space="0" w:color="auto"/>
      </w:divBdr>
    </w:div>
    <w:div w:id="1215003853">
      <w:bodyDiv w:val="1"/>
      <w:marLeft w:val="0"/>
      <w:marRight w:val="0"/>
      <w:marTop w:val="0"/>
      <w:marBottom w:val="0"/>
      <w:divBdr>
        <w:top w:val="none" w:sz="0" w:space="0" w:color="auto"/>
        <w:left w:val="none" w:sz="0" w:space="0" w:color="auto"/>
        <w:bottom w:val="none" w:sz="0" w:space="0" w:color="auto"/>
        <w:right w:val="none" w:sz="0" w:space="0" w:color="auto"/>
      </w:divBdr>
    </w:div>
    <w:div w:id="1218661456">
      <w:bodyDiv w:val="1"/>
      <w:marLeft w:val="0"/>
      <w:marRight w:val="0"/>
      <w:marTop w:val="0"/>
      <w:marBottom w:val="0"/>
      <w:divBdr>
        <w:top w:val="none" w:sz="0" w:space="0" w:color="auto"/>
        <w:left w:val="none" w:sz="0" w:space="0" w:color="auto"/>
        <w:bottom w:val="none" w:sz="0" w:space="0" w:color="auto"/>
        <w:right w:val="none" w:sz="0" w:space="0" w:color="auto"/>
      </w:divBdr>
    </w:div>
    <w:div w:id="1222247897">
      <w:bodyDiv w:val="1"/>
      <w:marLeft w:val="0"/>
      <w:marRight w:val="0"/>
      <w:marTop w:val="0"/>
      <w:marBottom w:val="0"/>
      <w:divBdr>
        <w:top w:val="none" w:sz="0" w:space="0" w:color="auto"/>
        <w:left w:val="none" w:sz="0" w:space="0" w:color="auto"/>
        <w:bottom w:val="none" w:sz="0" w:space="0" w:color="auto"/>
        <w:right w:val="none" w:sz="0" w:space="0" w:color="auto"/>
      </w:divBdr>
    </w:div>
    <w:div w:id="1227833639">
      <w:bodyDiv w:val="1"/>
      <w:marLeft w:val="0"/>
      <w:marRight w:val="0"/>
      <w:marTop w:val="0"/>
      <w:marBottom w:val="0"/>
      <w:divBdr>
        <w:top w:val="none" w:sz="0" w:space="0" w:color="auto"/>
        <w:left w:val="none" w:sz="0" w:space="0" w:color="auto"/>
        <w:bottom w:val="none" w:sz="0" w:space="0" w:color="auto"/>
        <w:right w:val="none" w:sz="0" w:space="0" w:color="auto"/>
      </w:divBdr>
    </w:div>
    <w:div w:id="1229997100">
      <w:bodyDiv w:val="1"/>
      <w:marLeft w:val="0"/>
      <w:marRight w:val="0"/>
      <w:marTop w:val="0"/>
      <w:marBottom w:val="0"/>
      <w:divBdr>
        <w:top w:val="none" w:sz="0" w:space="0" w:color="auto"/>
        <w:left w:val="none" w:sz="0" w:space="0" w:color="auto"/>
        <w:bottom w:val="none" w:sz="0" w:space="0" w:color="auto"/>
        <w:right w:val="none" w:sz="0" w:space="0" w:color="auto"/>
      </w:divBdr>
    </w:div>
    <w:div w:id="1230384763">
      <w:bodyDiv w:val="1"/>
      <w:marLeft w:val="0"/>
      <w:marRight w:val="0"/>
      <w:marTop w:val="0"/>
      <w:marBottom w:val="0"/>
      <w:divBdr>
        <w:top w:val="none" w:sz="0" w:space="0" w:color="auto"/>
        <w:left w:val="none" w:sz="0" w:space="0" w:color="auto"/>
        <w:bottom w:val="none" w:sz="0" w:space="0" w:color="auto"/>
        <w:right w:val="none" w:sz="0" w:space="0" w:color="auto"/>
      </w:divBdr>
    </w:div>
    <w:div w:id="1230919505">
      <w:bodyDiv w:val="1"/>
      <w:marLeft w:val="0"/>
      <w:marRight w:val="0"/>
      <w:marTop w:val="0"/>
      <w:marBottom w:val="0"/>
      <w:divBdr>
        <w:top w:val="none" w:sz="0" w:space="0" w:color="auto"/>
        <w:left w:val="none" w:sz="0" w:space="0" w:color="auto"/>
        <w:bottom w:val="none" w:sz="0" w:space="0" w:color="auto"/>
        <w:right w:val="none" w:sz="0" w:space="0" w:color="auto"/>
      </w:divBdr>
    </w:div>
    <w:div w:id="1231580531">
      <w:bodyDiv w:val="1"/>
      <w:marLeft w:val="0"/>
      <w:marRight w:val="0"/>
      <w:marTop w:val="0"/>
      <w:marBottom w:val="0"/>
      <w:divBdr>
        <w:top w:val="none" w:sz="0" w:space="0" w:color="auto"/>
        <w:left w:val="none" w:sz="0" w:space="0" w:color="auto"/>
        <w:bottom w:val="none" w:sz="0" w:space="0" w:color="auto"/>
        <w:right w:val="none" w:sz="0" w:space="0" w:color="auto"/>
      </w:divBdr>
    </w:div>
    <w:div w:id="1231845114">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7741104">
      <w:bodyDiv w:val="1"/>
      <w:marLeft w:val="0"/>
      <w:marRight w:val="0"/>
      <w:marTop w:val="0"/>
      <w:marBottom w:val="0"/>
      <w:divBdr>
        <w:top w:val="none" w:sz="0" w:space="0" w:color="auto"/>
        <w:left w:val="none" w:sz="0" w:space="0" w:color="auto"/>
        <w:bottom w:val="none" w:sz="0" w:space="0" w:color="auto"/>
        <w:right w:val="none" w:sz="0" w:space="0" w:color="auto"/>
      </w:divBdr>
    </w:div>
    <w:div w:id="1249532880">
      <w:bodyDiv w:val="1"/>
      <w:marLeft w:val="0"/>
      <w:marRight w:val="0"/>
      <w:marTop w:val="0"/>
      <w:marBottom w:val="0"/>
      <w:divBdr>
        <w:top w:val="none" w:sz="0" w:space="0" w:color="auto"/>
        <w:left w:val="none" w:sz="0" w:space="0" w:color="auto"/>
        <w:bottom w:val="none" w:sz="0" w:space="0" w:color="auto"/>
        <w:right w:val="none" w:sz="0" w:space="0" w:color="auto"/>
      </w:divBdr>
    </w:div>
    <w:div w:id="1250504735">
      <w:bodyDiv w:val="1"/>
      <w:marLeft w:val="0"/>
      <w:marRight w:val="0"/>
      <w:marTop w:val="0"/>
      <w:marBottom w:val="0"/>
      <w:divBdr>
        <w:top w:val="none" w:sz="0" w:space="0" w:color="auto"/>
        <w:left w:val="none" w:sz="0" w:space="0" w:color="auto"/>
        <w:bottom w:val="none" w:sz="0" w:space="0" w:color="auto"/>
        <w:right w:val="none" w:sz="0" w:space="0" w:color="auto"/>
      </w:divBdr>
    </w:div>
    <w:div w:id="1251088510">
      <w:bodyDiv w:val="1"/>
      <w:marLeft w:val="0"/>
      <w:marRight w:val="0"/>
      <w:marTop w:val="0"/>
      <w:marBottom w:val="0"/>
      <w:divBdr>
        <w:top w:val="none" w:sz="0" w:space="0" w:color="auto"/>
        <w:left w:val="none" w:sz="0" w:space="0" w:color="auto"/>
        <w:bottom w:val="none" w:sz="0" w:space="0" w:color="auto"/>
        <w:right w:val="none" w:sz="0" w:space="0" w:color="auto"/>
      </w:divBdr>
    </w:div>
    <w:div w:id="1255481835">
      <w:bodyDiv w:val="1"/>
      <w:marLeft w:val="0"/>
      <w:marRight w:val="0"/>
      <w:marTop w:val="0"/>
      <w:marBottom w:val="0"/>
      <w:divBdr>
        <w:top w:val="none" w:sz="0" w:space="0" w:color="auto"/>
        <w:left w:val="none" w:sz="0" w:space="0" w:color="auto"/>
        <w:bottom w:val="none" w:sz="0" w:space="0" w:color="auto"/>
        <w:right w:val="none" w:sz="0" w:space="0" w:color="auto"/>
      </w:divBdr>
    </w:div>
    <w:div w:id="1257012634">
      <w:bodyDiv w:val="1"/>
      <w:marLeft w:val="0"/>
      <w:marRight w:val="0"/>
      <w:marTop w:val="0"/>
      <w:marBottom w:val="0"/>
      <w:divBdr>
        <w:top w:val="none" w:sz="0" w:space="0" w:color="auto"/>
        <w:left w:val="none" w:sz="0" w:space="0" w:color="auto"/>
        <w:bottom w:val="none" w:sz="0" w:space="0" w:color="auto"/>
        <w:right w:val="none" w:sz="0" w:space="0" w:color="auto"/>
      </w:divBdr>
    </w:div>
    <w:div w:id="1264193997">
      <w:bodyDiv w:val="1"/>
      <w:marLeft w:val="0"/>
      <w:marRight w:val="0"/>
      <w:marTop w:val="0"/>
      <w:marBottom w:val="0"/>
      <w:divBdr>
        <w:top w:val="none" w:sz="0" w:space="0" w:color="auto"/>
        <w:left w:val="none" w:sz="0" w:space="0" w:color="auto"/>
        <w:bottom w:val="none" w:sz="0" w:space="0" w:color="auto"/>
        <w:right w:val="none" w:sz="0" w:space="0" w:color="auto"/>
      </w:divBdr>
    </w:div>
    <w:div w:id="1267887693">
      <w:bodyDiv w:val="1"/>
      <w:marLeft w:val="0"/>
      <w:marRight w:val="0"/>
      <w:marTop w:val="0"/>
      <w:marBottom w:val="0"/>
      <w:divBdr>
        <w:top w:val="none" w:sz="0" w:space="0" w:color="auto"/>
        <w:left w:val="none" w:sz="0" w:space="0" w:color="auto"/>
        <w:bottom w:val="none" w:sz="0" w:space="0" w:color="auto"/>
        <w:right w:val="none" w:sz="0" w:space="0" w:color="auto"/>
      </w:divBdr>
    </w:div>
    <w:div w:id="1269508021">
      <w:bodyDiv w:val="1"/>
      <w:marLeft w:val="0"/>
      <w:marRight w:val="0"/>
      <w:marTop w:val="0"/>
      <w:marBottom w:val="0"/>
      <w:divBdr>
        <w:top w:val="none" w:sz="0" w:space="0" w:color="auto"/>
        <w:left w:val="none" w:sz="0" w:space="0" w:color="auto"/>
        <w:bottom w:val="none" w:sz="0" w:space="0" w:color="auto"/>
        <w:right w:val="none" w:sz="0" w:space="0" w:color="auto"/>
      </w:divBdr>
    </w:div>
    <w:div w:id="1270117992">
      <w:bodyDiv w:val="1"/>
      <w:marLeft w:val="0"/>
      <w:marRight w:val="0"/>
      <w:marTop w:val="0"/>
      <w:marBottom w:val="0"/>
      <w:divBdr>
        <w:top w:val="none" w:sz="0" w:space="0" w:color="auto"/>
        <w:left w:val="none" w:sz="0" w:space="0" w:color="auto"/>
        <w:bottom w:val="none" w:sz="0" w:space="0" w:color="auto"/>
        <w:right w:val="none" w:sz="0" w:space="0" w:color="auto"/>
      </w:divBdr>
    </w:div>
    <w:div w:id="1270888729">
      <w:bodyDiv w:val="1"/>
      <w:marLeft w:val="120"/>
      <w:marRight w:val="120"/>
      <w:marTop w:val="0"/>
      <w:marBottom w:val="0"/>
      <w:divBdr>
        <w:top w:val="none" w:sz="0" w:space="0" w:color="auto"/>
        <w:left w:val="none" w:sz="0" w:space="0" w:color="auto"/>
        <w:bottom w:val="none" w:sz="0" w:space="0" w:color="auto"/>
        <w:right w:val="none" w:sz="0" w:space="0" w:color="auto"/>
      </w:divBdr>
      <w:divsChild>
        <w:div w:id="1873423695">
          <w:marLeft w:val="0"/>
          <w:marRight w:val="0"/>
          <w:marTop w:val="0"/>
          <w:marBottom w:val="0"/>
          <w:divBdr>
            <w:top w:val="none" w:sz="0" w:space="0" w:color="auto"/>
            <w:left w:val="none" w:sz="0" w:space="0" w:color="auto"/>
            <w:bottom w:val="none" w:sz="0" w:space="0" w:color="auto"/>
            <w:right w:val="none" w:sz="0" w:space="0" w:color="auto"/>
          </w:divBdr>
          <w:divsChild>
            <w:div w:id="3771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9079">
      <w:bodyDiv w:val="1"/>
      <w:marLeft w:val="0"/>
      <w:marRight w:val="0"/>
      <w:marTop w:val="0"/>
      <w:marBottom w:val="0"/>
      <w:divBdr>
        <w:top w:val="none" w:sz="0" w:space="0" w:color="auto"/>
        <w:left w:val="none" w:sz="0" w:space="0" w:color="auto"/>
        <w:bottom w:val="none" w:sz="0" w:space="0" w:color="auto"/>
        <w:right w:val="none" w:sz="0" w:space="0" w:color="auto"/>
      </w:divBdr>
    </w:div>
    <w:div w:id="1271281700">
      <w:bodyDiv w:val="1"/>
      <w:marLeft w:val="0"/>
      <w:marRight w:val="0"/>
      <w:marTop w:val="0"/>
      <w:marBottom w:val="0"/>
      <w:divBdr>
        <w:top w:val="none" w:sz="0" w:space="0" w:color="auto"/>
        <w:left w:val="none" w:sz="0" w:space="0" w:color="auto"/>
        <w:bottom w:val="none" w:sz="0" w:space="0" w:color="auto"/>
        <w:right w:val="none" w:sz="0" w:space="0" w:color="auto"/>
      </w:divBdr>
    </w:div>
    <w:div w:id="1271664533">
      <w:bodyDiv w:val="1"/>
      <w:marLeft w:val="0"/>
      <w:marRight w:val="0"/>
      <w:marTop w:val="0"/>
      <w:marBottom w:val="0"/>
      <w:divBdr>
        <w:top w:val="none" w:sz="0" w:space="0" w:color="auto"/>
        <w:left w:val="none" w:sz="0" w:space="0" w:color="auto"/>
        <w:bottom w:val="none" w:sz="0" w:space="0" w:color="auto"/>
        <w:right w:val="none" w:sz="0" w:space="0" w:color="auto"/>
      </w:divBdr>
    </w:div>
    <w:div w:id="1275674668">
      <w:bodyDiv w:val="1"/>
      <w:marLeft w:val="0"/>
      <w:marRight w:val="0"/>
      <w:marTop w:val="0"/>
      <w:marBottom w:val="0"/>
      <w:divBdr>
        <w:top w:val="none" w:sz="0" w:space="0" w:color="auto"/>
        <w:left w:val="none" w:sz="0" w:space="0" w:color="auto"/>
        <w:bottom w:val="none" w:sz="0" w:space="0" w:color="auto"/>
        <w:right w:val="none" w:sz="0" w:space="0" w:color="auto"/>
      </w:divBdr>
    </w:div>
    <w:div w:id="1290434300">
      <w:bodyDiv w:val="1"/>
      <w:marLeft w:val="0"/>
      <w:marRight w:val="0"/>
      <w:marTop w:val="0"/>
      <w:marBottom w:val="0"/>
      <w:divBdr>
        <w:top w:val="none" w:sz="0" w:space="0" w:color="auto"/>
        <w:left w:val="none" w:sz="0" w:space="0" w:color="auto"/>
        <w:bottom w:val="none" w:sz="0" w:space="0" w:color="auto"/>
        <w:right w:val="none" w:sz="0" w:space="0" w:color="auto"/>
      </w:divBdr>
    </w:div>
    <w:div w:id="1293831873">
      <w:bodyDiv w:val="1"/>
      <w:marLeft w:val="0"/>
      <w:marRight w:val="0"/>
      <w:marTop w:val="0"/>
      <w:marBottom w:val="0"/>
      <w:divBdr>
        <w:top w:val="none" w:sz="0" w:space="0" w:color="auto"/>
        <w:left w:val="none" w:sz="0" w:space="0" w:color="auto"/>
        <w:bottom w:val="none" w:sz="0" w:space="0" w:color="auto"/>
        <w:right w:val="none" w:sz="0" w:space="0" w:color="auto"/>
      </w:divBdr>
    </w:div>
    <w:div w:id="1297176944">
      <w:bodyDiv w:val="1"/>
      <w:marLeft w:val="0"/>
      <w:marRight w:val="0"/>
      <w:marTop w:val="0"/>
      <w:marBottom w:val="0"/>
      <w:divBdr>
        <w:top w:val="none" w:sz="0" w:space="0" w:color="auto"/>
        <w:left w:val="none" w:sz="0" w:space="0" w:color="auto"/>
        <w:bottom w:val="none" w:sz="0" w:space="0" w:color="auto"/>
        <w:right w:val="none" w:sz="0" w:space="0" w:color="auto"/>
      </w:divBdr>
    </w:div>
    <w:div w:id="1299644728">
      <w:bodyDiv w:val="1"/>
      <w:marLeft w:val="0"/>
      <w:marRight w:val="0"/>
      <w:marTop w:val="0"/>
      <w:marBottom w:val="0"/>
      <w:divBdr>
        <w:top w:val="none" w:sz="0" w:space="0" w:color="auto"/>
        <w:left w:val="none" w:sz="0" w:space="0" w:color="auto"/>
        <w:bottom w:val="none" w:sz="0" w:space="0" w:color="auto"/>
        <w:right w:val="none" w:sz="0" w:space="0" w:color="auto"/>
      </w:divBdr>
    </w:div>
    <w:div w:id="1301308785">
      <w:bodyDiv w:val="1"/>
      <w:marLeft w:val="0"/>
      <w:marRight w:val="0"/>
      <w:marTop w:val="0"/>
      <w:marBottom w:val="0"/>
      <w:divBdr>
        <w:top w:val="none" w:sz="0" w:space="0" w:color="auto"/>
        <w:left w:val="none" w:sz="0" w:space="0" w:color="auto"/>
        <w:bottom w:val="none" w:sz="0" w:space="0" w:color="auto"/>
        <w:right w:val="none" w:sz="0" w:space="0" w:color="auto"/>
      </w:divBdr>
    </w:div>
    <w:div w:id="1306423400">
      <w:bodyDiv w:val="1"/>
      <w:marLeft w:val="120"/>
      <w:marRight w:val="120"/>
      <w:marTop w:val="0"/>
      <w:marBottom w:val="0"/>
      <w:divBdr>
        <w:top w:val="none" w:sz="0" w:space="0" w:color="auto"/>
        <w:left w:val="none" w:sz="0" w:space="0" w:color="auto"/>
        <w:bottom w:val="none" w:sz="0" w:space="0" w:color="auto"/>
        <w:right w:val="none" w:sz="0" w:space="0" w:color="auto"/>
      </w:divBdr>
      <w:divsChild>
        <w:div w:id="1557937398">
          <w:marLeft w:val="0"/>
          <w:marRight w:val="0"/>
          <w:marTop w:val="0"/>
          <w:marBottom w:val="0"/>
          <w:divBdr>
            <w:top w:val="none" w:sz="0" w:space="0" w:color="auto"/>
            <w:left w:val="none" w:sz="0" w:space="0" w:color="auto"/>
            <w:bottom w:val="none" w:sz="0" w:space="0" w:color="auto"/>
            <w:right w:val="none" w:sz="0" w:space="0" w:color="auto"/>
          </w:divBdr>
          <w:divsChild>
            <w:div w:id="2004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7523">
      <w:marLeft w:val="0"/>
      <w:marRight w:val="0"/>
      <w:marTop w:val="0"/>
      <w:marBottom w:val="0"/>
      <w:divBdr>
        <w:top w:val="none" w:sz="0" w:space="0" w:color="auto"/>
        <w:left w:val="none" w:sz="0" w:space="0" w:color="auto"/>
        <w:bottom w:val="none" w:sz="0" w:space="0" w:color="auto"/>
        <w:right w:val="none" w:sz="0" w:space="0" w:color="auto"/>
      </w:divBdr>
      <w:divsChild>
        <w:div w:id="976304467">
          <w:marLeft w:val="0"/>
          <w:marRight w:val="0"/>
          <w:marTop w:val="0"/>
          <w:marBottom w:val="0"/>
          <w:divBdr>
            <w:top w:val="none" w:sz="0" w:space="0" w:color="auto"/>
            <w:left w:val="none" w:sz="0" w:space="0" w:color="auto"/>
            <w:bottom w:val="none" w:sz="0" w:space="0" w:color="auto"/>
            <w:right w:val="none" w:sz="0" w:space="0" w:color="auto"/>
          </w:divBdr>
        </w:div>
      </w:divsChild>
    </w:div>
    <w:div w:id="1314679102">
      <w:bodyDiv w:val="1"/>
      <w:marLeft w:val="0"/>
      <w:marRight w:val="0"/>
      <w:marTop w:val="0"/>
      <w:marBottom w:val="0"/>
      <w:divBdr>
        <w:top w:val="none" w:sz="0" w:space="0" w:color="auto"/>
        <w:left w:val="none" w:sz="0" w:space="0" w:color="auto"/>
        <w:bottom w:val="none" w:sz="0" w:space="0" w:color="auto"/>
        <w:right w:val="none" w:sz="0" w:space="0" w:color="auto"/>
      </w:divBdr>
    </w:div>
    <w:div w:id="1328291434">
      <w:bodyDiv w:val="1"/>
      <w:marLeft w:val="0"/>
      <w:marRight w:val="0"/>
      <w:marTop w:val="0"/>
      <w:marBottom w:val="0"/>
      <w:divBdr>
        <w:top w:val="none" w:sz="0" w:space="0" w:color="auto"/>
        <w:left w:val="none" w:sz="0" w:space="0" w:color="auto"/>
        <w:bottom w:val="none" w:sz="0" w:space="0" w:color="auto"/>
        <w:right w:val="none" w:sz="0" w:space="0" w:color="auto"/>
      </w:divBdr>
    </w:div>
    <w:div w:id="1334845384">
      <w:bodyDiv w:val="1"/>
      <w:marLeft w:val="0"/>
      <w:marRight w:val="0"/>
      <w:marTop w:val="0"/>
      <w:marBottom w:val="0"/>
      <w:divBdr>
        <w:top w:val="none" w:sz="0" w:space="0" w:color="auto"/>
        <w:left w:val="none" w:sz="0" w:space="0" w:color="auto"/>
        <w:bottom w:val="none" w:sz="0" w:space="0" w:color="auto"/>
        <w:right w:val="none" w:sz="0" w:space="0" w:color="auto"/>
      </w:divBdr>
    </w:div>
    <w:div w:id="1341347038">
      <w:bodyDiv w:val="1"/>
      <w:marLeft w:val="0"/>
      <w:marRight w:val="0"/>
      <w:marTop w:val="0"/>
      <w:marBottom w:val="0"/>
      <w:divBdr>
        <w:top w:val="none" w:sz="0" w:space="0" w:color="auto"/>
        <w:left w:val="none" w:sz="0" w:space="0" w:color="auto"/>
        <w:bottom w:val="none" w:sz="0" w:space="0" w:color="auto"/>
        <w:right w:val="none" w:sz="0" w:space="0" w:color="auto"/>
      </w:divBdr>
    </w:div>
    <w:div w:id="1342195371">
      <w:bodyDiv w:val="1"/>
      <w:marLeft w:val="0"/>
      <w:marRight w:val="0"/>
      <w:marTop w:val="0"/>
      <w:marBottom w:val="0"/>
      <w:divBdr>
        <w:top w:val="none" w:sz="0" w:space="0" w:color="auto"/>
        <w:left w:val="none" w:sz="0" w:space="0" w:color="auto"/>
        <w:bottom w:val="none" w:sz="0" w:space="0" w:color="auto"/>
        <w:right w:val="none" w:sz="0" w:space="0" w:color="auto"/>
      </w:divBdr>
    </w:div>
    <w:div w:id="1345209306">
      <w:bodyDiv w:val="1"/>
      <w:marLeft w:val="0"/>
      <w:marRight w:val="0"/>
      <w:marTop w:val="0"/>
      <w:marBottom w:val="0"/>
      <w:divBdr>
        <w:top w:val="none" w:sz="0" w:space="0" w:color="auto"/>
        <w:left w:val="none" w:sz="0" w:space="0" w:color="auto"/>
        <w:bottom w:val="none" w:sz="0" w:space="0" w:color="auto"/>
        <w:right w:val="none" w:sz="0" w:space="0" w:color="auto"/>
      </w:divBdr>
    </w:div>
    <w:div w:id="1356005928">
      <w:bodyDiv w:val="1"/>
      <w:marLeft w:val="0"/>
      <w:marRight w:val="0"/>
      <w:marTop w:val="0"/>
      <w:marBottom w:val="0"/>
      <w:divBdr>
        <w:top w:val="none" w:sz="0" w:space="0" w:color="auto"/>
        <w:left w:val="none" w:sz="0" w:space="0" w:color="auto"/>
        <w:bottom w:val="none" w:sz="0" w:space="0" w:color="auto"/>
        <w:right w:val="none" w:sz="0" w:space="0" w:color="auto"/>
      </w:divBdr>
    </w:div>
    <w:div w:id="1362626007">
      <w:bodyDiv w:val="1"/>
      <w:marLeft w:val="0"/>
      <w:marRight w:val="0"/>
      <w:marTop w:val="0"/>
      <w:marBottom w:val="0"/>
      <w:divBdr>
        <w:top w:val="none" w:sz="0" w:space="0" w:color="auto"/>
        <w:left w:val="none" w:sz="0" w:space="0" w:color="auto"/>
        <w:bottom w:val="none" w:sz="0" w:space="0" w:color="auto"/>
        <w:right w:val="none" w:sz="0" w:space="0" w:color="auto"/>
      </w:divBdr>
    </w:div>
    <w:div w:id="1363633332">
      <w:bodyDiv w:val="1"/>
      <w:marLeft w:val="0"/>
      <w:marRight w:val="0"/>
      <w:marTop w:val="0"/>
      <w:marBottom w:val="0"/>
      <w:divBdr>
        <w:top w:val="none" w:sz="0" w:space="0" w:color="auto"/>
        <w:left w:val="none" w:sz="0" w:space="0" w:color="auto"/>
        <w:bottom w:val="none" w:sz="0" w:space="0" w:color="auto"/>
        <w:right w:val="none" w:sz="0" w:space="0" w:color="auto"/>
      </w:divBdr>
    </w:div>
    <w:div w:id="1367683460">
      <w:bodyDiv w:val="1"/>
      <w:marLeft w:val="0"/>
      <w:marRight w:val="0"/>
      <w:marTop w:val="0"/>
      <w:marBottom w:val="0"/>
      <w:divBdr>
        <w:top w:val="none" w:sz="0" w:space="0" w:color="auto"/>
        <w:left w:val="none" w:sz="0" w:space="0" w:color="auto"/>
        <w:bottom w:val="none" w:sz="0" w:space="0" w:color="auto"/>
        <w:right w:val="none" w:sz="0" w:space="0" w:color="auto"/>
      </w:divBdr>
    </w:div>
    <w:div w:id="1369375102">
      <w:bodyDiv w:val="1"/>
      <w:marLeft w:val="0"/>
      <w:marRight w:val="0"/>
      <w:marTop w:val="0"/>
      <w:marBottom w:val="0"/>
      <w:divBdr>
        <w:top w:val="none" w:sz="0" w:space="0" w:color="auto"/>
        <w:left w:val="none" w:sz="0" w:space="0" w:color="auto"/>
        <w:bottom w:val="none" w:sz="0" w:space="0" w:color="auto"/>
        <w:right w:val="none" w:sz="0" w:space="0" w:color="auto"/>
      </w:divBdr>
    </w:div>
    <w:div w:id="1372268355">
      <w:bodyDiv w:val="1"/>
      <w:marLeft w:val="0"/>
      <w:marRight w:val="0"/>
      <w:marTop w:val="0"/>
      <w:marBottom w:val="0"/>
      <w:divBdr>
        <w:top w:val="none" w:sz="0" w:space="0" w:color="auto"/>
        <w:left w:val="none" w:sz="0" w:space="0" w:color="auto"/>
        <w:bottom w:val="none" w:sz="0" w:space="0" w:color="auto"/>
        <w:right w:val="none" w:sz="0" w:space="0" w:color="auto"/>
      </w:divBdr>
    </w:div>
    <w:div w:id="1374233079">
      <w:bodyDiv w:val="1"/>
      <w:marLeft w:val="0"/>
      <w:marRight w:val="0"/>
      <w:marTop w:val="0"/>
      <w:marBottom w:val="0"/>
      <w:divBdr>
        <w:top w:val="none" w:sz="0" w:space="0" w:color="auto"/>
        <w:left w:val="none" w:sz="0" w:space="0" w:color="auto"/>
        <w:bottom w:val="none" w:sz="0" w:space="0" w:color="auto"/>
        <w:right w:val="none" w:sz="0" w:space="0" w:color="auto"/>
      </w:divBdr>
    </w:div>
    <w:div w:id="1376662576">
      <w:bodyDiv w:val="1"/>
      <w:marLeft w:val="0"/>
      <w:marRight w:val="0"/>
      <w:marTop w:val="0"/>
      <w:marBottom w:val="0"/>
      <w:divBdr>
        <w:top w:val="none" w:sz="0" w:space="0" w:color="auto"/>
        <w:left w:val="none" w:sz="0" w:space="0" w:color="auto"/>
        <w:bottom w:val="none" w:sz="0" w:space="0" w:color="auto"/>
        <w:right w:val="none" w:sz="0" w:space="0" w:color="auto"/>
      </w:divBdr>
      <w:divsChild>
        <w:div w:id="538932239">
          <w:marLeft w:val="0"/>
          <w:marRight w:val="0"/>
          <w:marTop w:val="0"/>
          <w:marBottom w:val="0"/>
          <w:divBdr>
            <w:top w:val="none" w:sz="0" w:space="0" w:color="auto"/>
            <w:left w:val="none" w:sz="0" w:space="0" w:color="auto"/>
            <w:bottom w:val="none" w:sz="0" w:space="0" w:color="auto"/>
            <w:right w:val="none" w:sz="0" w:space="0" w:color="auto"/>
          </w:divBdr>
          <w:divsChild>
            <w:div w:id="1935550975">
              <w:marLeft w:val="0"/>
              <w:marRight w:val="0"/>
              <w:marTop w:val="0"/>
              <w:marBottom w:val="0"/>
              <w:divBdr>
                <w:top w:val="none" w:sz="0" w:space="0" w:color="auto"/>
                <w:left w:val="none" w:sz="0" w:space="0" w:color="auto"/>
                <w:bottom w:val="none" w:sz="0" w:space="0" w:color="auto"/>
                <w:right w:val="none" w:sz="0" w:space="0" w:color="auto"/>
              </w:divBdr>
              <w:divsChild>
                <w:div w:id="20090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50508">
          <w:marLeft w:val="0"/>
          <w:marRight w:val="0"/>
          <w:marTop w:val="0"/>
          <w:marBottom w:val="0"/>
          <w:divBdr>
            <w:top w:val="none" w:sz="0" w:space="0" w:color="auto"/>
            <w:left w:val="none" w:sz="0" w:space="0" w:color="auto"/>
            <w:bottom w:val="none" w:sz="0" w:space="0" w:color="auto"/>
            <w:right w:val="none" w:sz="0" w:space="0" w:color="auto"/>
          </w:divBdr>
          <w:divsChild>
            <w:div w:id="887573194">
              <w:marLeft w:val="0"/>
              <w:marRight w:val="0"/>
              <w:marTop w:val="0"/>
              <w:marBottom w:val="0"/>
              <w:divBdr>
                <w:top w:val="none" w:sz="0" w:space="0" w:color="auto"/>
                <w:left w:val="none" w:sz="0" w:space="0" w:color="auto"/>
                <w:bottom w:val="none" w:sz="0" w:space="0" w:color="auto"/>
                <w:right w:val="none" w:sz="0" w:space="0" w:color="auto"/>
              </w:divBdr>
              <w:divsChild>
                <w:div w:id="1189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3605">
          <w:marLeft w:val="0"/>
          <w:marRight w:val="0"/>
          <w:marTop w:val="0"/>
          <w:marBottom w:val="0"/>
          <w:divBdr>
            <w:top w:val="none" w:sz="0" w:space="0" w:color="auto"/>
            <w:left w:val="none" w:sz="0" w:space="0" w:color="auto"/>
            <w:bottom w:val="none" w:sz="0" w:space="0" w:color="auto"/>
            <w:right w:val="none" w:sz="0" w:space="0" w:color="auto"/>
          </w:divBdr>
          <w:divsChild>
            <w:div w:id="402070331">
              <w:marLeft w:val="0"/>
              <w:marRight w:val="0"/>
              <w:marTop w:val="0"/>
              <w:marBottom w:val="0"/>
              <w:divBdr>
                <w:top w:val="none" w:sz="0" w:space="0" w:color="auto"/>
                <w:left w:val="none" w:sz="0" w:space="0" w:color="auto"/>
                <w:bottom w:val="none" w:sz="0" w:space="0" w:color="auto"/>
                <w:right w:val="none" w:sz="0" w:space="0" w:color="auto"/>
              </w:divBdr>
              <w:divsChild>
                <w:div w:id="4892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1618">
          <w:marLeft w:val="0"/>
          <w:marRight w:val="0"/>
          <w:marTop w:val="0"/>
          <w:marBottom w:val="0"/>
          <w:divBdr>
            <w:top w:val="none" w:sz="0" w:space="0" w:color="auto"/>
            <w:left w:val="none" w:sz="0" w:space="0" w:color="auto"/>
            <w:bottom w:val="none" w:sz="0" w:space="0" w:color="auto"/>
            <w:right w:val="none" w:sz="0" w:space="0" w:color="auto"/>
          </w:divBdr>
          <w:divsChild>
            <w:div w:id="183907131">
              <w:marLeft w:val="0"/>
              <w:marRight w:val="0"/>
              <w:marTop w:val="0"/>
              <w:marBottom w:val="0"/>
              <w:divBdr>
                <w:top w:val="none" w:sz="0" w:space="0" w:color="auto"/>
                <w:left w:val="none" w:sz="0" w:space="0" w:color="auto"/>
                <w:bottom w:val="none" w:sz="0" w:space="0" w:color="auto"/>
                <w:right w:val="none" w:sz="0" w:space="0" w:color="auto"/>
              </w:divBdr>
              <w:divsChild>
                <w:div w:id="17727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0699">
      <w:bodyDiv w:val="1"/>
      <w:marLeft w:val="0"/>
      <w:marRight w:val="0"/>
      <w:marTop w:val="0"/>
      <w:marBottom w:val="0"/>
      <w:divBdr>
        <w:top w:val="none" w:sz="0" w:space="0" w:color="auto"/>
        <w:left w:val="none" w:sz="0" w:space="0" w:color="auto"/>
        <w:bottom w:val="none" w:sz="0" w:space="0" w:color="auto"/>
        <w:right w:val="none" w:sz="0" w:space="0" w:color="auto"/>
      </w:divBdr>
    </w:div>
    <w:div w:id="1381057815">
      <w:bodyDiv w:val="1"/>
      <w:marLeft w:val="0"/>
      <w:marRight w:val="0"/>
      <w:marTop w:val="0"/>
      <w:marBottom w:val="0"/>
      <w:divBdr>
        <w:top w:val="none" w:sz="0" w:space="0" w:color="auto"/>
        <w:left w:val="none" w:sz="0" w:space="0" w:color="auto"/>
        <w:bottom w:val="none" w:sz="0" w:space="0" w:color="auto"/>
        <w:right w:val="none" w:sz="0" w:space="0" w:color="auto"/>
      </w:divBdr>
    </w:div>
    <w:div w:id="1386760039">
      <w:bodyDiv w:val="1"/>
      <w:marLeft w:val="0"/>
      <w:marRight w:val="0"/>
      <w:marTop w:val="0"/>
      <w:marBottom w:val="0"/>
      <w:divBdr>
        <w:top w:val="none" w:sz="0" w:space="0" w:color="auto"/>
        <w:left w:val="none" w:sz="0" w:space="0" w:color="auto"/>
        <w:bottom w:val="none" w:sz="0" w:space="0" w:color="auto"/>
        <w:right w:val="none" w:sz="0" w:space="0" w:color="auto"/>
      </w:divBdr>
    </w:div>
    <w:div w:id="1387142701">
      <w:bodyDiv w:val="1"/>
      <w:marLeft w:val="0"/>
      <w:marRight w:val="0"/>
      <w:marTop w:val="0"/>
      <w:marBottom w:val="0"/>
      <w:divBdr>
        <w:top w:val="none" w:sz="0" w:space="0" w:color="auto"/>
        <w:left w:val="none" w:sz="0" w:space="0" w:color="auto"/>
        <w:bottom w:val="none" w:sz="0" w:space="0" w:color="auto"/>
        <w:right w:val="none" w:sz="0" w:space="0" w:color="auto"/>
      </w:divBdr>
    </w:div>
    <w:div w:id="1391998865">
      <w:marLeft w:val="0"/>
      <w:marRight w:val="0"/>
      <w:marTop w:val="0"/>
      <w:marBottom w:val="0"/>
      <w:divBdr>
        <w:top w:val="none" w:sz="0" w:space="0" w:color="auto"/>
        <w:left w:val="none" w:sz="0" w:space="0" w:color="auto"/>
        <w:bottom w:val="none" w:sz="0" w:space="0" w:color="auto"/>
        <w:right w:val="none" w:sz="0" w:space="0" w:color="auto"/>
      </w:divBdr>
      <w:divsChild>
        <w:div w:id="1595551579">
          <w:marLeft w:val="0"/>
          <w:marRight w:val="0"/>
          <w:marTop w:val="0"/>
          <w:marBottom w:val="0"/>
          <w:divBdr>
            <w:top w:val="none" w:sz="0" w:space="0" w:color="auto"/>
            <w:left w:val="none" w:sz="0" w:space="0" w:color="auto"/>
            <w:bottom w:val="none" w:sz="0" w:space="0" w:color="auto"/>
            <w:right w:val="none" w:sz="0" w:space="0" w:color="auto"/>
          </w:divBdr>
          <w:divsChild>
            <w:div w:id="1117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0976">
      <w:bodyDiv w:val="1"/>
      <w:marLeft w:val="0"/>
      <w:marRight w:val="0"/>
      <w:marTop w:val="0"/>
      <w:marBottom w:val="0"/>
      <w:divBdr>
        <w:top w:val="none" w:sz="0" w:space="0" w:color="auto"/>
        <w:left w:val="none" w:sz="0" w:space="0" w:color="auto"/>
        <w:bottom w:val="none" w:sz="0" w:space="0" w:color="auto"/>
        <w:right w:val="none" w:sz="0" w:space="0" w:color="auto"/>
      </w:divBdr>
    </w:div>
    <w:div w:id="1399209592">
      <w:bodyDiv w:val="1"/>
      <w:marLeft w:val="0"/>
      <w:marRight w:val="0"/>
      <w:marTop w:val="0"/>
      <w:marBottom w:val="0"/>
      <w:divBdr>
        <w:top w:val="none" w:sz="0" w:space="0" w:color="auto"/>
        <w:left w:val="none" w:sz="0" w:space="0" w:color="auto"/>
        <w:bottom w:val="none" w:sz="0" w:space="0" w:color="auto"/>
        <w:right w:val="none" w:sz="0" w:space="0" w:color="auto"/>
      </w:divBdr>
    </w:div>
    <w:div w:id="1400597378">
      <w:bodyDiv w:val="1"/>
      <w:marLeft w:val="0"/>
      <w:marRight w:val="0"/>
      <w:marTop w:val="0"/>
      <w:marBottom w:val="0"/>
      <w:divBdr>
        <w:top w:val="none" w:sz="0" w:space="0" w:color="auto"/>
        <w:left w:val="none" w:sz="0" w:space="0" w:color="auto"/>
        <w:bottom w:val="none" w:sz="0" w:space="0" w:color="auto"/>
        <w:right w:val="none" w:sz="0" w:space="0" w:color="auto"/>
      </w:divBdr>
    </w:div>
    <w:div w:id="1401753709">
      <w:bodyDiv w:val="1"/>
      <w:marLeft w:val="0"/>
      <w:marRight w:val="0"/>
      <w:marTop w:val="0"/>
      <w:marBottom w:val="0"/>
      <w:divBdr>
        <w:top w:val="none" w:sz="0" w:space="0" w:color="auto"/>
        <w:left w:val="none" w:sz="0" w:space="0" w:color="auto"/>
        <w:bottom w:val="none" w:sz="0" w:space="0" w:color="auto"/>
        <w:right w:val="none" w:sz="0" w:space="0" w:color="auto"/>
      </w:divBdr>
    </w:div>
    <w:div w:id="1403330329">
      <w:bodyDiv w:val="1"/>
      <w:marLeft w:val="0"/>
      <w:marRight w:val="0"/>
      <w:marTop w:val="0"/>
      <w:marBottom w:val="0"/>
      <w:divBdr>
        <w:top w:val="none" w:sz="0" w:space="0" w:color="auto"/>
        <w:left w:val="none" w:sz="0" w:space="0" w:color="auto"/>
        <w:bottom w:val="none" w:sz="0" w:space="0" w:color="auto"/>
        <w:right w:val="none" w:sz="0" w:space="0" w:color="auto"/>
      </w:divBdr>
    </w:div>
    <w:div w:id="1406024879">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12435579">
      <w:bodyDiv w:val="1"/>
      <w:marLeft w:val="0"/>
      <w:marRight w:val="0"/>
      <w:marTop w:val="0"/>
      <w:marBottom w:val="0"/>
      <w:divBdr>
        <w:top w:val="none" w:sz="0" w:space="0" w:color="auto"/>
        <w:left w:val="none" w:sz="0" w:space="0" w:color="auto"/>
        <w:bottom w:val="none" w:sz="0" w:space="0" w:color="auto"/>
        <w:right w:val="none" w:sz="0" w:space="0" w:color="auto"/>
      </w:divBdr>
    </w:div>
    <w:div w:id="1422406986">
      <w:bodyDiv w:val="1"/>
      <w:marLeft w:val="0"/>
      <w:marRight w:val="0"/>
      <w:marTop w:val="0"/>
      <w:marBottom w:val="0"/>
      <w:divBdr>
        <w:top w:val="none" w:sz="0" w:space="0" w:color="auto"/>
        <w:left w:val="none" w:sz="0" w:space="0" w:color="auto"/>
        <w:bottom w:val="none" w:sz="0" w:space="0" w:color="auto"/>
        <w:right w:val="none" w:sz="0" w:space="0" w:color="auto"/>
      </w:divBdr>
    </w:div>
    <w:div w:id="1423574232">
      <w:bodyDiv w:val="1"/>
      <w:marLeft w:val="0"/>
      <w:marRight w:val="0"/>
      <w:marTop w:val="0"/>
      <w:marBottom w:val="0"/>
      <w:divBdr>
        <w:top w:val="none" w:sz="0" w:space="0" w:color="auto"/>
        <w:left w:val="none" w:sz="0" w:space="0" w:color="auto"/>
        <w:bottom w:val="none" w:sz="0" w:space="0" w:color="auto"/>
        <w:right w:val="none" w:sz="0" w:space="0" w:color="auto"/>
      </w:divBdr>
    </w:div>
    <w:div w:id="1430851164">
      <w:bodyDiv w:val="1"/>
      <w:marLeft w:val="0"/>
      <w:marRight w:val="0"/>
      <w:marTop w:val="0"/>
      <w:marBottom w:val="0"/>
      <w:divBdr>
        <w:top w:val="none" w:sz="0" w:space="0" w:color="auto"/>
        <w:left w:val="none" w:sz="0" w:space="0" w:color="auto"/>
        <w:bottom w:val="none" w:sz="0" w:space="0" w:color="auto"/>
        <w:right w:val="none" w:sz="0" w:space="0" w:color="auto"/>
      </w:divBdr>
    </w:div>
    <w:div w:id="1431389898">
      <w:bodyDiv w:val="1"/>
      <w:marLeft w:val="0"/>
      <w:marRight w:val="0"/>
      <w:marTop w:val="0"/>
      <w:marBottom w:val="0"/>
      <w:divBdr>
        <w:top w:val="none" w:sz="0" w:space="0" w:color="auto"/>
        <w:left w:val="none" w:sz="0" w:space="0" w:color="auto"/>
        <w:bottom w:val="none" w:sz="0" w:space="0" w:color="auto"/>
        <w:right w:val="none" w:sz="0" w:space="0" w:color="auto"/>
      </w:divBdr>
    </w:div>
    <w:div w:id="1449010089">
      <w:bodyDiv w:val="1"/>
      <w:marLeft w:val="0"/>
      <w:marRight w:val="0"/>
      <w:marTop w:val="0"/>
      <w:marBottom w:val="0"/>
      <w:divBdr>
        <w:top w:val="none" w:sz="0" w:space="0" w:color="auto"/>
        <w:left w:val="none" w:sz="0" w:space="0" w:color="auto"/>
        <w:bottom w:val="none" w:sz="0" w:space="0" w:color="auto"/>
        <w:right w:val="none" w:sz="0" w:space="0" w:color="auto"/>
      </w:divBdr>
    </w:div>
    <w:div w:id="1455293231">
      <w:bodyDiv w:val="1"/>
      <w:marLeft w:val="0"/>
      <w:marRight w:val="0"/>
      <w:marTop w:val="0"/>
      <w:marBottom w:val="0"/>
      <w:divBdr>
        <w:top w:val="none" w:sz="0" w:space="0" w:color="auto"/>
        <w:left w:val="none" w:sz="0" w:space="0" w:color="auto"/>
        <w:bottom w:val="none" w:sz="0" w:space="0" w:color="auto"/>
        <w:right w:val="none" w:sz="0" w:space="0" w:color="auto"/>
      </w:divBdr>
    </w:div>
    <w:div w:id="1468543426">
      <w:bodyDiv w:val="1"/>
      <w:marLeft w:val="0"/>
      <w:marRight w:val="0"/>
      <w:marTop w:val="0"/>
      <w:marBottom w:val="0"/>
      <w:divBdr>
        <w:top w:val="none" w:sz="0" w:space="0" w:color="auto"/>
        <w:left w:val="none" w:sz="0" w:space="0" w:color="auto"/>
        <w:bottom w:val="none" w:sz="0" w:space="0" w:color="auto"/>
        <w:right w:val="none" w:sz="0" w:space="0" w:color="auto"/>
      </w:divBdr>
    </w:div>
    <w:div w:id="1475026937">
      <w:bodyDiv w:val="1"/>
      <w:marLeft w:val="0"/>
      <w:marRight w:val="0"/>
      <w:marTop w:val="0"/>
      <w:marBottom w:val="0"/>
      <w:divBdr>
        <w:top w:val="none" w:sz="0" w:space="0" w:color="auto"/>
        <w:left w:val="none" w:sz="0" w:space="0" w:color="auto"/>
        <w:bottom w:val="none" w:sz="0" w:space="0" w:color="auto"/>
        <w:right w:val="none" w:sz="0" w:space="0" w:color="auto"/>
      </w:divBdr>
    </w:div>
    <w:div w:id="1477409548">
      <w:bodyDiv w:val="1"/>
      <w:marLeft w:val="0"/>
      <w:marRight w:val="0"/>
      <w:marTop w:val="0"/>
      <w:marBottom w:val="0"/>
      <w:divBdr>
        <w:top w:val="none" w:sz="0" w:space="0" w:color="auto"/>
        <w:left w:val="none" w:sz="0" w:space="0" w:color="auto"/>
        <w:bottom w:val="none" w:sz="0" w:space="0" w:color="auto"/>
        <w:right w:val="none" w:sz="0" w:space="0" w:color="auto"/>
      </w:divBdr>
    </w:div>
    <w:div w:id="1477913863">
      <w:bodyDiv w:val="1"/>
      <w:marLeft w:val="0"/>
      <w:marRight w:val="0"/>
      <w:marTop w:val="0"/>
      <w:marBottom w:val="0"/>
      <w:divBdr>
        <w:top w:val="none" w:sz="0" w:space="0" w:color="auto"/>
        <w:left w:val="none" w:sz="0" w:space="0" w:color="auto"/>
        <w:bottom w:val="none" w:sz="0" w:space="0" w:color="auto"/>
        <w:right w:val="none" w:sz="0" w:space="0" w:color="auto"/>
      </w:divBdr>
    </w:div>
    <w:div w:id="1480919076">
      <w:bodyDiv w:val="1"/>
      <w:marLeft w:val="0"/>
      <w:marRight w:val="0"/>
      <w:marTop w:val="0"/>
      <w:marBottom w:val="0"/>
      <w:divBdr>
        <w:top w:val="none" w:sz="0" w:space="0" w:color="auto"/>
        <w:left w:val="none" w:sz="0" w:space="0" w:color="auto"/>
        <w:bottom w:val="none" w:sz="0" w:space="0" w:color="auto"/>
        <w:right w:val="none" w:sz="0" w:space="0" w:color="auto"/>
      </w:divBdr>
    </w:div>
    <w:div w:id="1491560073">
      <w:bodyDiv w:val="1"/>
      <w:marLeft w:val="0"/>
      <w:marRight w:val="0"/>
      <w:marTop w:val="0"/>
      <w:marBottom w:val="0"/>
      <w:divBdr>
        <w:top w:val="none" w:sz="0" w:space="0" w:color="auto"/>
        <w:left w:val="none" w:sz="0" w:space="0" w:color="auto"/>
        <w:bottom w:val="none" w:sz="0" w:space="0" w:color="auto"/>
        <w:right w:val="none" w:sz="0" w:space="0" w:color="auto"/>
      </w:divBdr>
    </w:div>
    <w:div w:id="1497988704">
      <w:bodyDiv w:val="1"/>
      <w:marLeft w:val="0"/>
      <w:marRight w:val="0"/>
      <w:marTop w:val="0"/>
      <w:marBottom w:val="0"/>
      <w:divBdr>
        <w:top w:val="none" w:sz="0" w:space="0" w:color="auto"/>
        <w:left w:val="none" w:sz="0" w:space="0" w:color="auto"/>
        <w:bottom w:val="none" w:sz="0" w:space="0" w:color="auto"/>
        <w:right w:val="none" w:sz="0" w:space="0" w:color="auto"/>
      </w:divBdr>
    </w:div>
    <w:div w:id="1517189525">
      <w:bodyDiv w:val="1"/>
      <w:marLeft w:val="0"/>
      <w:marRight w:val="0"/>
      <w:marTop w:val="0"/>
      <w:marBottom w:val="0"/>
      <w:divBdr>
        <w:top w:val="none" w:sz="0" w:space="0" w:color="auto"/>
        <w:left w:val="none" w:sz="0" w:space="0" w:color="auto"/>
        <w:bottom w:val="none" w:sz="0" w:space="0" w:color="auto"/>
        <w:right w:val="none" w:sz="0" w:space="0" w:color="auto"/>
      </w:divBdr>
    </w:div>
    <w:div w:id="1517500944">
      <w:bodyDiv w:val="1"/>
      <w:marLeft w:val="0"/>
      <w:marRight w:val="0"/>
      <w:marTop w:val="0"/>
      <w:marBottom w:val="0"/>
      <w:divBdr>
        <w:top w:val="none" w:sz="0" w:space="0" w:color="auto"/>
        <w:left w:val="none" w:sz="0" w:space="0" w:color="auto"/>
        <w:bottom w:val="none" w:sz="0" w:space="0" w:color="auto"/>
        <w:right w:val="none" w:sz="0" w:space="0" w:color="auto"/>
      </w:divBdr>
    </w:div>
    <w:div w:id="1522082494">
      <w:bodyDiv w:val="1"/>
      <w:marLeft w:val="0"/>
      <w:marRight w:val="0"/>
      <w:marTop w:val="0"/>
      <w:marBottom w:val="0"/>
      <w:divBdr>
        <w:top w:val="none" w:sz="0" w:space="0" w:color="auto"/>
        <w:left w:val="none" w:sz="0" w:space="0" w:color="auto"/>
        <w:bottom w:val="none" w:sz="0" w:space="0" w:color="auto"/>
        <w:right w:val="none" w:sz="0" w:space="0" w:color="auto"/>
      </w:divBdr>
    </w:div>
    <w:div w:id="1525165836">
      <w:bodyDiv w:val="1"/>
      <w:marLeft w:val="0"/>
      <w:marRight w:val="0"/>
      <w:marTop w:val="0"/>
      <w:marBottom w:val="0"/>
      <w:divBdr>
        <w:top w:val="none" w:sz="0" w:space="0" w:color="auto"/>
        <w:left w:val="none" w:sz="0" w:space="0" w:color="auto"/>
        <w:bottom w:val="none" w:sz="0" w:space="0" w:color="auto"/>
        <w:right w:val="none" w:sz="0" w:space="0" w:color="auto"/>
      </w:divBdr>
    </w:div>
    <w:div w:id="1527523407">
      <w:bodyDiv w:val="1"/>
      <w:marLeft w:val="0"/>
      <w:marRight w:val="0"/>
      <w:marTop w:val="0"/>
      <w:marBottom w:val="0"/>
      <w:divBdr>
        <w:top w:val="none" w:sz="0" w:space="0" w:color="auto"/>
        <w:left w:val="none" w:sz="0" w:space="0" w:color="auto"/>
        <w:bottom w:val="none" w:sz="0" w:space="0" w:color="auto"/>
        <w:right w:val="none" w:sz="0" w:space="0" w:color="auto"/>
      </w:divBdr>
    </w:div>
    <w:div w:id="1533226525">
      <w:bodyDiv w:val="1"/>
      <w:marLeft w:val="0"/>
      <w:marRight w:val="0"/>
      <w:marTop w:val="0"/>
      <w:marBottom w:val="0"/>
      <w:divBdr>
        <w:top w:val="none" w:sz="0" w:space="0" w:color="auto"/>
        <w:left w:val="none" w:sz="0" w:space="0" w:color="auto"/>
        <w:bottom w:val="none" w:sz="0" w:space="0" w:color="auto"/>
        <w:right w:val="none" w:sz="0" w:space="0" w:color="auto"/>
      </w:divBdr>
    </w:div>
    <w:div w:id="1535196032">
      <w:bodyDiv w:val="1"/>
      <w:marLeft w:val="0"/>
      <w:marRight w:val="0"/>
      <w:marTop w:val="0"/>
      <w:marBottom w:val="0"/>
      <w:divBdr>
        <w:top w:val="none" w:sz="0" w:space="0" w:color="auto"/>
        <w:left w:val="none" w:sz="0" w:space="0" w:color="auto"/>
        <w:bottom w:val="none" w:sz="0" w:space="0" w:color="auto"/>
        <w:right w:val="none" w:sz="0" w:space="0" w:color="auto"/>
      </w:divBdr>
    </w:div>
    <w:div w:id="1540512538">
      <w:bodyDiv w:val="1"/>
      <w:marLeft w:val="0"/>
      <w:marRight w:val="0"/>
      <w:marTop w:val="0"/>
      <w:marBottom w:val="0"/>
      <w:divBdr>
        <w:top w:val="none" w:sz="0" w:space="0" w:color="auto"/>
        <w:left w:val="none" w:sz="0" w:space="0" w:color="auto"/>
        <w:bottom w:val="none" w:sz="0" w:space="0" w:color="auto"/>
        <w:right w:val="none" w:sz="0" w:space="0" w:color="auto"/>
      </w:divBdr>
    </w:div>
    <w:div w:id="1551109006">
      <w:bodyDiv w:val="1"/>
      <w:marLeft w:val="0"/>
      <w:marRight w:val="0"/>
      <w:marTop w:val="0"/>
      <w:marBottom w:val="0"/>
      <w:divBdr>
        <w:top w:val="none" w:sz="0" w:space="0" w:color="auto"/>
        <w:left w:val="none" w:sz="0" w:space="0" w:color="auto"/>
        <w:bottom w:val="none" w:sz="0" w:space="0" w:color="auto"/>
        <w:right w:val="none" w:sz="0" w:space="0" w:color="auto"/>
      </w:divBdr>
    </w:div>
    <w:div w:id="1554268657">
      <w:bodyDiv w:val="1"/>
      <w:marLeft w:val="0"/>
      <w:marRight w:val="0"/>
      <w:marTop w:val="0"/>
      <w:marBottom w:val="0"/>
      <w:divBdr>
        <w:top w:val="none" w:sz="0" w:space="0" w:color="auto"/>
        <w:left w:val="none" w:sz="0" w:space="0" w:color="auto"/>
        <w:bottom w:val="none" w:sz="0" w:space="0" w:color="auto"/>
        <w:right w:val="none" w:sz="0" w:space="0" w:color="auto"/>
      </w:divBdr>
    </w:div>
    <w:div w:id="1554656055">
      <w:bodyDiv w:val="1"/>
      <w:marLeft w:val="0"/>
      <w:marRight w:val="0"/>
      <w:marTop w:val="0"/>
      <w:marBottom w:val="0"/>
      <w:divBdr>
        <w:top w:val="none" w:sz="0" w:space="0" w:color="auto"/>
        <w:left w:val="none" w:sz="0" w:space="0" w:color="auto"/>
        <w:bottom w:val="none" w:sz="0" w:space="0" w:color="auto"/>
        <w:right w:val="none" w:sz="0" w:space="0" w:color="auto"/>
      </w:divBdr>
    </w:div>
    <w:div w:id="1556236491">
      <w:bodyDiv w:val="1"/>
      <w:marLeft w:val="0"/>
      <w:marRight w:val="0"/>
      <w:marTop w:val="0"/>
      <w:marBottom w:val="0"/>
      <w:divBdr>
        <w:top w:val="none" w:sz="0" w:space="0" w:color="auto"/>
        <w:left w:val="none" w:sz="0" w:space="0" w:color="auto"/>
        <w:bottom w:val="none" w:sz="0" w:space="0" w:color="auto"/>
        <w:right w:val="none" w:sz="0" w:space="0" w:color="auto"/>
      </w:divBdr>
    </w:div>
    <w:div w:id="1557084035">
      <w:bodyDiv w:val="1"/>
      <w:marLeft w:val="0"/>
      <w:marRight w:val="0"/>
      <w:marTop w:val="0"/>
      <w:marBottom w:val="0"/>
      <w:divBdr>
        <w:top w:val="none" w:sz="0" w:space="0" w:color="auto"/>
        <w:left w:val="none" w:sz="0" w:space="0" w:color="auto"/>
        <w:bottom w:val="none" w:sz="0" w:space="0" w:color="auto"/>
        <w:right w:val="none" w:sz="0" w:space="0" w:color="auto"/>
      </w:divBdr>
    </w:div>
    <w:div w:id="1560819321">
      <w:bodyDiv w:val="1"/>
      <w:marLeft w:val="0"/>
      <w:marRight w:val="0"/>
      <w:marTop w:val="0"/>
      <w:marBottom w:val="0"/>
      <w:divBdr>
        <w:top w:val="none" w:sz="0" w:space="0" w:color="auto"/>
        <w:left w:val="none" w:sz="0" w:space="0" w:color="auto"/>
        <w:bottom w:val="none" w:sz="0" w:space="0" w:color="auto"/>
        <w:right w:val="none" w:sz="0" w:space="0" w:color="auto"/>
      </w:divBdr>
    </w:div>
    <w:div w:id="1561596215">
      <w:bodyDiv w:val="1"/>
      <w:marLeft w:val="0"/>
      <w:marRight w:val="0"/>
      <w:marTop w:val="0"/>
      <w:marBottom w:val="0"/>
      <w:divBdr>
        <w:top w:val="none" w:sz="0" w:space="0" w:color="auto"/>
        <w:left w:val="none" w:sz="0" w:space="0" w:color="auto"/>
        <w:bottom w:val="none" w:sz="0" w:space="0" w:color="auto"/>
        <w:right w:val="none" w:sz="0" w:space="0" w:color="auto"/>
      </w:divBdr>
    </w:div>
    <w:div w:id="1562015144">
      <w:bodyDiv w:val="1"/>
      <w:marLeft w:val="0"/>
      <w:marRight w:val="0"/>
      <w:marTop w:val="0"/>
      <w:marBottom w:val="0"/>
      <w:divBdr>
        <w:top w:val="none" w:sz="0" w:space="0" w:color="auto"/>
        <w:left w:val="none" w:sz="0" w:space="0" w:color="auto"/>
        <w:bottom w:val="none" w:sz="0" w:space="0" w:color="auto"/>
        <w:right w:val="none" w:sz="0" w:space="0" w:color="auto"/>
      </w:divBdr>
    </w:div>
    <w:div w:id="1562784636">
      <w:bodyDiv w:val="1"/>
      <w:marLeft w:val="0"/>
      <w:marRight w:val="0"/>
      <w:marTop w:val="0"/>
      <w:marBottom w:val="0"/>
      <w:divBdr>
        <w:top w:val="none" w:sz="0" w:space="0" w:color="auto"/>
        <w:left w:val="none" w:sz="0" w:space="0" w:color="auto"/>
        <w:bottom w:val="none" w:sz="0" w:space="0" w:color="auto"/>
        <w:right w:val="none" w:sz="0" w:space="0" w:color="auto"/>
      </w:divBdr>
    </w:div>
    <w:div w:id="1564365697">
      <w:bodyDiv w:val="1"/>
      <w:marLeft w:val="0"/>
      <w:marRight w:val="0"/>
      <w:marTop w:val="0"/>
      <w:marBottom w:val="0"/>
      <w:divBdr>
        <w:top w:val="none" w:sz="0" w:space="0" w:color="auto"/>
        <w:left w:val="none" w:sz="0" w:space="0" w:color="auto"/>
        <w:bottom w:val="none" w:sz="0" w:space="0" w:color="auto"/>
        <w:right w:val="none" w:sz="0" w:space="0" w:color="auto"/>
      </w:divBdr>
    </w:div>
    <w:div w:id="1569001270">
      <w:bodyDiv w:val="1"/>
      <w:marLeft w:val="0"/>
      <w:marRight w:val="0"/>
      <w:marTop w:val="0"/>
      <w:marBottom w:val="0"/>
      <w:divBdr>
        <w:top w:val="none" w:sz="0" w:space="0" w:color="auto"/>
        <w:left w:val="none" w:sz="0" w:space="0" w:color="auto"/>
        <w:bottom w:val="none" w:sz="0" w:space="0" w:color="auto"/>
        <w:right w:val="none" w:sz="0" w:space="0" w:color="auto"/>
      </w:divBdr>
    </w:div>
    <w:div w:id="1572424110">
      <w:bodyDiv w:val="1"/>
      <w:marLeft w:val="0"/>
      <w:marRight w:val="0"/>
      <w:marTop w:val="0"/>
      <w:marBottom w:val="0"/>
      <w:divBdr>
        <w:top w:val="none" w:sz="0" w:space="0" w:color="auto"/>
        <w:left w:val="none" w:sz="0" w:space="0" w:color="auto"/>
        <w:bottom w:val="none" w:sz="0" w:space="0" w:color="auto"/>
        <w:right w:val="none" w:sz="0" w:space="0" w:color="auto"/>
      </w:divBdr>
      <w:divsChild>
        <w:div w:id="773553336">
          <w:marLeft w:val="0"/>
          <w:marRight w:val="0"/>
          <w:marTop w:val="0"/>
          <w:marBottom w:val="0"/>
          <w:divBdr>
            <w:top w:val="none" w:sz="0" w:space="0" w:color="auto"/>
            <w:left w:val="none" w:sz="0" w:space="0" w:color="auto"/>
            <w:bottom w:val="none" w:sz="0" w:space="0" w:color="auto"/>
            <w:right w:val="none" w:sz="0" w:space="0" w:color="auto"/>
          </w:divBdr>
          <w:divsChild>
            <w:div w:id="767896570">
              <w:marLeft w:val="0"/>
              <w:marRight w:val="0"/>
              <w:marTop w:val="0"/>
              <w:marBottom w:val="0"/>
              <w:divBdr>
                <w:top w:val="none" w:sz="0" w:space="0" w:color="auto"/>
                <w:left w:val="single" w:sz="6" w:space="0" w:color="BCBCBC"/>
                <w:bottom w:val="none" w:sz="0" w:space="0" w:color="auto"/>
                <w:right w:val="single" w:sz="6" w:space="0" w:color="BCBCBC"/>
              </w:divBdr>
              <w:divsChild>
                <w:div w:id="592516365">
                  <w:marLeft w:val="0"/>
                  <w:marRight w:val="0"/>
                  <w:marTop w:val="0"/>
                  <w:marBottom w:val="0"/>
                  <w:divBdr>
                    <w:top w:val="none" w:sz="0" w:space="0" w:color="auto"/>
                    <w:left w:val="none" w:sz="0" w:space="0" w:color="auto"/>
                    <w:bottom w:val="none" w:sz="0" w:space="0" w:color="auto"/>
                    <w:right w:val="none" w:sz="0" w:space="0" w:color="auto"/>
                  </w:divBdr>
                  <w:divsChild>
                    <w:div w:id="2129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7430">
      <w:bodyDiv w:val="1"/>
      <w:marLeft w:val="120"/>
      <w:marRight w:val="120"/>
      <w:marTop w:val="0"/>
      <w:marBottom w:val="0"/>
      <w:divBdr>
        <w:top w:val="none" w:sz="0" w:space="0" w:color="auto"/>
        <w:left w:val="none" w:sz="0" w:space="0" w:color="auto"/>
        <w:bottom w:val="none" w:sz="0" w:space="0" w:color="auto"/>
        <w:right w:val="none" w:sz="0" w:space="0" w:color="auto"/>
      </w:divBdr>
      <w:divsChild>
        <w:div w:id="399209746">
          <w:marLeft w:val="0"/>
          <w:marRight w:val="0"/>
          <w:marTop w:val="0"/>
          <w:marBottom w:val="0"/>
          <w:divBdr>
            <w:top w:val="none" w:sz="0" w:space="0" w:color="auto"/>
            <w:left w:val="none" w:sz="0" w:space="0" w:color="auto"/>
            <w:bottom w:val="none" w:sz="0" w:space="0" w:color="auto"/>
            <w:right w:val="none" w:sz="0" w:space="0" w:color="auto"/>
          </w:divBdr>
          <w:divsChild>
            <w:div w:id="10174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227">
      <w:bodyDiv w:val="1"/>
      <w:marLeft w:val="0"/>
      <w:marRight w:val="0"/>
      <w:marTop w:val="0"/>
      <w:marBottom w:val="0"/>
      <w:divBdr>
        <w:top w:val="none" w:sz="0" w:space="0" w:color="auto"/>
        <w:left w:val="none" w:sz="0" w:space="0" w:color="auto"/>
        <w:bottom w:val="none" w:sz="0" w:space="0" w:color="auto"/>
        <w:right w:val="none" w:sz="0" w:space="0" w:color="auto"/>
      </w:divBdr>
    </w:div>
    <w:div w:id="1592472107">
      <w:bodyDiv w:val="1"/>
      <w:marLeft w:val="0"/>
      <w:marRight w:val="0"/>
      <w:marTop w:val="0"/>
      <w:marBottom w:val="0"/>
      <w:divBdr>
        <w:top w:val="none" w:sz="0" w:space="0" w:color="auto"/>
        <w:left w:val="none" w:sz="0" w:space="0" w:color="auto"/>
        <w:bottom w:val="none" w:sz="0" w:space="0" w:color="auto"/>
        <w:right w:val="none" w:sz="0" w:space="0" w:color="auto"/>
      </w:divBdr>
    </w:div>
    <w:div w:id="1593464331">
      <w:bodyDiv w:val="1"/>
      <w:marLeft w:val="0"/>
      <w:marRight w:val="0"/>
      <w:marTop w:val="0"/>
      <w:marBottom w:val="0"/>
      <w:divBdr>
        <w:top w:val="none" w:sz="0" w:space="0" w:color="auto"/>
        <w:left w:val="none" w:sz="0" w:space="0" w:color="auto"/>
        <w:bottom w:val="none" w:sz="0" w:space="0" w:color="auto"/>
        <w:right w:val="none" w:sz="0" w:space="0" w:color="auto"/>
      </w:divBdr>
    </w:div>
    <w:div w:id="1597443122">
      <w:marLeft w:val="0"/>
      <w:marRight w:val="0"/>
      <w:marTop w:val="0"/>
      <w:marBottom w:val="0"/>
      <w:divBdr>
        <w:top w:val="none" w:sz="0" w:space="0" w:color="auto"/>
        <w:left w:val="none" w:sz="0" w:space="0" w:color="auto"/>
        <w:bottom w:val="none" w:sz="0" w:space="0" w:color="auto"/>
        <w:right w:val="none" w:sz="0" w:space="0" w:color="auto"/>
      </w:divBdr>
    </w:div>
    <w:div w:id="1602646071">
      <w:bodyDiv w:val="1"/>
      <w:marLeft w:val="0"/>
      <w:marRight w:val="0"/>
      <w:marTop w:val="0"/>
      <w:marBottom w:val="0"/>
      <w:divBdr>
        <w:top w:val="none" w:sz="0" w:space="0" w:color="auto"/>
        <w:left w:val="none" w:sz="0" w:space="0" w:color="auto"/>
        <w:bottom w:val="none" w:sz="0" w:space="0" w:color="auto"/>
        <w:right w:val="none" w:sz="0" w:space="0" w:color="auto"/>
      </w:divBdr>
    </w:div>
    <w:div w:id="1602833849">
      <w:bodyDiv w:val="1"/>
      <w:marLeft w:val="0"/>
      <w:marRight w:val="0"/>
      <w:marTop w:val="0"/>
      <w:marBottom w:val="0"/>
      <w:divBdr>
        <w:top w:val="none" w:sz="0" w:space="0" w:color="auto"/>
        <w:left w:val="none" w:sz="0" w:space="0" w:color="auto"/>
        <w:bottom w:val="none" w:sz="0" w:space="0" w:color="auto"/>
        <w:right w:val="none" w:sz="0" w:space="0" w:color="auto"/>
      </w:divBdr>
    </w:div>
    <w:div w:id="1609268013">
      <w:bodyDiv w:val="1"/>
      <w:marLeft w:val="0"/>
      <w:marRight w:val="0"/>
      <w:marTop w:val="0"/>
      <w:marBottom w:val="0"/>
      <w:divBdr>
        <w:top w:val="none" w:sz="0" w:space="0" w:color="auto"/>
        <w:left w:val="none" w:sz="0" w:space="0" w:color="auto"/>
        <w:bottom w:val="none" w:sz="0" w:space="0" w:color="auto"/>
        <w:right w:val="none" w:sz="0" w:space="0" w:color="auto"/>
      </w:divBdr>
    </w:div>
    <w:div w:id="1612669641">
      <w:bodyDiv w:val="1"/>
      <w:marLeft w:val="0"/>
      <w:marRight w:val="0"/>
      <w:marTop w:val="0"/>
      <w:marBottom w:val="0"/>
      <w:divBdr>
        <w:top w:val="none" w:sz="0" w:space="0" w:color="auto"/>
        <w:left w:val="none" w:sz="0" w:space="0" w:color="auto"/>
        <w:bottom w:val="none" w:sz="0" w:space="0" w:color="auto"/>
        <w:right w:val="none" w:sz="0" w:space="0" w:color="auto"/>
      </w:divBdr>
    </w:div>
    <w:div w:id="1614750541">
      <w:bodyDiv w:val="1"/>
      <w:marLeft w:val="0"/>
      <w:marRight w:val="0"/>
      <w:marTop w:val="0"/>
      <w:marBottom w:val="0"/>
      <w:divBdr>
        <w:top w:val="none" w:sz="0" w:space="0" w:color="auto"/>
        <w:left w:val="none" w:sz="0" w:space="0" w:color="auto"/>
        <w:bottom w:val="none" w:sz="0" w:space="0" w:color="auto"/>
        <w:right w:val="none" w:sz="0" w:space="0" w:color="auto"/>
      </w:divBdr>
    </w:div>
    <w:div w:id="1615593831">
      <w:bodyDiv w:val="1"/>
      <w:marLeft w:val="0"/>
      <w:marRight w:val="0"/>
      <w:marTop w:val="0"/>
      <w:marBottom w:val="0"/>
      <w:divBdr>
        <w:top w:val="none" w:sz="0" w:space="0" w:color="auto"/>
        <w:left w:val="none" w:sz="0" w:space="0" w:color="auto"/>
        <w:bottom w:val="none" w:sz="0" w:space="0" w:color="auto"/>
        <w:right w:val="none" w:sz="0" w:space="0" w:color="auto"/>
      </w:divBdr>
    </w:div>
    <w:div w:id="1621717660">
      <w:bodyDiv w:val="1"/>
      <w:marLeft w:val="0"/>
      <w:marRight w:val="0"/>
      <w:marTop w:val="0"/>
      <w:marBottom w:val="0"/>
      <w:divBdr>
        <w:top w:val="none" w:sz="0" w:space="0" w:color="auto"/>
        <w:left w:val="none" w:sz="0" w:space="0" w:color="auto"/>
        <w:bottom w:val="none" w:sz="0" w:space="0" w:color="auto"/>
        <w:right w:val="none" w:sz="0" w:space="0" w:color="auto"/>
      </w:divBdr>
    </w:div>
    <w:div w:id="1624731642">
      <w:bodyDiv w:val="1"/>
      <w:marLeft w:val="0"/>
      <w:marRight w:val="0"/>
      <w:marTop w:val="0"/>
      <w:marBottom w:val="0"/>
      <w:divBdr>
        <w:top w:val="none" w:sz="0" w:space="0" w:color="auto"/>
        <w:left w:val="none" w:sz="0" w:space="0" w:color="auto"/>
        <w:bottom w:val="none" w:sz="0" w:space="0" w:color="auto"/>
        <w:right w:val="none" w:sz="0" w:space="0" w:color="auto"/>
      </w:divBdr>
    </w:div>
    <w:div w:id="1627082866">
      <w:bodyDiv w:val="1"/>
      <w:marLeft w:val="0"/>
      <w:marRight w:val="0"/>
      <w:marTop w:val="0"/>
      <w:marBottom w:val="0"/>
      <w:divBdr>
        <w:top w:val="none" w:sz="0" w:space="0" w:color="auto"/>
        <w:left w:val="none" w:sz="0" w:space="0" w:color="auto"/>
        <w:bottom w:val="none" w:sz="0" w:space="0" w:color="auto"/>
        <w:right w:val="none" w:sz="0" w:space="0" w:color="auto"/>
      </w:divBdr>
    </w:div>
    <w:div w:id="1631747754">
      <w:bodyDiv w:val="1"/>
      <w:marLeft w:val="0"/>
      <w:marRight w:val="0"/>
      <w:marTop w:val="0"/>
      <w:marBottom w:val="0"/>
      <w:divBdr>
        <w:top w:val="none" w:sz="0" w:space="0" w:color="auto"/>
        <w:left w:val="none" w:sz="0" w:space="0" w:color="auto"/>
        <w:bottom w:val="none" w:sz="0" w:space="0" w:color="auto"/>
        <w:right w:val="none" w:sz="0" w:space="0" w:color="auto"/>
      </w:divBdr>
    </w:div>
    <w:div w:id="1638222236">
      <w:bodyDiv w:val="1"/>
      <w:marLeft w:val="0"/>
      <w:marRight w:val="0"/>
      <w:marTop w:val="0"/>
      <w:marBottom w:val="0"/>
      <w:divBdr>
        <w:top w:val="none" w:sz="0" w:space="0" w:color="auto"/>
        <w:left w:val="none" w:sz="0" w:space="0" w:color="auto"/>
        <w:bottom w:val="none" w:sz="0" w:space="0" w:color="auto"/>
        <w:right w:val="none" w:sz="0" w:space="0" w:color="auto"/>
      </w:divBdr>
    </w:div>
    <w:div w:id="1641106471">
      <w:bodyDiv w:val="1"/>
      <w:marLeft w:val="0"/>
      <w:marRight w:val="0"/>
      <w:marTop w:val="0"/>
      <w:marBottom w:val="0"/>
      <w:divBdr>
        <w:top w:val="none" w:sz="0" w:space="0" w:color="auto"/>
        <w:left w:val="none" w:sz="0" w:space="0" w:color="auto"/>
        <w:bottom w:val="none" w:sz="0" w:space="0" w:color="auto"/>
        <w:right w:val="none" w:sz="0" w:space="0" w:color="auto"/>
      </w:divBdr>
    </w:div>
    <w:div w:id="1642534418">
      <w:bodyDiv w:val="1"/>
      <w:marLeft w:val="0"/>
      <w:marRight w:val="0"/>
      <w:marTop w:val="0"/>
      <w:marBottom w:val="0"/>
      <w:divBdr>
        <w:top w:val="none" w:sz="0" w:space="0" w:color="auto"/>
        <w:left w:val="none" w:sz="0" w:space="0" w:color="auto"/>
        <w:bottom w:val="none" w:sz="0" w:space="0" w:color="auto"/>
        <w:right w:val="none" w:sz="0" w:space="0" w:color="auto"/>
      </w:divBdr>
    </w:div>
    <w:div w:id="1643542617">
      <w:bodyDiv w:val="1"/>
      <w:marLeft w:val="0"/>
      <w:marRight w:val="0"/>
      <w:marTop w:val="0"/>
      <w:marBottom w:val="0"/>
      <w:divBdr>
        <w:top w:val="none" w:sz="0" w:space="0" w:color="auto"/>
        <w:left w:val="none" w:sz="0" w:space="0" w:color="auto"/>
        <w:bottom w:val="none" w:sz="0" w:space="0" w:color="auto"/>
        <w:right w:val="none" w:sz="0" w:space="0" w:color="auto"/>
      </w:divBdr>
    </w:div>
    <w:div w:id="1643585120">
      <w:bodyDiv w:val="1"/>
      <w:marLeft w:val="0"/>
      <w:marRight w:val="0"/>
      <w:marTop w:val="0"/>
      <w:marBottom w:val="0"/>
      <w:divBdr>
        <w:top w:val="none" w:sz="0" w:space="0" w:color="auto"/>
        <w:left w:val="none" w:sz="0" w:space="0" w:color="auto"/>
        <w:bottom w:val="none" w:sz="0" w:space="0" w:color="auto"/>
        <w:right w:val="none" w:sz="0" w:space="0" w:color="auto"/>
      </w:divBdr>
    </w:div>
    <w:div w:id="1650398922">
      <w:bodyDiv w:val="1"/>
      <w:marLeft w:val="0"/>
      <w:marRight w:val="0"/>
      <w:marTop w:val="0"/>
      <w:marBottom w:val="0"/>
      <w:divBdr>
        <w:top w:val="none" w:sz="0" w:space="0" w:color="auto"/>
        <w:left w:val="none" w:sz="0" w:space="0" w:color="auto"/>
        <w:bottom w:val="none" w:sz="0" w:space="0" w:color="auto"/>
        <w:right w:val="none" w:sz="0" w:space="0" w:color="auto"/>
      </w:divBdr>
    </w:div>
    <w:div w:id="1651009733">
      <w:bodyDiv w:val="1"/>
      <w:marLeft w:val="0"/>
      <w:marRight w:val="0"/>
      <w:marTop w:val="0"/>
      <w:marBottom w:val="0"/>
      <w:divBdr>
        <w:top w:val="none" w:sz="0" w:space="0" w:color="auto"/>
        <w:left w:val="none" w:sz="0" w:space="0" w:color="auto"/>
        <w:bottom w:val="none" w:sz="0" w:space="0" w:color="auto"/>
        <w:right w:val="none" w:sz="0" w:space="0" w:color="auto"/>
      </w:divBdr>
    </w:div>
    <w:div w:id="1661076966">
      <w:bodyDiv w:val="1"/>
      <w:marLeft w:val="0"/>
      <w:marRight w:val="0"/>
      <w:marTop w:val="0"/>
      <w:marBottom w:val="0"/>
      <w:divBdr>
        <w:top w:val="none" w:sz="0" w:space="0" w:color="auto"/>
        <w:left w:val="none" w:sz="0" w:space="0" w:color="auto"/>
        <w:bottom w:val="none" w:sz="0" w:space="0" w:color="auto"/>
        <w:right w:val="none" w:sz="0" w:space="0" w:color="auto"/>
      </w:divBdr>
    </w:div>
    <w:div w:id="1664703252">
      <w:bodyDiv w:val="1"/>
      <w:marLeft w:val="0"/>
      <w:marRight w:val="0"/>
      <w:marTop w:val="0"/>
      <w:marBottom w:val="0"/>
      <w:divBdr>
        <w:top w:val="none" w:sz="0" w:space="0" w:color="auto"/>
        <w:left w:val="none" w:sz="0" w:space="0" w:color="auto"/>
        <w:bottom w:val="none" w:sz="0" w:space="0" w:color="auto"/>
        <w:right w:val="none" w:sz="0" w:space="0" w:color="auto"/>
      </w:divBdr>
    </w:div>
    <w:div w:id="1680739028">
      <w:bodyDiv w:val="1"/>
      <w:marLeft w:val="0"/>
      <w:marRight w:val="0"/>
      <w:marTop w:val="0"/>
      <w:marBottom w:val="0"/>
      <w:divBdr>
        <w:top w:val="none" w:sz="0" w:space="0" w:color="auto"/>
        <w:left w:val="none" w:sz="0" w:space="0" w:color="auto"/>
        <w:bottom w:val="none" w:sz="0" w:space="0" w:color="auto"/>
        <w:right w:val="none" w:sz="0" w:space="0" w:color="auto"/>
      </w:divBdr>
    </w:div>
    <w:div w:id="1691953954">
      <w:bodyDiv w:val="1"/>
      <w:marLeft w:val="0"/>
      <w:marRight w:val="0"/>
      <w:marTop w:val="0"/>
      <w:marBottom w:val="0"/>
      <w:divBdr>
        <w:top w:val="none" w:sz="0" w:space="0" w:color="auto"/>
        <w:left w:val="none" w:sz="0" w:space="0" w:color="auto"/>
        <w:bottom w:val="none" w:sz="0" w:space="0" w:color="auto"/>
        <w:right w:val="none" w:sz="0" w:space="0" w:color="auto"/>
      </w:divBdr>
    </w:div>
    <w:div w:id="1694767838">
      <w:bodyDiv w:val="1"/>
      <w:marLeft w:val="0"/>
      <w:marRight w:val="0"/>
      <w:marTop w:val="0"/>
      <w:marBottom w:val="0"/>
      <w:divBdr>
        <w:top w:val="none" w:sz="0" w:space="0" w:color="auto"/>
        <w:left w:val="none" w:sz="0" w:space="0" w:color="auto"/>
        <w:bottom w:val="none" w:sz="0" w:space="0" w:color="auto"/>
        <w:right w:val="none" w:sz="0" w:space="0" w:color="auto"/>
      </w:divBdr>
    </w:div>
    <w:div w:id="1696230831">
      <w:bodyDiv w:val="1"/>
      <w:marLeft w:val="0"/>
      <w:marRight w:val="0"/>
      <w:marTop w:val="0"/>
      <w:marBottom w:val="0"/>
      <w:divBdr>
        <w:top w:val="none" w:sz="0" w:space="0" w:color="auto"/>
        <w:left w:val="none" w:sz="0" w:space="0" w:color="auto"/>
        <w:bottom w:val="none" w:sz="0" w:space="0" w:color="auto"/>
        <w:right w:val="none" w:sz="0" w:space="0" w:color="auto"/>
      </w:divBdr>
    </w:div>
    <w:div w:id="1710718243">
      <w:bodyDiv w:val="1"/>
      <w:marLeft w:val="0"/>
      <w:marRight w:val="0"/>
      <w:marTop w:val="0"/>
      <w:marBottom w:val="0"/>
      <w:divBdr>
        <w:top w:val="none" w:sz="0" w:space="0" w:color="auto"/>
        <w:left w:val="none" w:sz="0" w:space="0" w:color="auto"/>
        <w:bottom w:val="none" w:sz="0" w:space="0" w:color="auto"/>
        <w:right w:val="none" w:sz="0" w:space="0" w:color="auto"/>
      </w:divBdr>
    </w:div>
    <w:div w:id="1712918221">
      <w:bodyDiv w:val="1"/>
      <w:marLeft w:val="0"/>
      <w:marRight w:val="0"/>
      <w:marTop w:val="0"/>
      <w:marBottom w:val="0"/>
      <w:divBdr>
        <w:top w:val="none" w:sz="0" w:space="0" w:color="auto"/>
        <w:left w:val="none" w:sz="0" w:space="0" w:color="auto"/>
        <w:bottom w:val="none" w:sz="0" w:space="0" w:color="auto"/>
        <w:right w:val="none" w:sz="0" w:space="0" w:color="auto"/>
      </w:divBdr>
    </w:div>
    <w:div w:id="1717269996">
      <w:bodyDiv w:val="1"/>
      <w:marLeft w:val="0"/>
      <w:marRight w:val="0"/>
      <w:marTop w:val="0"/>
      <w:marBottom w:val="0"/>
      <w:divBdr>
        <w:top w:val="none" w:sz="0" w:space="0" w:color="auto"/>
        <w:left w:val="none" w:sz="0" w:space="0" w:color="auto"/>
        <w:bottom w:val="none" w:sz="0" w:space="0" w:color="auto"/>
        <w:right w:val="none" w:sz="0" w:space="0" w:color="auto"/>
      </w:divBdr>
    </w:div>
    <w:div w:id="1739398509">
      <w:bodyDiv w:val="1"/>
      <w:marLeft w:val="0"/>
      <w:marRight w:val="0"/>
      <w:marTop w:val="0"/>
      <w:marBottom w:val="0"/>
      <w:divBdr>
        <w:top w:val="none" w:sz="0" w:space="0" w:color="auto"/>
        <w:left w:val="none" w:sz="0" w:space="0" w:color="auto"/>
        <w:bottom w:val="none" w:sz="0" w:space="0" w:color="auto"/>
        <w:right w:val="none" w:sz="0" w:space="0" w:color="auto"/>
      </w:divBdr>
    </w:div>
    <w:div w:id="1740904471">
      <w:bodyDiv w:val="1"/>
      <w:marLeft w:val="0"/>
      <w:marRight w:val="0"/>
      <w:marTop w:val="0"/>
      <w:marBottom w:val="0"/>
      <w:divBdr>
        <w:top w:val="none" w:sz="0" w:space="0" w:color="auto"/>
        <w:left w:val="none" w:sz="0" w:space="0" w:color="auto"/>
        <w:bottom w:val="none" w:sz="0" w:space="0" w:color="auto"/>
        <w:right w:val="none" w:sz="0" w:space="0" w:color="auto"/>
      </w:divBdr>
      <w:divsChild>
        <w:div w:id="1576667643">
          <w:marLeft w:val="0"/>
          <w:marRight w:val="0"/>
          <w:marTop w:val="0"/>
          <w:marBottom w:val="0"/>
          <w:divBdr>
            <w:top w:val="none" w:sz="0" w:space="0" w:color="auto"/>
            <w:left w:val="none" w:sz="0" w:space="0" w:color="auto"/>
            <w:bottom w:val="none" w:sz="0" w:space="0" w:color="auto"/>
            <w:right w:val="none" w:sz="0" w:space="0" w:color="auto"/>
          </w:divBdr>
          <w:divsChild>
            <w:div w:id="900020344">
              <w:marLeft w:val="0"/>
              <w:marRight w:val="0"/>
              <w:marTop w:val="0"/>
              <w:marBottom w:val="0"/>
              <w:divBdr>
                <w:top w:val="none" w:sz="0" w:space="0" w:color="auto"/>
                <w:left w:val="none" w:sz="0" w:space="0" w:color="auto"/>
                <w:bottom w:val="none" w:sz="0" w:space="0" w:color="auto"/>
                <w:right w:val="none" w:sz="0" w:space="0" w:color="auto"/>
              </w:divBdr>
              <w:divsChild>
                <w:div w:id="260914418">
                  <w:marLeft w:val="0"/>
                  <w:marRight w:val="0"/>
                  <w:marTop w:val="0"/>
                  <w:marBottom w:val="0"/>
                  <w:divBdr>
                    <w:top w:val="none" w:sz="0" w:space="0" w:color="auto"/>
                    <w:left w:val="none" w:sz="0" w:space="0" w:color="auto"/>
                    <w:bottom w:val="none" w:sz="0" w:space="0" w:color="auto"/>
                    <w:right w:val="none" w:sz="0" w:space="0" w:color="auto"/>
                  </w:divBdr>
                  <w:divsChild>
                    <w:div w:id="12390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88828">
      <w:bodyDiv w:val="1"/>
      <w:marLeft w:val="0"/>
      <w:marRight w:val="0"/>
      <w:marTop w:val="0"/>
      <w:marBottom w:val="0"/>
      <w:divBdr>
        <w:top w:val="none" w:sz="0" w:space="0" w:color="auto"/>
        <w:left w:val="none" w:sz="0" w:space="0" w:color="auto"/>
        <w:bottom w:val="none" w:sz="0" w:space="0" w:color="auto"/>
        <w:right w:val="none" w:sz="0" w:space="0" w:color="auto"/>
      </w:divBdr>
    </w:div>
    <w:div w:id="1759448867">
      <w:bodyDiv w:val="1"/>
      <w:marLeft w:val="0"/>
      <w:marRight w:val="0"/>
      <w:marTop w:val="0"/>
      <w:marBottom w:val="0"/>
      <w:divBdr>
        <w:top w:val="none" w:sz="0" w:space="0" w:color="auto"/>
        <w:left w:val="none" w:sz="0" w:space="0" w:color="auto"/>
        <w:bottom w:val="none" w:sz="0" w:space="0" w:color="auto"/>
        <w:right w:val="none" w:sz="0" w:space="0" w:color="auto"/>
      </w:divBdr>
    </w:div>
    <w:div w:id="1767655707">
      <w:bodyDiv w:val="1"/>
      <w:marLeft w:val="0"/>
      <w:marRight w:val="0"/>
      <w:marTop w:val="0"/>
      <w:marBottom w:val="0"/>
      <w:divBdr>
        <w:top w:val="none" w:sz="0" w:space="0" w:color="auto"/>
        <w:left w:val="none" w:sz="0" w:space="0" w:color="auto"/>
        <w:bottom w:val="none" w:sz="0" w:space="0" w:color="auto"/>
        <w:right w:val="none" w:sz="0" w:space="0" w:color="auto"/>
      </w:divBdr>
    </w:div>
    <w:div w:id="1771390486">
      <w:bodyDiv w:val="1"/>
      <w:marLeft w:val="0"/>
      <w:marRight w:val="0"/>
      <w:marTop w:val="0"/>
      <w:marBottom w:val="0"/>
      <w:divBdr>
        <w:top w:val="none" w:sz="0" w:space="0" w:color="auto"/>
        <w:left w:val="none" w:sz="0" w:space="0" w:color="auto"/>
        <w:bottom w:val="none" w:sz="0" w:space="0" w:color="auto"/>
        <w:right w:val="none" w:sz="0" w:space="0" w:color="auto"/>
      </w:divBdr>
    </w:div>
    <w:div w:id="1774208892">
      <w:bodyDiv w:val="1"/>
      <w:marLeft w:val="0"/>
      <w:marRight w:val="0"/>
      <w:marTop w:val="0"/>
      <w:marBottom w:val="0"/>
      <w:divBdr>
        <w:top w:val="none" w:sz="0" w:space="0" w:color="auto"/>
        <w:left w:val="none" w:sz="0" w:space="0" w:color="auto"/>
        <w:bottom w:val="none" w:sz="0" w:space="0" w:color="auto"/>
        <w:right w:val="none" w:sz="0" w:space="0" w:color="auto"/>
      </w:divBdr>
    </w:div>
    <w:div w:id="1777557314">
      <w:bodyDiv w:val="1"/>
      <w:marLeft w:val="120"/>
      <w:marRight w:val="120"/>
      <w:marTop w:val="0"/>
      <w:marBottom w:val="0"/>
      <w:divBdr>
        <w:top w:val="none" w:sz="0" w:space="0" w:color="auto"/>
        <w:left w:val="none" w:sz="0" w:space="0" w:color="auto"/>
        <w:bottom w:val="none" w:sz="0" w:space="0" w:color="auto"/>
        <w:right w:val="none" w:sz="0" w:space="0" w:color="auto"/>
      </w:divBdr>
      <w:divsChild>
        <w:div w:id="1017197217">
          <w:marLeft w:val="0"/>
          <w:marRight w:val="0"/>
          <w:marTop w:val="0"/>
          <w:marBottom w:val="0"/>
          <w:divBdr>
            <w:top w:val="none" w:sz="0" w:space="0" w:color="auto"/>
            <w:left w:val="none" w:sz="0" w:space="0" w:color="auto"/>
            <w:bottom w:val="none" w:sz="0" w:space="0" w:color="auto"/>
            <w:right w:val="none" w:sz="0" w:space="0" w:color="auto"/>
          </w:divBdr>
          <w:divsChild>
            <w:div w:id="13096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6861">
      <w:bodyDiv w:val="1"/>
      <w:marLeft w:val="0"/>
      <w:marRight w:val="0"/>
      <w:marTop w:val="0"/>
      <w:marBottom w:val="0"/>
      <w:divBdr>
        <w:top w:val="none" w:sz="0" w:space="0" w:color="auto"/>
        <w:left w:val="none" w:sz="0" w:space="0" w:color="auto"/>
        <w:bottom w:val="none" w:sz="0" w:space="0" w:color="auto"/>
        <w:right w:val="none" w:sz="0" w:space="0" w:color="auto"/>
      </w:divBdr>
    </w:div>
    <w:div w:id="1793596627">
      <w:bodyDiv w:val="1"/>
      <w:marLeft w:val="0"/>
      <w:marRight w:val="0"/>
      <w:marTop w:val="0"/>
      <w:marBottom w:val="0"/>
      <w:divBdr>
        <w:top w:val="none" w:sz="0" w:space="0" w:color="auto"/>
        <w:left w:val="none" w:sz="0" w:space="0" w:color="auto"/>
        <w:bottom w:val="none" w:sz="0" w:space="0" w:color="auto"/>
        <w:right w:val="none" w:sz="0" w:space="0" w:color="auto"/>
      </w:divBdr>
    </w:div>
    <w:div w:id="1794396845">
      <w:bodyDiv w:val="1"/>
      <w:marLeft w:val="0"/>
      <w:marRight w:val="0"/>
      <w:marTop w:val="0"/>
      <w:marBottom w:val="0"/>
      <w:divBdr>
        <w:top w:val="none" w:sz="0" w:space="0" w:color="auto"/>
        <w:left w:val="none" w:sz="0" w:space="0" w:color="auto"/>
        <w:bottom w:val="none" w:sz="0" w:space="0" w:color="auto"/>
        <w:right w:val="none" w:sz="0" w:space="0" w:color="auto"/>
      </w:divBdr>
    </w:div>
    <w:div w:id="1804804587">
      <w:bodyDiv w:val="1"/>
      <w:marLeft w:val="0"/>
      <w:marRight w:val="0"/>
      <w:marTop w:val="0"/>
      <w:marBottom w:val="0"/>
      <w:divBdr>
        <w:top w:val="none" w:sz="0" w:space="0" w:color="auto"/>
        <w:left w:val="none" w:sz="0" w:space="0" w:color="auto"/>
        <w:bottom w:val="none" w:sz="0" w:space="0" w:color="auto"/>
        <w:right w:val="none" w:sz="0" w:space="0" w:color="auto"/>
      </w:divBdr>
    </w:div>
    <w:div w:id="1816297398">
      <w:bodyDiv w:val="1"/>
      <w:marLeft w:val="0"/>
      <w:marRight w:val="0"/>
      <w:marTop w:val="0"/>
      <w:marBottom w:val="0"/>
      <w:divBdr>
        <w:top w:val="none" w:sz="0" w:space="0" w:color="auto"/>
        <w:left w:val="none" w:sz="0" w:space="0" w:color="auto"/>
        <w:bottom w:val="none" w:sz="0" w:space="0" w:color="auto"/>
        <w:right w:val="none" w:sz="0" w:space="0" w:color="auto"/>
      </w:divBdr>
    </w:div>
    <w:div w:id="1817338750">
      <w:bodyDiv w:val="1"/>
      <w:marLeft w:val="0"/>
      <w:marRight w:val="0"/>
      <w:marTop w:val="0"/>
      <w:marBottom w:val="0"/>
      <w:divBdr>
        <w:top w:val="none" w:sz="0" w:space="0" w:color="auto"/>
        <w:left w:val="none" w:sz="0" w:space="0" w:color="auto"/>
        <w:bottom w:val="none" w:sz="0" w:space="0" w:color="auto"/>
        <w:right w:val="none" w:sz="0" w:space="0" w:color="auto"/>
      </w:divBdr>
    </w:div>
    <w:div w:id="1820489697">
      <w:bodyDiv w:val="1"/>
      <w:marLeft w:val="0"/>
      <w:marRight w:val="0"/>
      <w:marTop w:val="0"/>
      <w:marBottom w:val="0"/>
      <w:divBdr>
        <w:top w:val="none" w:sz="0" w:space="0" w:color="auto"/>
        <w:left w:val="none" w:sz="0" w:space="0" w:color="auto"/>
        <w:bottom w:val="none" w:sz="0" w:space="0" w:color="auto"/>
        <w:right w:val="none" w:sz="0" w:space="0" w:color="auto"/>
      </w:divBdr>
    </w:div>
    <w:div w:id="1822382438">
      <w:bodyDiv w:val="1"/>
      <w:marLeft w:val="120"/>
      <w:marRight w:val="120"/>
      <w:marTop w:val="0"/>
      <w:marBottom w:val="0"/>
      <w:divBdr>
        <w:top w:val="none" w:sz="0" w:space="0" w:color="auto"/>
        <w:left w:val="none" w:sz="0" w:space="0" w:color="auto"/>
        <w:bottom w:val="none" w:sz="0" w:space="0" w:color="auto"/>
        <w:right w:val="none" w:sz="0" w:space="0" w:color="auto"/>
      </w:divBdr>
      <w:divsChild>
        <w:div w:id="2046174463">
          <w:marLeft w:val="0"/>
          <w:marRight w:val="0"/>
          <w:marTop w:val="0"/>
          <w:marBottom w:val="0"/>
          <w:divBdr>
            <w:top w:val="none" w:sz="0" w:space="0" w:color="auto"/>
            <w:left w:val="none" w:sz="0" w:space="0" w:color="auto"/>
            <w:bottom w:val="none" w:sz="0" w:space="0" w:color="auto"/>
            <w:right w:val="none" w:sz="0" w:space="0" w:color="auto"/>
          </w:divBdr>
          <w:divsChild>
            <w:div w:id="657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978">
      <w:bodyDiv w:val="1"/>
      <w:marLeft w:val="0"/>
      <w:marRight w:val="0"/>
      <w:marTop w:val="0"/>
      <w:marBottom w:val="0"/>
      <w:divBdr>
        <w:top w:val="none" w:sz="0" w:space="0" w:color="auto"/>
        <w:left w:val="none" w:sz="0" w:space="0" w:color="auto"/>
        <w:bottom w:val="none" w:sz="0" w:space="0" w:color="auto"/>
        <w:right w:val="none" w:sz="0" w:space="0" w:color="auto"/>
      </w:divBdr>
    </w:div>
    <w:div w:id="1824926149">
      <w:bodyDiv w:val="1"/>
      <w:marLeft w:val="0"/>
      <w:marRight w:val="0"/>
      <w:marTop w:val="0"/>
      <w:marBottom w:val="0"/>
      <w:divBdr>
        <w:top w:val="none" w:sz="0" w:space="0" w:color="auto"/>
        <w:left w:val="none" w:sz="0" w:space="0" w:color="auto"/>
        <w:bottom w:val="none" w:sz="0" w:space="0" w:color="auto"/>
        <w:right w:val="none" w:sz="0" w:space="0" w:color="auto"/>
      </w:divBdr>
    </w:div>
    <w:div w:id="1827941476">
      <w:bodyDiv w:val="1"/>
      <w:marLeft w:val="0"/>
      <w:marRight w:val="0"/>
      <w:marTop w:val="0"/>
      <w:marBottom w:val="0"/>
      <w:divBdr>
        <w:top w:val="none" w:sz="0" w:space="0" w:color="auto"/>
        <w:left w:val="none" w:sz="0" w:space="0" w:color="auto"/>
        <w:bottom w:val="none" w:sz="0" w:space="0" w:color="auto"/>
        <w:right w:val="none" w:sz="0" w:space="0" w:color="auto"/>
      </w:divBdr>
    </w:div>
    <w:div w:id="1833639865">
      <w:bodyDiv w:val="1"/>
      <w:marLeft w:val="0"/>
      <w:marRight w:val="0"/>
      <w:marTop w:val="0"/>
      <w:marBottom w:val="0"/>
      <w:divBdr>
        <w:top w:val="none" w:sz="0" w:space="0" w:color="auto"/>
        <w:left w:val="none" w:sz="0" w:space="0" w:color="auto"/>
        <w:bottom w:val="none" w:sz="0" w:space="0" w:color="auto"/>
        <w:right w:val="none" w:sz="0" w:space="0" w:color="auto"/>
      </w:divBdr>
    </w:div>
    <w:div w:id="1835148047">
      <w:bodyDiv w:val="1"/>
      <w:marLeft w:val="0"/>
      <w:marRight w:val="0"/>
      <w:marTop w:val="0"/>
      <w:marBottom w:val="0"/>
      <w:divBdr>
        <w:top w:val="none" w:sz="0" w:space="0" w:color="auto"/>
        <w:left w:val="none" w:sz="0" w:space="0" w:color="auto"/>
        <w:bottom w:val="none" w:sz="0" w:space="0" w:color="auto"/>
        <w:right w:val="none" w:sz="0" w:space="0" w:color="auto"/>
      </w:divBdr>
    </w:div>
    <w:div w:id="1839927199">
      <w:bodyDiv w:val="1"/>
      <w:marLeft w:val="0"/>
      <w:marRight w:val="0"/>
      <w:marTop w:val="0"/>
      <w:marBottom w:val="0"/>
      <w:divBdr>
        <w:top w:val="none" w:sz="0" w:space="0" w:color="auto"/>
        <w:left w:val="none" w:sz="0" w:space="0" w:color="auto"/>
        <w:bottom w:val="none" w:sz="0" w:space="0" w:color="auto"/>
        <w:right w:val="none" w:sz="0" w:space="0" w:color="auto"/>
      </w:divBdr>
    </w:div>
    <w:div w:id="1848203225">
      <w:bodyDiv w:val="1"/>
      <w:marLeft w:val="0"/>
      <w:marRight w:val="0"/>
      <w:marTop w:val="0"/>
      <w:marBottom w:val="0"/>
      <w:divBdr>
        <w:top w:val="none" w:sz="0" w:space="0" w:color="auto"/>
        <w:left w:val="none" w:sz="0" w:space="0" w:color="auto"/>
        <w:bottom w:val="none" w:sz="0" w:space="0" w:color="auto"/>
        <w:right w:val="none" w:sz="0" w:space="0" w:color="auto"/>
      </w:divBdr>
    </w:div>
    <w:div w:id="1861233381">
      <w:bodyDiv w:val="1"/>
      <w:marLeft w:val="0"/>
      <w:marRight w:val="0"/>
      <w:marTop w:val="0"/>
      <w:marBottom w:val="0"/>
      <w:divBdr>
        <w:top w:val="none" w:sz="0" w:space="0" w:color="auto"/>
        <w:left w:val="none" w:sz="0" w:space="0" w:color="auto"/>
        <w:bottom w:val="none" w:sz="0" w:space="0" w:color="auto"/>
        <w:right w:val="none" w:sz="0" w:space="0" w:color="auto"/>
      </w:divBdr>
    </w:div>
    <w:div w:id="1861815507">
      <w:bodyDiv w:val="1"/>
      <w:marLeft w:val="0"/>
      <w:marRight w:val="0"/>
      <w:marTop w:val="0"/>
      <w:marBottom w:val="0"/>
      <w:divBdr>
        <w:top w:val="none" w:sz="0" w:space="0" w:color="auto"/>
        <w:left w:val="none" w:sz="0" w:space="0" w:color="auto"/>
        <w:bottom w:val="none" w:sz="0" w:space="0" w:color="auto"/>
        <w:right w:val="none" w:sz="0" w:space="0" w:color="auto"/>
      </w:divBdr>
    </w:div>
    <w:div w:id="1864319339">
      <w:bodyDiv w:val="1"/>
      <w:marLeft w:val="0"/>
      <w:marRight w:val="0"/>
      <w:marTop w:val="0"/>
      <w:marBottom w:val="0"/>
      <w:divBdr>
        <w:top w:val="none" w:sz="0" w:space="0" w:color="auto"/>
        <w:left w:val="none" w:sz="0" w:space="0" w:color="auto"/>
        <w:bottom w:val="none" w:sz="0" w:space="0" w:color="auto"/>
        <w:right w:val="none" w:sz="0" w:space="0" w:color="auto"/>
      </w:divBdr>
    </w:div>
    <w:div w:id="1864853962">
      <w:bodyDiv w:val="1"/>
      <w:marLeft w:val="0"/>
      <w:marRight w:val="0"/>
      <w:marTop w:val="0"/>
      <w:marBottom w:val="0"/>
      <w:divBdr>
        <w:top w:val="none" w:sz="0" w:space="0" w:color="auto"/>
        <w:left w:val="none" w:sz="0" w:space="0" w:color="auto"/>
        <w:bottom w:val="none" w:sz="0" w:space="0" w:color="auto"/>
        <w:right w:val="none" w:sz="0" w:space="0" w:color="auto"/>
      </w:divBdr>
    </w:div>
    <w:div w:id="1874342507">
      <w:bodyDiv w:val="1"/>
      <w:marLeft w:val="0"/>
      <w:marRight w:val="0"/>
      <w:marTop w:val="0"/>
      <w:marBottom w:val="0"/>
      <w:divBdr>
        <w:top w:val="none" w:sz="0" w:space="0" w:color="auto"/>
        <w:left w:val="none" w:sz="0" w:space="0" w:color="auto"/>
        <w:bottom w:val="none" w:sz="0" w:space="0" w:color="auto"/>
        <w:right w:val="none" w:sz="0" w:space="0" w:color="auto"/>
      </w:divBdr>
    </w:div>
    <w:div w:id="1874537907">
      <w:bodyDiv w:val="1"/>
      <w:marLeft w:val="0"/>
      <w:marRight w:val="0"/>
      <w:marTop w:val="0"/>
      <w:marBottom w:val="0"/>
      <w:divBdr>
        <w:top w:val="none" w:sz="0" w:space="0" w:color="auto"/>
        <w:left w:val="none" w:sz="0" w:space="0" w:color="auto"/>
        <w:bottom w:val="none" w:sz="0" w:space="0" w:color="auto"/>
        <w:right w:val="none" w:sz="0" w:space="0" w:color="auto"/>
      </w:divBdr>
    </w:div>
    <w:div w:id="1874608065">
      <w:bodyDiv w:val="1"/>
      <w:marLeft w:val="0"/>
      <w:marRight w:val="0"/>
      <w:marTop w:val="0"/>
      <w:marBottom w:val="0"/>
      <w:divBdr>
        <w:top w:val="none" w:sz="0" w:space="0" w:color="auto"/>
        <w:left w:val="none" w:sz="0" w:space="0" w:color="auto"/>
        <w:bottom w:val="none" w:sz="0" w:space="0" w:color="auto"/>
        <w:right w:val="none" w:sz="0" w:space="0" w:color="auto"/>
      </w:divBdr>
    </w:div>
    <w:div w:id="1874807391">
      <w:bodyDiv w:val="1"/>
      <w:marLeft w:val="0"/>
      <w:marRight w:val="0"/>
      <w:marTop w:val="0"/>
      <w:marBottom w:val="0"/>
      <w:divBdr>
        <w:top w:val="none" w:sz="0" w:space="0" w:color="auto"/>
        <w:left w:val="none" w:sz="0" w:space="0" w:color="auto"/>
        <w:bottom w:val="none" w:sz="0" w:space="0" w:color="auto"/>
        <w:right w:val="none" w:sz="0" w:space="0" w:color="auto"/>
      </w:divBdr>
    </w:div>
    <w:div w:id="1883513166">
      <w:bodyDiv w:val="1"/>
      <w:marLeft w:val="120"/>
      <w:marRight w:val="120"/>
      <w:marTop w:val="0"/>
      <w:marBottom w:val="0"/>
      <w:divBdr>
        <w:top w:val="none" w:sz="0" w:space="0" w:color="auto"/>
        <w:left w:val="none" w:sz="0" w:space="0" w:color="auto"/>
        <w:bottom w:val="none" w:sz="0" w:space="0" w:color="auto"/>
        <w:right w:val="none" w:sz="0" w:space="0" w:color="auto"/>
      </w:divBdr>
      <w:divsChild>
        <w:div w:id="2023317040">
          <w:marLeft w:val="0"/>
          <w:marRight w:val="0"/>
          <w:marTop w:val="0"/>
          <w:marBottom w:val="0"/>
          <w:divBdr>
            <w:top w:val="none" w:sz="0" w:space="0" w:color="auto"/>
            <w:left w:val="none" w:sz="0" w:space="0" w:color="auto"/>
            <w:bottom w:val="none" w:sz="0" w:space="0" w:color="auto"/>
            <w:right w:val="none" w:sz="0" w:space="0" w:color="auto"/>
          </w:divBdr>
          <w:divsChild>
            <w:div w:id="16380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699">
      <w:bodyDiv w:val="1"/>
      <w:marLeft w:val="0"/>
      <w:marRight w:val="0"/>
      <w:marTop w:val="0"/>
      <w:marBottom w:val="0"/>
      <w:divBdr>
        <w:top w:val="none" w:sz="0" w:space="0" w:color="auto"/>
        <w:left w:val="none" w:sz="0" w:space="0" w:color="auto"/>
        <w:bottom w:val="none" w:sz="0" w:space="0" w:color="auto"/>
        <w:right w:val="none" w:sz="0" w:space="0" w:color="auto"/>
      </w:divBdr>
    </w:div>
    <w:div w:id="1884250045">
      <w:bodyDiv w:val="1"/>
      <w:marLeft w:val="0"/>
      <w:marRight w:val="0"/>
      <w:marTop w:val="0"/>
      <w:marBottom w:val="0"/>
      <w:divBdr>
        <w:top w:val="none" w:sz="0" w:space="0" w:color="auto"/>
        <w:left w:val="none" w:sz="0" w:space="0" w:color="auto"/>
        <w:bottom w:val="none" w:sz="0" w:space="0" w:color="auto"/>
        <w:right w:val="none" w:sz="0" w:space="0" w:color="auto"/>
      </w:divBdr>
    </w:div>
    <w:div w:id="1895000396">
      <w:bodyDiv w:val="1"/>
      <w:marLeft w:val="0"/>
      <w:marRight w:val="0"/>
      <w:marTop w:val="0"/>
      <w:marBottom w:val="0"/>
      <w:divBdr>
        <w:top w:val="none" w:sz="0" w:space="0" w:color="auto"/>
        <w:left w:val="none" w:sz="0" w:space="0" w:color="auto"/>
        <w:bottom w:val="none" w:sz="0" w:space="0" w:color="auto"/>
        <w:right w:val="none" w:sz="0" w:space="0" w:color="auto"/>
      </w:divBdr>
    </w:div>
    <w:div w:id="1899778419">
      <w:bodyDiv w:val="1"/>
      <w:marLeft w:val="0"/>
      <w:marRight w:val="0"/>
      <w:marTop w:val="0"/>
      <w:marBottom w:val="0"/>
      <w:divBdr>
        <w:top w:val="none" w:sz="0" w:space="0" w:color="auto"/>
        <w:left w:val="none" w:sz="0" w:space="0" w:color="auto"/>
        <w:bottom w:val="none" w:sz="0" w:space="0" w:color="auto"/>
        <w:right w:val="none" w:sz="0" w:space="0" w:color="auto"/>
      </w:divBdr>
    </w:div>
    <w:div w:id="1907297908">
      <w:bodyDiv w:val="1"/>
      <w:marLeft w:val="0"/>
      <w:marRight w:val="0"/>
      <w:marTop w:val="0"/>
      <w:marBottom w:val="0"/>
      <w:divBdr>
        <w:top w:val="none" w:sz="0" w:space="0" w:color="auto"/>
        <w:left w:val="none" w:sz="0" w:space="0" w:color="auto"/>
        <w:bottom w:val="none" w:sz="0" w:space="0" w:color="auto"/>
        <w:right w:val="none" w:sz="0" w:space="0" w:color="auto"/>
      </w:divBdr>
    </w:div>
    <w:div w:id="1908569730">
      <w:bodyDiv w:val="1"/>
      <w:marLeft w:val="0"/>
      <w:marRight w:val="0"/>
      <w:marTop w:val="0"/>
      <w:marBottom w:val="0"/>
      <w:divBdr>
        <w:top w:val="none" w:sz="0" w:space="0" w:color="auto"/>
        <w:left w:val="none" w:sz="0" w:space="0" w:color="auto"/>
        <w:bottom w:val="none" w:sz="0" w:space="0" w:color="auto"/>
        <w:right w:val="none" w:sz="0" w:space="0" w:color="auto"/>
      </w:divBdr>
    </w:div>
    <w:div w:id="1912160209">
      <w:bodyDiv w:val="1"/>
      <w:marLeft w:val="0"/>
      <w:marRight w:val="0"/>
      <w:marTop w:val="0"/>
      <w:marBottom w:val="0"/>
      <w:divBdr>
        <w:top w:val="none" w:sz="0" w:space="0" w:color="auto"/>
        <w:left w:val="none" w:sz="0" w:space="0" w:color="auto"/>
        <w:bottom w:val="none" w:sz="0" w:space="0" w:color="auto"/>
        <w:right w:val="none" w:sz="0" w:space="0" w:color="auto"/>
      </w:divBdr>
      <w:divsChild>
        <w:div w:id="1456218301">
          <w:marLeft w:val="0"/>
          <w:marRight w:val="0"/>
          <w:marTop w:val="150"/>
          <w:marBottom w:val="0"/>
          <w:divBdr>
            <w:top w:val="none" w:sz="0" w:space="0" w:color="auto"/>
            <w:left w:val="none" w:sz="0" w:space="0" w:color="auto"/>
            <w:bottom w:val="none" w:sz="0" w:space="0" w:color="auto"/>
            <w:right w:val="none" w:sz="0" w:space="0" w:color="auto"/>
          </w:divBdr>
          <w:divsChild>
            <w:div w:id="282199776">
              <w:marLeft w:val="0"/>
              <w:marRight w:val="0"/>
              <w:marTop w:val="0"/>
              <w:marBottom w:val="0"/>
              <w:divBdr>
                <w:top w:val="none" w:sz="0" w:space="0" w:color="auto"/>
                <w:left w:val="none" w:sz="0" w:space="0" w:color="auto"/>
                <w:bottom w:val="none" w:sz="0" w:space="0" w:color="auto"/>
                <w:right w:val="none" w:sz="0" w:space="0" w:color="auto"/>
              </w:divBdr>
              <w:divsChild>
                <w:div w:id="1147477675">
                  <w:marLeft w:val="0"/>
                  <w:marRight w:val="0"/>
                  <w:marTop w:val="0"/>
                  <w:marBottom w:val="0"/>
                  <w:divBdr>
                    <w:top w:val="single" w:sz="6" w:space="0" w:color="E3E1C8"/>
                    <w:left w:val="single" w:sz="6" w:space="0" w:color="E3E1C8"/>
                    <w:bottom w:val="single" w:sz="6" w:space="0" w:color="E3E1C8"/>
                    <w:right w:val="single" w:sz="6" w:space="0" w:color="E3E1C8"/>
                  </w:divBdr>
                  <w:divsChild>
                    <w:div w:id="641035981">
                      <w:marLeft w:val="0"/>
                      <w:marRight w:val="0"/>
                      <w:marTop w:val="0"/>
                      <w:marBottom w:val="0"/>
                      <w:divBdr>
                        <w:top w:val="single" w:sz="6" w:space="0" w:color="FFFFFF"/>
                        <w:left w:val="single" w:sz="6" w:space="0" w:color="FFFFFF"/>
                        <w:bottom w:val="single" w:sz="6" w:space="0" w:color="FFFFFF"/>
                        <w:right w:val="single" w:sz="6" w:space="0" w:color="FFFFFF"/>
                      </w:divBdr>
                      <w:divsChild>
                        <w:div w:id="2022195449">
                          <w:marLeft w:val="375"/>
                          <w:marRight w:val="375"/>
                          <w:marTop w:val="300"/>
                          <w:marBottom w:val="150"/>
                          <w:divBdr>
                            <w:top w:val="none" w:sz="0" w:space="0" w:color="auto"/>
                            <w:left w:val="none" w:sz="0" w:space="0" w:color="auto"/>
                            <w:bottom w:val="none" w:sz="0" w:space="0" w:color="auto"/>
                            <w:right w:val="none" w:sz="0" w:space="0" w:color="auto"/>
                          </w:divBdr>
                          <w:divsChild>
                            <w:div w:id="12547760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092770">
      <w:bodyDiv w:val="1"/>
      <w:marLeft w:val="0"/>
      <w:marRight w:val="0"/>
      <w:marTop w:val="0"/>
      <w:marBottom w:val="0"/>
      <w:divBdr>
        <w:top w:val="none" w:sz="0" w:space="0" w:color="auto"/>
        <w:left w:val="none" w:sz="0" w:space="0" w:color="auto"/>
        <w:bottom w:val="none" w:sz="0" w:space="0" w:color="auto"/>
        <w:right w:val="none" w:sz="0" w:space="0" w:color="auto"/>
      </w:divBdr>
    </w:div>
    <w:div w:id="1923759422">
      <w:bodyDiv w:val="1"/>
      <w:marLeft w:val="0"/>
      <w:marRight w:val="0"/>
      <w:marTop w:val="0"/>
      <w:marBottom w:val="0"/>
      <w:divBdr>
        <w:top w:val="none" w:sz="0" w:space="0" w:color="auto"/>
        <w:left w:val="none" w:sz="0" w:space="0" w:color="auto"/>
        <w:bottom w:val="none" w:sz="0" w:space="0" w:color="auto"/>
        <w:right w:val="none" w:sz="0" w:space="0" w:color="auto"/>
      </w:divBdr>
    </w:div>
    <w:div w:id="1931038787">
      <w:bodyDiv w:val="1"/>
      <w:marLeft w:val="0"/>
      <w:marRight w:val="0"/>
      <w:marTop w:val="0"/>
      <w:marBottom w:val="0"/>
      <w:divBdr>
        <w:top w:val="none" w:sz="0" w:space="0" w:color="auto"/>
        <w:left w:val="none" w:sz="0" w:space="0" w:color="auto"/>
        <w:bottom w:val="none" w:sz="0" w:space="0" w:color="auto"/>
        <w:right w:val="none" w:sz="0" w:space="0" w:color="auto"/>
      </w:divBdr>
    </w:div>
    <w:div w:id="1933077644">
      <w:bodyDiv w:val="1"/>
      <w:marLeft w:val="0"/>
      <w:marRight w:val="0"/>
      <w:marTop w:val="0"/>
      <w:marBottom w:val="0"/>
      <w:divBdr>
        <w:top w:val="none" w:sz="0" w:space="0" w:color="auto"/>
        <w:left w:val="none" w:sz="0" w:space="0" w:color="auto"/>
        <w:bottom w:val="none" w:sz="0" w:space="0" w:color="auto"/>
        <w:right w:val="none" w:sz="0" w:space="0" w:color="auto"/>
      </w:divBdr>
    </w:div>
    <w:div w:id="1934435345">
      <w:bodyDiv w:val="1"/>
      <w:marLeft w:val="0"/>
      <w:marRight w:val="0"/>
      <w:marTop w:val="0"/>
      <w:marBottom w:val="0"/>
      <w:divBdr>
        <w:top w:val="none" w:sz="0" w:space="0" w:color="auto"/>
        <w:left w:val="none" w:sz="0" w:space="0" w:color="auto"/>
        <w:bottom w:val="none" w:sz="0" w:space="0" w:color="auto"/>
        <w:right w:val="none" w:sz="0" w:space="0" w:color="auto"/>
      </w:divBdr>
    </w:div>
    <w:div w:id="1936938491">
      <w:bodyDiv w:val="1"/>
      <w:marLeft w:val="0"/>
      <w:marRight w:val="0"/>
      <w:marTop w:val="0"/>
      <w:marBottom w:val="0"/>
      <w:divBdr>
        <w:top w:val="none" w:sz="0" w:space="0" w:color="auto"/>
        <w:left w:val="none" w:sz="0" w:space="0" w:color="auto"/>
        <w:bottom w:val="none" w:sz="0" w:space="0" w:color="auto"/>
        <w:right w:val="none" w:sz="0" w:space="0" w:color="auto"/>
      </w:divBdr>
    </w:div>
    <w:div w:id="1940983768">
      <w:bodyDiv w:val="1"/>
      <w:marLeft w:val="0"/>
      <w:marRight w:val="0"/>
      <w:marTop w:val="0"/>
      <w:marBottom w:val="0"/>
      <w:divBdr>
        <w:top w:val="none" w:sz="0" w:space="0" w:color="auto"/>
        <w:left w:val="none" w:sz="0" w:space="0" w:color="auto"/>
        <w:bottom w:val="none" w:sz="0" w:space="0" w:color="auto"/>
        <w:right w:val="none" w:sz="0" w:space="0" w:color="auto"/>
      </w:divBdr>
    </w:div>
    <w:div w:id="1951160204">
      <w:bodyDiv w:val="1"/>
      <w:marLeft w:val="0"/>
      <w:marRight w:val="0"/>
      <w:marTop w:val="0"/>
      <w:marBottom w:val="0"/>
      <w:divBdr>
        <w:top w:val="none" w:sz="0" w:space="0" w:color="auto"/>
        <w:left w:val="none" w:sz="0" w:space="0" w:color="auto"/>
        <w:bottom w:val="none" w:sz="0" w:space="0" w:color="auto"/>
        <w:right w:val="none" w:sz="0" w:space="0" w:color="auto"/>
      </w:divBdr>
      <w:divsChild>
        <w:div w:id="1110511463">
          <w:marLeft w:val="0"/>
          <w:marRight w:val="0"/>
          <w:marTop w:val="0"/>
          <w:marBottom w:val="0"/>
          <w:divBdr>
            <w:top w:val="none" w:sz="0" w:space="0" w:color="auto"/>
            <w:left w:val="none" w:sz="0" w:space="0" w:color="auto"/>
            <w:bottom w:val="none" w:sz="0" w:space="0" w:color="auto"/>
            <w:right w:val="none" w:sz="0" w:space="0" w:color="auto"/>
          </w:divBdr>
          <w:divsChild>
            <w:div w:id="1626036846">
              <w:marLeft w:val="0"/>
              <w:marRight w:val="0"/>
              <w:marTop w:val="0"/>
              <w:marBottom w:val="0"/>
              <w:divBdr>
                <w:top w:val="none" w:sz="0" w:space="0" w:color="auto"/>
                <w:left w:val="none" w:sz="0" w:space="0" w:color="auto"/>
                <w:bottom w:val="none" w:sz="0" w:space="0" w:color="auto"/>
                <w:right w:val="none" w:sz="0" w:space="0" w:color="auto"/>
              </w:divBdr>
              <w:divsChild>
                <w:div w:id="13495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0770">
          <w:marLeft w:val="0"/>
          <w:marRight w:val="0"/>
          <w:marTop w:val="0"/>
          <w:marBottom w:val="0"/>
          <w:divBdr>
            <w:top w:val="none" w:sz="0" w:space="0" w:color="auto"/>
            <w:left w:val="none" w:sz="0" w:space="0" w:color="auto"/>
            <w:bottom w:val="none" w:sz="0" w:space="0" w:color="auto"/>
            <w:right w:val="none" w:sz="0" w:space="0" w:color="auto"/>
          </w:divBdr>
          <w:divsChild>
            <w:div w:id="639459590">
              <w:marLeft w:val="0"/>
              <w:marRight w:val="0"/>
              <w:marTop w:val="0"/>
              <w:marBottom w:val="0"/>
              <w:divBdr>
                <w:top w:val="none" w:sz="0" w:space="0" w:color="auto"/>
                <w:left w:val="none" w:sz="0" w:space="0" w:color="auto"/>
                <w:bottom w:val="none" w:sz="0" w:space="0" w:color="auto"/>
                <w:right w:val="none" w:sz="0" w:space="0" w:color="auto"/>
              </w:divBdr>
              <w:divsChild>
                <w:div w:id="18232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89445">
          <w:marLeft w:val="0"/>
          <w:marRight w:val="0"/>
          <w:marTop w:val="0"/>
          <w:marBottom w:val="0"/>
          <w:divBdr>
            <w:top w:val="none" w:sz="0" w:space="0" w:color="auto"/>
            <w:left w:val="none" w:sz="0" w:space="0" w:color="auto"/>
            <w:bottom w:val="none" w:sz="0" w:space="0" w:color="auto"/>
            <w:right w:val="none" w:sz="0" w:space="0" w:color="auto"/>
          </w:divBdr>
          <w:divsChild>
            <w:div w:id="257445196">
              <w:marLeft w:val="0"/>
              <w:marRight w:val="0"/>
              <w:marTop w:val="0"/>
              <w:marBottom w:val="0"/>
              <w:divBdr>
                <w:top w:val="none" w:sz="0" w:space="0" w:color="auto"/>
                <w:left w:val="none" w:sz="0" w:space="0" w:color="auto"/>
                <w:bottom w:val="none" w:sz="0" w:space="0" w:color="auto"/>
                <w:right w:val="none" w:sz="0" w:space="0" w:color="auto"/>
              </w:divBdr>
              <w:divsChild>
                <w:div w:id="14973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2772">
          <w:marLeft w:val="0"/>
          <w:marRight w:val="0"/>
          <w:marTop w:val="0"/>
          <w:marBottom w:val="0"/>
          <w:divBdr>
            <w:top w:val="none" w:sz="0" w:space="0" w:color="auto"/>
            <w:left w:val="none" w:sz="0" w:space="0" w:color="auto"/>
            <w:bottom w:val="none" w:sz="0" w:space="0" w:color="auto"/>
            <w:right w:val="none" w:sz="0" w:space="0" w:color="auto"/>
          </w:divBdr>
          <w:divsChild>
            <w:div w:id="897473839">
              <w:marLeft w:val="0"/>
              <w:marRight w:val="0"/>
              <w:marTop w:val="0"/>
              <w:marBottom w:val="0"/>
              <w:divBdr>
                <w:top w:val="none" w:sz="0" w:space="0" w:color="auto"/>
                <w:left w:val="none" w:sz="0" w:space="0" w:color="auto"/>
                <w:bottom w:val="none" w:sz="0" w:space="0" w:color="auto"/>
                <w:right w:val="none" w:sz="0" w:space="0" w:color="auto"/>
              </w:divBdr>
              <w:divsChild>
                <w:div w:id="16180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9221">
      <w:bodyDiv w:val="1"/>
      <w:marLeft w:val="0"/>
      <w:marRight w:val="0"/>
      <w:marTop w:val="0"/>
      <w:marBottom w:val="0"/>
      <w:divBdr>
        <w:top w:val="none" w:sz="0" w:space="0" w:color="auto"/>
        <w:left w:val="none" w:sz="0" w:space="0" w:color="auto"/>
        <w:bottom w:val="none" w:sz="0" w:space="0" w:color="auto"/>
        <w:right w:val="none" w:sz="0" w:space="0" w:color="auto"/>
      </w:divBdr>
    </w:div>
    <w:div w:id="1961959978">
      <w:bodyDiv w:val="1"/>
      <w:marLeft w:val="0"/>
      <w:marRight w:val="0"/>
      <w:marTop w:val="0"/>
      <w:marBottom w:val="0"/>
      <w:divBdr>
        <w:top w:val="none" w:sz="0" w:space="0" w:color="auto"/>
        <w:left w:val="none" w:sz="0" w:space="0" w:color="auto"/>
        <w:bottom w:val="none" w:sz="0" w:space="0" w:color="auto"/>
        <w:right w:val="none" w:sz="0" w:space="0" w:color="auto"/>
      </w:divBdr>
    </w:div>
    <w:div w:id="1965036428">
      <w:bodyDiv w:val="1"/>
      <w:marLeft w:val="0"/>
      <w:marRight w:val="0"/>
      <w:marTop w:val="0"/>
      <w:marBottom w:val="0"/>
      <w:divBdr>
        <w:top w:val="none" w:sz="0" w:space="0" w:color="auto"/>
        <w:left w:val="none" w:sz="0" w:space="0" w:color="auto"/>
        <w:bottom w:val="none" w:sz="0" w:space="0" w:color="auto"/>
        <w:right w:val="none" w:sz="0" w:space="0" w:color="auto"/>
      </w:divBdr>
    </w:div>
    <w:div w:id="1968386125">
      <w:bodyDiv w:val="1"/>
      <w:marLeft w:val="0"/>
      <w:marRight w:val="0"/>
      <w:marTop w:val="0"/>
      <w:marBottom w:val="0"/>
      <w:divBdr>
        <w:top w:val="none" w:sz="0" w:space="0" w:color="auto"/>
        <w:left w:val="none" w:sz="0" w:space="0" w:color="auto"/>
        <w:bottom w:val="none" w:sz="0" w:space="0" w:color="auto"/>
        <w:right w:val="none" w:sz="0" w:space="0" w:color="auto"/>
      </w:divBdr>
    </w:div>
    <w:div w:id="1969361661">
      <w:bodyDiv w:val="1"/>
      <w:marLeft w:val="0"/>
      <w:marRight w:val="0"/>
      <w:marTop w:val="0"/>
      <w:marBottom w:val="0"/>
      <w:divBdr>
        <w:top w:val="none" w:sz="0" w:space="0" w:color="auto"/>
        <w:left w:val="none" w:sz="0" w:space="0" w:color="auto"/>
        <w:bottom w:val="none" w:sz="0" w:space="0" w:color="auto"/>
        <w:right w:val="none" w:sz="0" w:space="0" w:color="auto"/>
      </w:divBdr>
    </w:div>
    <w:div w:id="1975286377">
      <w:bodyDiv w:val="1"/>
      <w:marLeft w:val="0"/>
      <w:marRight w:val="0"/>
      <w:marTop w:val="0"/>
      <w:marBottom w:val="0"/>
      <w:divBdr>
        <w:top w:val="none" w:sz="0" w:space="0" w:color="auto"/>
        <w:left w:val="none" w:sz="0" w:space="0" w:color="auto"/>
        <w:bottom w:val="none" w:sz="0" w:space="0" w:color="auto"/>
        <w:right w:val="none" w:sz="0" w:space="0" w:color="auto"/>
      </w:divBdr>
    </w:div>
    <w:div w:id="1983387696">
      <w:bodyDiv w:val="1"/>
      <w:marLeft w:val="0"/>
      <w:marRight w:val="0"/>
      <w:marTop w:val="0"/>
      <w:marBottom w:val="0"/>
      <w:divBdr>
        <w:top w:val="none" w:sz="0" w:space="0" w:color="auto"/>
        <w:left w:val="none" w:sz="0" w:space="0" w:color="auto"/>
        <w:bottom w:val="none" w:sz="0" w:space="0" w:color="auto"/>
        <w:right w:val="none" w:sz="0" w:space="0" w:color="auto"/>
      </w:divBdr>
    </w:div>
    <w:div w:id="1994261063">
      <w:bodyDiv w:val="1"/>
      <w:marLeft w:val="0"/>
      <w:marRight w:val="0"/>
      <w:marTop w:val="0"/>
      <w:marBottom w:val="0"/>
      <w:divBdr>
        <w:top w:val="none" w:sz="0" w:space="0" w:color="auto"/>
        <w:left w:val="none" w:sz="0" w:space="0" w:color="auto"/>
        <w:bottom w:val="none" w:sz="0" w:space="0" w:color="auto"/>
        <w:right w:val="none" w:sz="0" w:space="0" w:color="auto"/>
      </w:divBdr>
    </w:div>
    <w:div w:id="1994799526">
      <w:bodyDiv w:val="1"/>
      <w:marLeft w:val="0"/>
      <w:marRight w:val="0"/>
      <w:marTop w:val="0"/>
      <w:marBottom w:val="0"/>
      <w:divBdr>
        <w:top w:val="none" w:sz="0" w:space="0" w:color="auto"/>
        <w:left w:val="none" w:sz="0" w:space="0" w:color="auto"/>
        <w:bottom w:val="none" w:sz="0" w:space="0" w:color="auto"/>
        <w:right w:val="none" w:sz="0" w:space="0" w:color="auto"/>
      </w:divBdr>
    </w:div>
    <w:div w:id="1996759381">
      <w:bodyDiv w:val="1"/>
      <w:marLeft w:val="0"/>
      <w:marRight w:val="0"/>
      <w:marTop w:val="0"/>
      <w:marBottom w:val="0"/>
      <w:divBdr>
        <w:top w:val="none" w:sz="0" w:space="0" w:color="auto"/>
        <w:left w:val="none" w:sz="0" w:space="0" w:color="auto"/>
        <w:bottom w:val="none" w:sz="0" w:space="0" w:color="auto"/>
        <w:right w:val="none" w:sz="0" w:space="0" w:color="auto"/>
      </w:divBdr>
    </w:div>
    <w:div w:id="1997879377">
      <w:bodyDiv w:val="1"/>
      <w:marLeft w:val="0"/>
      <w:marRight w:val="0"/>
      <w:marTop w:val="0"/>
      <w:marBottom w:val="0"/>
      <w:divBdr>
        <w:top w:val="none" w:sz="0" w:space="0" w:color="auto"/>
        <w:left w:val="none" w:sz="0" w:space="0" w:color="auto"/>
        <w:bottom w:val="none" w:sz="0" w:space="0" w:color="auto"/>
        <w:right w:val="none" w:sz="0" w:space="0" w:color="auto"/>
      </w:divBdr>
    </w:div>
    <w:div w:id="2003926065">
      <w:bodyDiv w:val="1"/>
      <w:marLeft w:val="0"/>
      <w:marRight w:val="0"/>
      <w:marTop w:val="0"/>
      <w:marBottom w:val="0"/>
      <w:divBdr>
        <w:top w:val="none" w:sz="0" w:space="0" w:color="auto"/>
        <w:left w:val="none" w:sz="0" w:space="0" w:color="auto"/>
        <w:bottom w:val="none" w:sz="0" w:space="0" w:color="auto"/>
        <w:right w:val="none" w:sz="0" w:space="0" w:color="auto"/>
      </w:divBdr>
    </w:div>
    <w:div w:id="2005427659">
      <w:bodyDiv w:val="1"/>
      <w:marLeft w:val="0"/>
      <w:marRight w:val="0"/>
      <w:marTop w:val="0"/>
      <w:marBottom w:val="0"/>
      <w:divBdr>
        <w:top w:val="none" w:sz="0" w:space="0" w:color="auto"/>
        <w:left w:val="none" w:sz="0" w:space="0" w:color="auto"/>
        <w:bottom w:val="none" w:sz="0" w:space="0" w:color="auto"/>
        <w:right w:val="none" w:sz="0" w:space="0" w:color="auto"/>
      </w:divBdr>
    </w:div>
    <w:div w:id="2019650048">
      <w:bodyDiv w:val="1"/>
      <w:marLeft w:val="0"/>
      <w:marRight w:val="0"/>
      <w:marTop w:val="0"/>
      <w:marBottom w:val="0"/>
      <w:divBdr>
        <w:top w:val="none" w:sz="0" w:space="0" w:color="auto"/>
        <w:left w:val="none" w:sz="0" w:space="0" w:color="auto"/>
        <w:bottom w:val="none" w:sz="0" w:space="0" w:color="auto"/>
        <w:right w:val="none" w:sz="0" w:space="0" w:color="auto"/>
      </w:divBdr>
    </w:div>
    <w:div w:id="2024042481">
      <w:bodyDiv w:val="1"/>
      <w:marLeft w:val="0"/>
      <w:marRight w:val="0"/>
      <w:marTop w:val="0"/>
      <w:marBottom w:val="0"/>
      <w:divBdr>
        <w:top w:val="none" w:sz="0" w:space="0" w:color="auto"/>
        <w:left w:val="none" w:sz="0" w:space="0" w:color="auto"/>
        <w:bottom w:val="none" w:sz="0" w:space="0" w:color="auto"/>
        <w:right w:val="none" w:sz="0" w:space="0" w:color="auto"/>
      </w:divBdr>
    </w:div>
    <w:div w:id="2041737378">
      <w:bodyDiv w:val="1"/>
      <w:marLeft w:val="0"/>
      <w:marRight w:val="0"/>
      <w:marTop w:val="0"/>
      <w:marBottom w:val="0"/>
      <w:divBdr>
        <w:top w:val="none" w:sz="0" w:space="0" w:color="auto"/>
        <w:left w:val="none" w:sz="0" w:space="0" w:color="auto"/>
        <w:bottom w:val="none" w:sz="0" w:space="0" w:color="auto"/>
        <w:right w:val="none" w:sz="0" w:space="0" w:color="auto"/>
      </w:divBdr>
    </w:div>
    <w:div w:id="2042395172">
      <w:bodyDiv w:val="1"/>
      <w:marLeft w:val="0"/>
      <w:marRight w:val="0"/>
      <w:marTop w:val="0"/>
      <w:marBottom w:val="0"/>
      <w:divBdr>
        <w:top w:val="none" w:sz="0" w:space="0" w:color="auto"/>
        <w:left w:val="none" w:sz="0" w:space="0" w:color="auto"/>
        <w:bottom w:val="none" w:sz="0" w:space="0" w:color="auto"/>
        <w:right w:val="none" w:sz="0" w:space="0" w:color="auto"/>
      </w:divBdr>
    </w:div>
    <w:div w:id="2044163386">
      <w:bodyDiv w:val="1"/>
      <w:marLeft w:val="0"/>
      <w:marRight w:val="0"/>
      <w:marTop w:val="0"/>
      <w:marBottom w:val="0"/>
      <w:divBdr>
        <w:top w:val="none" w:sz="0" w:space="0" w:color="auto"/>
        <w:left w:val="none" w:sz="0" w:space="0" w:color="auto"/>
        <w:bottom w:val="none" w:sz="0" w:space="0" w:color="auto"/>
        <w:right w:val="none" w:sz="0" w:space="0" w:color="auto"/>
      </w:divBdr>
    </w:div>
    <w:div w:id="2044819950">
      <w:bodyDiv w:val="1"/>
      <w:marLeft w:val="0"/>
      <w:marRight w:val="0"/>
      <w:marTop w:val="0"/>
      <w:marBottom w:val="0"/>
      <w:divBdr>
        <w:top w:val="none" w:sz="0" w:space="0" w:color="auto"/>
        <w:left w:val="none" w:sz="0" w:space="0" w:color="auto"/>
        <w:bottom w:val="none" w:sz="0" w:space="0" w:color="auto"/>
        <w:right w:val="none" w:sz="0" w:space="0" w:color="auto"/>
      </w:divBdr>
    </w:div>
    <w:div w:id="2045397039">
      <w:bodyDiv w:val="1"/>
      <w:marLeft w:val="0"/>
      <w:marRight w:val="0"/>
      <w:marTop w:val="0"/>
      <w:marBottom w:val="0"/>
      <w:divBdr>
        <w:top w:val="none" w:sz="0" w:space="0" w:color="auto"/>
        <w:left w:val="none" w:sz="0" w:space="0" w:color="auto"/>
        <w:bottom w:val="none" w:sz="0" w:space="0" w:color="auto"/>
        <w:right w:val="none" w:sz="0" w:space="0" w:color="auto"/>
      </w:divBdr>
    </w:div>
    <w:div w:id="2045709804">
      <w:bodyDiv w:val="1"/>
      <w:marLeft w:val="0"/>
      <w:marRight w:val="0"/>
      <w:marTop w:val="0"/>
      <w:marBottom w:val="0"/>
      <w:divBdr>
        <w:top w:val="none" w:sz="0" w:space="0" w:color="auto"/>
        <w:left w:val="none" w:sz="0" w:space="0" w:color="auto"/>
        <w:bottom w:val="none" w:sz="0" w:space="0" w:color="auto"/>
        <w:right w:val="none" w:sz="0" w:space="0" w:color="auto"/>
      </w:divBdr>
    </w:div>
    <w:div w:id="2052997727">
      <w:bodyDiv w:val="1"/>
      <w:marLeft w:val="0"/>
      <w:marRight w:val="0"/>
      <w:marTop w:val="0"/>
      <w:marBottom w:val="0"/>
      <w:divBdr>
        <w:top w:val="none" w:sz="0" w:space="0" w:color="auto"/>
        <w:left w:val="none" w:sz="0" w:space="0" w:color="auto"/>
        <w:bottom w:val="none" w:sz="0" w:space="0" w:color="auto"/>
        <w:right w:val="none" w:sz="0" w:space="0" w:color="auto"/>
      </w:divBdr>
    </w:div>
    <w:div w:id="2055345925">
      <w:bodyDiv w:val="1"/>
      <w:marLeft w:val="0"/>
      <w:marRight w:val="0"/>
      <w:marTop w:val="0"/>
      <w:marBottom w:val="0"/>
      <w:divBdr>
        <w:top w:val="none" w:sz="0" w:space="0" w:color="auto"/>
        <w:left w:val="none" w:sz="0" w:space="0" w:color="auto"/>
        <w:bottom w:val="none" w:sz="0" w:space="0" w:color="auto"/>
        <w:right w:val="none" w:sz="0" w:space="0" w:color="auto"/>
      </w:divBdr>
    </w:div>
    <w:div w:id="2064525882">
      <w:bodyDiv w:val="1"/>
      <w:marLeft w:val="0"/>
      <w:marRight w:val="0"/>
      <w:marTop w:val="0"/>
      <w:marBottom w:val="0"/>
      <w:divBdr>
        <w:top w:val="none" w:sz="0" w:space="0" w:color="auto"/>
        <w:left w:val="none" w:sz="0" w:space="0" w:color="auto"/>
        <w:bottom w:val="none" w:sz="0" w:space="0" w:color="auto"/>
        <w:right w:val="none" w:sz="0" w:space="0" w:color="auto"/>
      </w:divBdr>
    </w:div>
    <w:div w:id="2069375894">
      <w:bodyDiv w:val="1"/>
      <w:marLeft w:val="0"/>
      <w:marRight w:val="0"/>
      <w:marTop w:val="0"/>
      <w:marBottom w:val="0"/>
      <w:divBdr>
        <w:top w:val="none" w:sz="0" w:space="0" w:color="auto"/>
        <w:left w:val="none" w:sz="0" w:space="0" w:color="auto"/>
        <w:bottom w:val="none" w:sz="0" w:space="0" w:color="auto"/>
        <w:right w:val="none" w:sz="0" w:space="0" w:color="auto"/>
      </w:divBdr>
    </w:div>
    <w:div w:id="2077967362">
      <w:bodyDiv w:val="1"/>
      <w:marLeft w:val="0"/>
      <w:marRight w:val="0"/>
      <w:marTop w:val="0"/>
      <w:marBottom w:val="0"/>
      <w:divBdr>
        <w:top w:val="none" w:sz="0" w:space="0" w:color="auto"/>
        <w:left w:val="none" w:sz="0" w:space="0" w:color="auto"/>
        <w:bottom w:val="none" w:sz="0" w:space="0" w:color="auto"/>
        <w:right w:val="none" w:sz="0" w:space="0" w:color="auto"/>
      </w:divBdr>
      <w:divsChild>
        <w:div w:id="1016152502">
          <w:marLeft w:val="0"/>
          <w:marRight w:val="0"/>
          <w:marTop w:val="0"/>
          <w:marBottom w:val="0"/>
          <w:divBdr>
            <w:top w:val="none" w:sz="0" w:space="0" w:color="auto"/>
            <w:left w:val="none" w:sz="0" w:space="0" w:color="auto"/>
            <w:bottom w:val="none" w:sz="0" w:space="0" w:color="auto"/>
            <w:right w:val="none" w:sz="0" w:space="0" w:color="auto"/>
          </w:divBdr>
          <w:divsChild>
            <w:div w:id="94059302">
              <w:marLeft w:val="0"/>
              <w:marRight w:val="0"/>
              <w:marTop w:val="0"/>
              <w:marBottom w:val="0"/>
              <w:divBdr>
                <w:top w:val="none" w:sz="0" w:space="0" w:color="auto"/>
                <w:left w:val="none" w:sz="0" w:space="0" w:color="auto"/>
                <w:bottom w:val="none" w:sz="0" w:space="0" w:color="auto"/>
                <w:right w:val="none" w:sz="0" w:space="0" w:color="auto"/>
              </w:divBdr>
              <w:divsChild>
                <w:div w:id="5393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3019">
      <w:bodyDiv w:val="1"/>
      <w:marLeft w:val="0"/>
      <w:marRight w:val="0"/>
      <w:marTop w:val="0"/>
      <w:marBottom w:val="0"/>
      <w:divBdr>
        <w:top w:val="none" w:sz="0" w:space="0" w:color="auto"/>
        <w:left w:val="none" w:sz="0" w:space="0" w:color="auto"/>
        <w:bottom w:val="none" w:sz="0" w:space="0" w:color="auto"/>
        <w:right w:val="none" w:sz="0" w:space="0" w:color="auto"/>
      </w:divBdr>
    </w:div>
    <w:div w:id="2084057548">
      <w:bodyDiv w:val="1"/>
      <w:marLeft w:val="0"/>
      <w:marRight w:val="0"/>
      <w:marTop w:val="0"/>
      <w:marBottom w:val="0"/>
      <w:divBdr>
        <w:top w:val="none" w:sz="0" w:space="0" w:color="auto"/>
        <w:left w:val="none" w:sz="0" w:space="0" w:color="auto"/>
        <w:bottom w:val="none" w:sz="0" w:space="0" w:color="auto"/>
        <w:right w:val="none" w:sz="0" w:space="0" w:color="auto"/>
      </w:divBdr>
    </w:div>
    <w:div w:id="2089763628">
      <w:bodyDiv w:val="1"/>
      <w:marLeft w:val="0"/>
      <w:marRight w:val="0"/>
      <w:marTop w:val="0"/>
      <w:marBottom w:val="0"/>
      <w:divBdr>
        <w:top w:val="none" w:sz="0" w:space="0" w:color="auto"/>
        <w:left w:val="none" w:sz="0" w:space="0" w:color="auto"/>
        <w:bottom w:val="none" w:sz="0" w:space="0" w:color="auto"/>
        <w:right w:val="none" w:sz="0" w:space="0" w:color="auto"/>
      </w:divBdr>
    </w:div>
    <w:div w:id="2104179280">
      <w:bodyDiv w:val="1"/>
      <w:marLeft w:val="0"/>
      <w:marRight w:val="0"/>
      <w:marTop w:val="0"/>
      <w:marBottom w:val="0"/>
      <w:divBdr>
        <w:top w:val="none" w:sz="0" w:space="0" w:color="auto"/>
        <w:left w:val="none" w:sz="0" w:space="0" w:color="auto"/>
        <w:bottom w:val="none" w:sz="0" w:space="0" w:color="auto"/>
        <w:right w:val="none" w:sz="0" w:space="0" w:color="auto"/>
      </w:divBdr>
    </w:div>
    <w:div w:id="2104915412">
      <w:bodyDiv w:val="1"/>
      <w:marLeft w:val="0"/>
      <w:marRight w:val="0"/>
      <w:marTop w:val="0"/>
      <w:marBottom w:val="0"/>
      <w:divBdr>
        <w:top w:val="none" w:sz="0" w:space="0" w:color="auto"/>
        <w:left w:val="none" w:sz="0" w:space="0" w:color="auto"/>
        <w:bottom w:val="none" w:sz="0" w:space="0" w:color="auto"/>
        <w:right w:val="none" w:sz="0" w:space="0" w:color="auto"/>
      </w:divBdr>
    </w:div>
    <w:div w:id="2115636051">
      <w:bodyDiv w:val="1"/>
      <w:marLeft w:val="0"/>
      <w:marRight w:val="0"/>
      <w:marTop w:val="0"/>
      <w:marBottom w:val="0"/>
      <w:divBdr>
        <w:top w:val="none" w:sz="0" w:space="0" w:color="auto"/>
        <w:left w:val="none" w:sz="0" w:space="0" w:color="auto"/>
        <w:bottom w:val="none" w:sz="0" w:space="0" w:color="auto"/>
        <w:right w:val="none" w:sz="0" w:space="0" w:color="auto"/>
      </w:divBdr>
    </w:div>
    <w:div w:id="2121990395">
      <w:bodyDiv w:val="1"/>
      <w:marLeft w:val="0"/>
      <w:marRight w:val="0"/>
      <w:marTop w:val="0"/>
      <w:marBottom w:val="0"/>
      <w:divBdr>
        <w:top w:val="none" w:sz="0" w:space="0" w:color="auto"/>
        <w:left w:val="none" w:sz="0" w:space="0" w:color="auto"/>
        <w:bottom w:val="none" w:sz="0" w:space="0" w:color="auto"/>
        <w:right w:val="none" w:sz="0" w:space="0" w:color="auto"/>
      </w:divBdr>
    </w:div>
    <w:div w:id="2122415647">
      <w:bodyDiv w:val="1"/>
      <w:marLeft w:val="0"/>
      <w:marRight w:val="0"/>
      <w:marTop w:val="0"/>
      <w:marBottom w:val="0"/>
      <w:divBdr>
        <w:top w:val="none" w:sz="0" w:space="0" w:color="auto"/>
        <w:left w:val="none" w:sz="0" w:space="0" w:color="auto"/>
        <w:bottom w:val="none" w:sz="0" w:space="0" w:color="auto"/>
        <w:right w:val="none" w:sz="0" w:space="0" w:color="auto"/>
      </w:divBdr>
    </w:div>
    <w:div w:id="2122802903">
      <w:marLeft w:val="0"/>
      <w:marRight w:val="0"/>
      <w:marTop w:val="0"/>
      <w:marBottom w:val="0"/>
      <w:divBdr>
        <w:top w:val="none" w:sz="0" w:space="0" w:color="auto"/>
        <w:left w:val="none" w:sz="0" w:space="0" w:color="auto"/>
        <w:bottom w:val="none" w:sz="0" w:space="0" w:color="auto"/>
        <w:right w:val="none" w:sz="0" w:space="0" w:color="auto"/>
      </w:divBdr>
      <w:divsChild>
        <w:div w:id="166672548">
          <w:marLeft w:val="0"/>
          <w:marRight w:val="0"/>
          <w:marTop w:val="0"/>
          <w:marBottom w:val="0"/>
          <w:divBdr>
            <w:top w:val="none" w:sz="0" w:space="0" w:color="auto"/>
            <w:left w:val="none" w:sz="0" w:space="0" w:color="auto"/>
            <w:bottom w:val="none" w:sz="0" w:space="0" w:color="auto"/>
            <w:right w:val="none" w:sz="0" w:space="0" w:color="auto"/>
          </w:divBdr>
          <w:divsChild>
            <w:div w:id="12548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3934">
      <w:bodyDiv w:val="1"/>
      <w:marLeft w:val="0"/>
      <w:marRight w:val="0"/>
      <w:marTop w:val="0"/>
      <w:marBottom w:val="0"/>
      <w:divBdr>
        <w:top w:val="none" w:sz="0" w:space="0" w:color="auto"/>
        <w:left w:val="none" w:sz="0" w:space="0" w:color="auto"/>
        <w:bottom w:val="none" w:sz="0" w:space="0" w:color="auto"/>
        <w:right w:val="none" w:sz="0" w:space="0" w:color="auto"/>
      </w:divBdr>
    </w:div>
    <w:div w:id="2140414003">
      <w:bodyDiv w:val="1"/>
      <w:marLeft w:val="0"/>
      <w:marRight w:val="0"/>
      <w:marTop w:val="0"/>
      <w:marBottom w:val="0"/>
      <w:divBdr>
        <w:top w:val="none" w:sz="0" w:space="0" w:color="auto"/>
        <w:left w:val="none" w:sz="0" w:space="0" w:color="auto"/>
        <w:bottom w:val="none" w:sz="0" w:space="0" w:color="auto"/>
        <w:right w:val="none" w:sz="0" w:space="0" w:color="auto"/>
      </w:divBdr>
    </w:div>
    <w:div w:id="214083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001.com/fund/519743/index.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8B545-6429-4BC9-B334-58294659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13</Pages>
  <Words>1628</Words>
  <Characters>9282</Characters>
  <Application>Microsoft Office Word</Application>
  <DocSecurity>0</DocSecurity>
  <Lines>77</Lines>
  <Paragraphs>21</Paragraphs>
  <ScaleCrop>false</ScaleCrop>
  <Company>Microsoft</Company>
  <LinksUpToDate>false</LinksUpToDate>
  <CharactersWithSpaces>10889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yunjb</dc:creator>
  <cp:lastModifiedBy>王蓓</cp:lastModifiedBy>
  <cp:revision>11</cp:revision>
  <cp:lastPrinted>2014-12-22T08:31:00Z</cp:lastPrinted>
  <dcterms:created xsi:type="dcterms:W3CDTF">2014-12-29T02:03:00Z</dcterms:created>
  <dcterms:modified xsi:type="dcterms:W3CDTF">2014-12-29T06:22:00Z</dcterms:modified>
</cp:coreProperties>
</file>