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hint="eastAsia"/>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204C38" w:rsidRPr="00204C38" w:rsidRDefault="0000206D" w:rsidP="00204C38">
            <w:pPr>
              <w:snapToGrid w:val="0"/>
              <w:ind w:rightChars="20" w:right="42"/>
              <w:jc w:val="right"/>
              <w:rPr>
                <w:rFonts w:ascii="仿宋" w:eastAsia="仿宋" w:hAnsi="仿宋"/>
                <w:b/>
                <w:bCs/>
                <w:color w:val="082F6B"/>
                <w:sz w:val="56"/>
                <w:szCs w:val="72"/>
              </w:rPr>
            </w:pPr>
            <w:r>
              <w:rPr>
                <w:rFonts w:ascii="仿宋" w:eastAsia="仿宋" w:hAnsi="仿宋"/>
                <w:b/>
                <w:color w:val="004186"/>
                <w:sz w:val="52"/>
                <w:szCs w:val="52"/>
              </w:rPr>
              <w:tab/>
            </w:r>
            <w:r w:rsidR="00204C38" w:rsidRPr="00204C38">
              <w:rPr>
                <w:rFonts w:ascii="仿宋" w:eastAsia="仿宋" w:hAnsi="仿宋" w:hint="eastAsia"/>
                <w:b/>
                <w:bCs/>
                <w:color w:val="082F6B"/>
                <w:sz w:val="56"/>
                <w:szCs w:val="72"/>
              </w:rPr>
              <w:t>市场很“任性”</w:t>
            </w:r>
          </w:p>
          <w:p w:rsidR="00B4206A" w:rsidRPr="00B4206A" w:rsidRDefault="00204C38" w:rsidP="00204C38">
            <w:pPr>
              <w:snapToGrid w:val="0"/>
              <w:ind w:rightChars="20" w:right="42"/>
              <w:jc w:val="right"/>
              <w:rPr>
                <w:rFonts w:ascii="仿宋" w:eastAsia="仿宋" w:hAnsi="仿宋"/>
                <w:b/>
                <w:bCs/>
                <w:color w:val="082F6B"/>
                <w:sz w:val="72"/>
                <w:szCs w:val="72"/>
              </w:rPr>
            </w:pPr>
            <w:r w:rsidRPr="00204C38">
              <w:rPr>
                <w:rFonts w:ascii="仿宋" w:eastAsia="仿宋" w:hAnsi="仿宋" w:hint="eastAsia"/>
                <w:b/>
                <w:bCs/>
                <w:color w:val="082F6B"/>
                <w:sz w:val="56"/>
                <w:szCs w:val="72"/>
              </w:rPr>
              <w:t>——论大类资产配置的迁移</w:t>
            </w:r>
          </w:p>
          <w:p w:rsidR="00B7035E" w:rsidRPr="00B4206A" w:rsidRDefault="00B7035E" w:rsidP="0000206D">
            <w:pPr>
              <w:tabs>
                <w:tab w:val="left" w:pos="4608"/>
              </w:tabs>
              <w:snapToGrid w:val="0"/>
              <w:ind w:leftChars="472" w:left="991" w:rightChars="20" w:right="42"/>
              <w:rPr>
                <w:rFonts w:ascii="仿宋" w:eastAsia="仿宋" w:hAnsi="仿宋"/>
                <w:b/>
                <w:color w:val="004186"/>
                <w:sz w:val="52"/>
                <w:szCs w:val="52"/>
              </w:rPr>
            </w:pPr>
          </w:p>
          <w:p w:rsidR="004424BF" w:rsidRDefault="004424BF"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hint="eastAsia"/>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204C38" w:rsidRDefault="00204C38" w:rsidP="00204C38">
      <w:pPr>
        <w:spacing w:before="240" w:line="324" w:lineRule="auto"/>
        <w:ind w:leftChars="1080" w:left="2268" w:rightChars="471" w:right="989"/>
        <w:jc w:val="left"/>
        <w:rPr>
          <w:rFonts w:ascii="仿宋" w:eastAsia="仿宋" w:hAnsi="仿宋"/>
          <w:b/>
          <w:color w:val="082F6B"/>
          <w:sz w:val="44"/>
          <w:szCs w:val="44"/>
        </w:rPr>
      </w:pPr>
      <w:r w:rsidRPr="0088081C">
        <w:rPr>
          <w:rFonts w:ascii="仿宋" w:eastAsia="仿宋" w:hAnsi="仿宋" w:hint="eastAsia"/>
          <w:b/>
          <w:color w:val="082F6B"/>
          <w:sz w:val="44"/>
          <w:szCs w:val="44"/>
        </w:rPr>
        <w:t>市场很“任性”</w:t>
      </w:r>
    </w:p>
    <w:p w:rsidR="00B4206A" w:rsidRDefault="00204C38" w:rsidP="00204C38">
      <w:pPr>
        <w:spacing w:before="240" w:line="324" w:lineRule="auto"/>
        <w:ind w:leftChars="1080" w:left="2268" w:rightChars="471" w:right="989"/>
        <w:jc w:val="left"/>
        <w:rPr>
          <w:rFonts w:ascii="仿宋" w:eastAsia="仿宋" w:hAnsi="仿宋"/>
          <w:b/>
          <w:color w:val="082F6B"/>
          <w:sz w:val="44"/>
          <w:szCs w:val="44"/>
        </w:rPr>
      </w:pPr>
      <w:r w:rsidRPr="0088081C">
        <w:rPr>
          <w:rFonts w:ascii="仿宋" w:eastAsia="仿宋" w:hAnsi="仿宋" w:hint="eastAsia"/>
          <w:b/>
          <w:color w:val="082F6B"/>
          <w:sz w:val="44"/>
          <w:szCs w:val="44"/>
        </w:rPr>
        <w:t>——论大类资产配置的迁移</w:t>
      </w:r>
    </w:p>
    <w:p w:rsidR="00524CF7" w:rsidRDefault="003633F5" w:rsidP="003633F5">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近两周，</w:t>
      </w:r>
      <w:r w:rsidRPr="00204C38">
        <w:rPr>
          <w:rFonts w:ascii="仿宋" w:eastAsia="仿宋" w:hAnsi="仿宋" w:hint="eastAsia"/>
          <w:sz w:val="24"/>
          <w:szCs w:val="24"/>
        </w:rPr>
        <w:t>上证综指</w:t>
      </w:r>
      <w:r>
        <w:rPr>
          <w:rFonts w:ascii="仿宋" w:eastAsia="仿宋" w:hAnsi="仿宋" w:hint="eastAsia"/>
          <w:sz w:val="24"/>
          <w:szCs w:val="24"/>
        </w:rPr>
        <w:t>大幅上涨</w:t>
      </w:r>
      <w:r w:rsidRPr="00204C38">
        <w:rPr>
          <w:rFonts w:ascii="仿宋" w:eastAsia="仿宋" w:hAnsi="仿宋" w:hint="eastAsia"/>
          <w:sz w:val="24"/>
          <w:szCs w:val="24"/>
        </w:rPr>
        <w:t>，</w:t>
      </w:r>
      <w:r w:rsidR="00524CF7">
        <w:rPr>
          <w:rFonts w:ascii="仿宋" w:eastAsia="仿宋" w:hAnsi="仿宋" w:hint="eastAsia"/>
          <w:sz w:val="24"/>
          <w:szCs w:val="24"/>
        </w:rPr>
        <w:t>对于市场</w:t>
      </w:r>
      <w:r w:rsidRPr="003633F5">
        <w:rPr>
          <w:rFonts w:ascii="仿宋" w:eastAsia="仿宋" w:hAnsi="仿宋" w:hint="eastAsia"/>
          <w:sz w:val="24"/>
          <w:szCs w:val="24"/>
        </w:rPr>
        <w:t>目前的状态，</w:t>
      </w:r>
      <w:r w:rsidR="00524CF7">
        <w:rPr>
          <w:rFonts w:ascii="仿宋" w:eastAsia="仿宋" w:hAnsi="仿宋" w:hint="eastAsia"/>
          <w:sz w:val="24"/>
          <w:szCs w:val="24"/>
        </w:rPr>
        <w:t>许多</w:t>
      </w:r>
      <w:r w:rsidRPr="003633F5">
        <w:rPr>
          <w:rFonts w:ascii="仿宋" w:eastAsia="仿宋" w:hAnsi="仿宋" w:hint="eastAsia"/>
          <w:sz w:val="24"/>
          <w:szCs w:val="24"/>
        </w:rPr>
        <w:t>专业人士认同这一轮的强劲上涨行情有资金推动的痕迹，市场成交量快速放大打破了之前存量资金博弈的格局，那么突然“冒”出来的钱来自于哪里呢？</w:t>
      </w:r>
    </w:p>
    <w:p w:rsidR="003633F5" w:rsidRPr="003633F5" w:rsidRDefault="00524CF7" w:rsidP="003633F5">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t>最初预期海外资金可能通过沪港</w:t>
      </w:r>
      <w:proofErr w:type="gramStart"/>
      <w:r w:rsidRPr="00204C38">
        <w:rPr>
          <w:rFonts w:ascii="仿宋" w:eastAsia="仿宋" w:hAnsi="仿宋" w:hint="eastAsia"/>
          <w:sz w:val="24"/>
          <w:szCs w:val="24"/>
        </w:rPr>
        <w:t>通进入</w:t>
      </w:r>
      <w:proofErr w:type="gramEnd"/>
      <w:r w:rsidRPr="00204C38">
        <w:rPr>
          <w:rFonts w:ascii="仿宋" w:eastAsia="仿宋" w:hAnsi="仿宋" w:hint="eastAsia"/>
          <w:sz w:val="24"/>
          <w:szCs w:val="24"/>
        </w:rPr>
        <w:t>A股，实际上沪港通实施后，海外资金并没有如期疯狂涌入，但是A股仍不缺钱，</w:t>
      </w:r>
      <w:r>
        <w:rPr>
          <w:rFonts w:ascii="仿宋" w:eastAsia="仿宋" w:hAnsi="仿宋" w:hint="eastAsia"/>
          <w:sz w:val="24"/>
          <w:szCs w:val="24"/>
        </w:rPr>
        <w:t>银行</w:t>
      </w:r>
      <w:r>
        <w:rPr>
          <w:rFonts w:ascii="仿宋" w:eastAsia="仿宋" w:hAnsi="仿宋"/>
          <w:sz w:val="24"/>
          <w:szCs w:val="24"/>
        </w:rPr>
        <w:t>存款</w:t>
      </w:r>
      <w:r>
        <w:rPr>
          <w:rFonts w:ascii="仿宋" w:eastAsia="仿宋" w:hAnsi="仿宋" w:hint="eastAsia"/>
          <w:sz w:val="24"/>
          <w:szCs w:val="24"/>
        </w:rPr>
        <w:t>、</w:t>
      </w:r>
      <w:r>
        <w:rPr>
          <w:rFonts w:ascii="仿宋" w:eastAsia="仿宋" w:hAnsi="仿宋"/>
          <w:sz w:val="24"/>
          <w:szCs w:val="24"/>
        </w:rPr>
        <w:t>理财产品、房地产投资资金</w:t>
      </w:r>
      <w:r>
        <w:rPr>
          <w:rFonts w:ascii="仿宋" w:eastAsia="仿宋" w:hAnsi="仿宋" w:hint="eastAsia"/>
          <w:sz w:val="24"/>
          <w:szCs w:val="24"/>
        </w:rPr>
        <w:t>等国内</w:t>
      </w:r>
      <w:r w:rsidR="003633F5" w:rsidRPr="00204C38">
        <w:rPr>
          <w:rFonts w:ascii="仿宋" w:eastAsia="仿宋" w:hAnsi="仿宋" w:hint="eastAsia"/>
          <w:sz w:val="24"/>
          <w:szCs w:val="24"/>
        </w:rPr>
        <w:t>大类资产配置的迁移似乎</w:t>
      </w:r>
      <w:r>
        <w:rPr>
          <w:rFonts w:ascii="仿宋" w:eastAsia="仿宋" w:hAnsi="仿宋" w:hint="eastAsia"/>
          <w:sz w:val="24"/>
          <w:szCs w:val="24"/>
        </w:rPr>
        <w:t>才</w:t>
      </w:r>
      <w:r w:rsidR="003633F5" w:rsidRPr="00204C38">
        <w:rPr>
          <w:rFonts w:ascii="仿宋" w:eastAsia="仿宋" w:hAnsi="仿宋" w:hint="eastAsia"/>
          <w:sz w:val="24"/>
          <w:szCs w:val="24"/>
        </w:rPr>
        <w:t>是更加合理的逻辑基础。</w:t>
      </w:r>
    </w:p>
    <w:p w:rsidR="00EB596B" w:rsidRDefault="00EB596B"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5B16A5" w:rsidRPr="00AE326A">
        <w:rPr>
          <w:rFonts w:ascii="仿宋" w:eastAsia="仿宋" w:hAnsi="仿宋" w:hint="eastAsia"/>
          <w:b/>
          <w:color w:val="0088CC"/>
          <w:sz w:val="24"/>
          <w:szCs w:val="24"/>
        </w:rPr>
        <w:t>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201</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205</w:t>
      </w:r>
    </w:p>
    <w:p w:rsidR="00CD7117" w:rsidRPr="00567F50" w:rsidRDefault="00CD7117"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sidR="00A5656C">
        <w:rPr>
          <w:rFonts w:ascii="仿宋" w:eastAsia="仿宋" w:hAnsi="仿宋"/>
          <w:sz w:val="24"/>
          <w:szCs w:val="24"/>
          <w:lang w:val="en-GB"/>
        </w:rPr>
        <w:t>9.50</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sidR="00A5656C">
        <w:rPr>
          <w:rFonts w:ascii="仿宋" w:eastAsia="仿宋" w:hAnsi="仿宋"/>
          <w:sz w:val="24"/>
          <w:szCs w:val="24"/>
          <w:lang w:val="en-GB"/>
        </w:rPr>
        <w:t>11.83</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sidR="00A5656C">
        <w:rPr>
          <w:rFonts w:ascii="仿宋" w:eastAsia="仿宋" w:hAnsi="仿宋" w:hint="eastAsia"/>
          <w:sz w:val="24"/>
          <w:szCs w:val="24"/>
          <w:lang w:val="en-GB"/>
        </w:rPr>
        <w:t>下跌0.27</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00A5656C" w:rsidRPr="00A5656C">
        <w:rPr>
          <w:rFonts w:ascii="仿宋" w:eastAsia="仿宋" w:hAnsi="仿宋"/>
          <w:sz w:val="24"/>
          <w:szCs w:val="24"/>
          <w:lang w:val="en-GB"/>
        </w:rPr>
        <w:t>41,563.57</w:t>
      </w:r>
      <w:r w:rsidRPr="00567F50">
        <w:rPr>
          <w:rFonts w:ascii="仿宋" w:eastAsia="仿宋" w:hAnsi="仿宋" w:hint="eastAsia"/>
          <w:sz w:val="24"/>
          <w:szCs w:val="24"/>
          <w:lang w:val="en-GB"/>
        </w:rPr>
        <w:t>亿元。</w:t>
      </w:r>
      <w:r>
        <w:rPr>
          <w:rFonts w:ascii="仿宋" w:eastAsia="仿宋" w:hAnsi="仿宋" w:hint="eastAsia"/>
          <w:sz w:val="24"/>
          <w:szCs w:val="24"/>
          <w:lang w:val="en-GB"/>
        </w:rPr>
        <w:t>非银金融、</w:t>
      </w:r>
      <w:r w:rsidR="00A5656C">
        <w:rPr>
          <w:rFonts w:ascii="仿宋" w:eastAsia="仿宋" w:hAnsi="仿宋" w:hint="eastAsia"/>
          <w:sz w:val="24"/>
          <w:szCs w:val="24"/>
          <w:lang w:val="en-GB"/>
        </w:rPr>
        <w:t>化工</w:t>
      </w:r>
      <w:r w:rsidR="00A5656C">
        <w:rPr>
          <w:rFonts w:ascii="仿宋" w:eastAsia="仿宋" w:hAnsi="仿宋"/>
          <w:sz w:val="24"/>
          <w:szCs w:val="24"/>
          <w:lang w:val="en-GB"/>
        </w:rPr>
        <w:t>、</w:t>
      </w:r>
      <w:r>
        <w:rPr>
          <w:rFonts w:ascii="仿宋" w:eastAsia="仿宋" w:hAnsi="仿宋" w:hint="eastAsia"/>
          <w:sz w:val="24"/>
          <w:szCs w:val="24"/>
          <w:lang w:val="en-GB"/>
        </w:rPr>
        <w:t>银行</w:t>
      </w:r>
      <w:proofErr w:type="gramStart"/>
      <w:r w:rsidR="00193960">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00A5656C">
        <w:rPr>
          <w:rFonts w:ascii="仿宋" w:eastAsia="仿宋" w:hAnsi="仿宋"/>
          <w:sz w:val="24"/>
          <w:szCs w:val="24"/>
          <w:lang w:val="en-GB"/>
        </w:rPr>
        <w:t>24.49</w:t>
      </w:r>
      <w:r w:rsidRPr="00567F50">
        <w:rPr>
          <w:rFonts w:ascii="仿宋" w:eastAsia="仿宋" w:hAnsi="仿宋" w:hint="eastAsia"/>
          <w:sz w:val="24"/>
          <w:szCs w:val="24"/>
          <w:lang w:val="en-GB"/>
        </w:rPr>
        <w:t>%、</w:t>
      </w:r>
      <w:r>
        <w:rPr>
          <w:rFonts w:ascii="仿宋" w:eastAsia="仿宋" w:hAnsi="仿宋" w:hint="eastAsia"/>
          <w:sz w:val="24"/>
          <w:szCs w:val="24"/>
          <w:lang w:val="en-GB"/>
        </w:rPr>
        <w:t>1</w:t>
      </w:r>
      <w:r w:rsidR="00A5656C">
        <w:rPr>
          <w:rFonts w:ascii="仿宋" w:eastAsia="仿宋" w:hAnsi="仿宋"/>
          <w:sz w:val="24"/>
          <w:szCs w:val="24"/>
          <w:lang w:val="en-GB"/>
        </w:rPr>
        <w:t>4.39</w:t>
      </w:r>
      <w:r w:rsidRPr="00567F50">
        <w:rPr>
          <w:rFonts w:ascii="仿宋" w:eastAsia="仿宋" w:hAnsi="仿宋" w:hint="eastAsia"/>
          <w:sz w:val="24"/>
          <w:szCs w:val="24"/>
          <w:lang w:val="en-GB"/>
        </w:rPr>
        <w:t>%、</w:t>
      </w:r>
      <w:r>
        <w:rPr>
          <w:rFonts w:ascii="仿宋" w:eastAsia="仿宋" w:hAnsi="仿宋" w:hint="eastAsia"/>
          <w:sz w:val="24"/>
          <w:szCs w:val="24"/>
          <w:lang w:val="en-GB"/>
        </w:rPr>
        <w:t>1</w:t>
      </w:r>
      <w:r w:rsidR="00A5656C">
        <w:rPr>
          <w:rFonts w:ascii="仿宋" w:eastAsia="仿宋" w:hAnsi="仿宋"/>
          <w:sz w:val="24"/>
          <w:szCs w:val="24"/>
          <w:lang w:val="en-GB"/>
        </w:rPr>
        <w:t>3.87</w:t>
      </w:r>
      <w:r w:rsidRPr="00567F50">
        <w:rPr>
          <w:rFonts w:ascii="仿宋" w:eastAsia="仿宋" w:hAnsi="仿宋" w:hint="eastAsia"/>
          <w:sz w:val="24"/>
          <w:szCs w:val="24"/>
          <w:lang w:val="en-GB"/>
        </w:rPr>
        <w:t>%</w:t>
      </w:r>
      <w:r>
        <w:rPr>
          <w:rFonts w:ascii="仿宋" w:eastAsia="仿宋" w:hAnsi="仿宋" w:hint="eastAsia"/>
          <w:sz w:val="24"/>
          <w:szCs w:val="24"/>
          <w:lang w:val="en-GB"/>
        </w:rPr>
        <w:t>；</w:t>
      </w:r>
      <w:r w:rsidR="00A5656C">
        <w:rPr>
          <w:rFonts w:ascii="仿宋" w:eastAsia="仿宋" w:hAnsi="仿宋" w:hint="eastAsia"/>
          <w:sz w:val="24"/>
          <w:szCs w:val="24"/>
          <w:lang w:val="en-GB"/>
        </w:rPr>
        <w:t>轻工制造、电子</w:t>
      </w:r>
      <w:r w:rsidR="00A5656C">
        <w:rPr>
          <w:rFonts w:ascii="仿宋" w:eastAsia="仿宋" w:hAnsi="仿宋"/>
          <w:sz w:val="24"/>
          <w:szCs w:val="24"/>
          <w:lang w:val="en-GB"/>
        </w:rPr>
        <w:t>、</w:t>
      </w:r>
      <w:r w:rsidR="00A5656C">
        <w:rPr>
          <w:rFonts w:ascii="仿宋" w:eastAsia="仿宋" w:hAnsi="仿宋" w:hint="eastAsia"/>
          <w:sz w:val="24"/>
          <w:szCs w:val="24"/>
          <w:lang w:val="en-GB"/>
        </w:rPr>
        <w:t>农林牧</w:t>
      </w:r>
      <w:proofErr w:type="gramStart"/>
      <w:r w:rsidR="00A5656C">
        <w:rPr>
          <w:rFonts w:ascii="仿宋" w:eastAsia="仿宋" w:hAnsi="仿宋" w:hint="eastAsia"/>
          <w:sz w:val="24"/>
          <w:szCs w:val="24"/>
          <w:lang w:val="en-GB"/>
        </w:rPr>
        <w:t>渔</w:t>
      </w:r>
      <w:r w:rsidR="00A5656C">
        <w:rPr>
          <w:rFonts w:ascii="仿宋" w:eastAsia="仿宋" w:hAnsi="仿宋"/>
          <w:sz w:val="24"/>
          <w:szCs w:val="24"/>
          <w:lang w:val="en-GB"/>
        </w:rPr>
        <w:t>分别</w:t>
      </w:r>
      <w:proofErr w:type="gramEnd"/>
      <w:r w:rsidR="00A5656C">
        <w:rPr>
          <w:rFonts w:ascii="仿宋" w:eastAsia="仿宋" w:hAnsi="仿宋"/>
          <w:sz w:val="24"/>
          <w:szCs w:val="24"/>
          <w:lang w:val="en-GB"/>
        </w:rPr>
        <w:t>下跌</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sidR="00A5656C">
        <w:rPr>
          <w:rFonts w:ascii="仿宋" w:eastAsia="仿宋" w:hAnsi="仿宋"/>
          <w:sz w:val="24"/>
          <w:szCs w:val="24"/>
          <w:lang w:val="en-GB"/>
        </w:rPr>
        <w:t>1.34</w:t>
      </w:r>
      <w:r w:rsidRPr="00567F50">
        <w:rPr>
          <w:rFonts w:ascii="仿宋" w:eastAsia="仿宋" w:hAnsi="仿宋" w:hint="eastAsia"/>
          <w:sz w:val="24"/>
          <w:szCs w:val="24"/>
          <w:lang w:val="en-GB"/>
        </w:rPr>
        <w:t>%、</w:t>
      </w:r>
      <w:r w:rsidR="00A5656C">
        <w:rPr>
          <w:rFonts w:ascii="仿宋" w:eastAsia="仿宋" w:hAnsi="仿宋" w:hint="eastAsia"/>
          <w:sz w:val="24"/>
          <w:szCs w:val="24"/>
          <w:lang w:val="en-GB"/>
        </w:rPr>
        <w:t>0.89</w:t>
      </w:r>
      <w:r w:rsidRPr="00567F50">
        <w:rPr>
          <w:rFonts w:ascii="仿宋" w:eastAsia="仿宋" w:hAnsi="仿宋" w:hint="eastAsia"/>
          <w:sz w:val="24"/>
          <w:szCs w:val="24"/>
          <w:lang w:val="en-GB"/>
        </w:rPr>
        <w:t>%、</w:t>
      </w:r>
      <w:r w:rsidR="00A5656C">
        <w:rPr>
          <w:rFonts w:ascii="仿宋" w:eastAsia="仿宋" w:hAnsi="仿宋"/>
          <w:sz w:val="24"/>
          <w:szCs w:val="24"/>
          <w:lang w:val="en-GB"/>
        </w:rPr>
        <w:t>0.04</w:t>
      </w:r>
      <w:r w:rsidRPr="00567F50">
        <w:rPr>
          <w:rFonts w:ascii="仿宋" w:eastAsia="仿宋" w:hAnsi="仿宋" w:hint="eastAsia"/>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休闲服务、综合</w:t>
      </w:r>
      <w:r w:rsidR="00A5656C">
        <w:rPr>
          <w:rFonts w:ascii="仿宋" w:eastAsia="仿宋" w:hAnsi="仿宋" w:hint="eastAsia"/>
          <w:sz w:val="24"/>
          <w:szCs w:val="24"/>
          <w:lang w:val="en-GB"/>
        </w:rPr>
        <w:t>、</w:t>
      </w:r>
      <w:r w:rsidR="00A5656C">
        <w:rPr>
          <w:rFonts w:ascii="仿宋" w:eastAsia="仿宋" w:hAnsi="仿宋"/>
          <w:sz w:val="24"/>
          <w:szCs w:val="24"/>
          <w:lang w:val="en-GB"/>
        </w:rPr>
        <w:t>有色金属、</w:t>
      </w:r>
      <w:r w:rsidR="00A5656C">
        <w:rPr>
          <w:rFonts w:ascii="仿宋" w:eastAsia="仿宋" w:hAnsi="仿宋" w:hint="eastAsia"/>
          <w:sz w:val="24"/>
          <w:szCs w:val="24"/>
          <w:lang w:val="en-GB"/>
        </w:rPr>
        <w:t>农林牧</w:t>
      </w:r>
      <w:proofErr w:type="gramStart"/>
      <w:r w:rsidR="00A5656C">
        <w:rPr>
          <w:rFonts w:ascii="仿宋" w:eastAsia="仿宋" w:hAnsi="仿宋" w:hint="eastAsia"/>
          <w:sz w:val="24"/>
          <w:szCs w:val="24"/>
          <w:lang w:val="en-GB"/>
        </w:rPr>
        <w:t>渔</w:t>
      </w:r>
      <w:r w:rsidR="00A5656C">
        <w:rPr>
          <w:rFonts w:ascii="仿宋" w:eastAsia="仿宋" w:hAnsi="仿宋"/>
          <w:sz w:val="24"/>
          <w:szCs w:val="24"/>
          <w:lang w:val="en-GB"/>
        </w:rPr>
        <w:t>行业</w:t>
      </w:r>
      <w:proofErr w:type="gramEnd"/>
      <w:r w:rsidRPr="00567F50">
        <w:rPr>
          <w:rFonts w:ascii="仿宋" w:eastAsia="仿宋" w:hAnsi="仿宋" w:hint="eastAsia"/>
          <w:sz w:val="24"/>
          <w:szCs w:val="24"/>
          <w:lang w:val="en-GB"/>
        </w:rPr>
        <w:t>的换手率最大，换手率</w:t>
      </w:r>
      <w:r w:rsidR="00A5656C">
        <w:rPr>
          <w:rFonts w:ascii="仿宋" w:eastAsia="仿宋" w:hAnsi="仿宋" w:hint="eastAsia"/>
          <w:sz w:val="24"/>
          <w:szCs w:val="24"/>
          <w:lang w:val="en-GB"/>
        </w:rPr>
        <w:t>分别超过20</w:t>
      </w:r>
      <w:r w:rsidR="00A5656C">
        <w:rPr>
          <w:rFonts w:ascii="仿宋" w:eastAsia="仿宋" w:hAnsi="仿宋"/>
          <w:sz w:val="24"/>
          <w:szCs w:val="24"/>
          <w:lang w:val="en-GB"/>
        </w:rPr>
        <w:t>%</w:t>
      </w:r>
      <w:r w:rsidRPr="00567F50">
        <w:rPr>
          <w:rFonts w:ascii="仿宋" w:eastAsia="仿宋" w:hAnsi="仿宋" w:hint="eastAsia"/>
          <w:sz w:val="24"/>
          <w:szCs w:val="24"/>
          <w:lang w:val="en-GB"/>
        </w:rPr>
        <w:t>；从风格特征来看，</w:t>
      </w:r>
      <w:r w:rsidR="00A5656C">
        <w:rPr>
          <w:rFonts w:ascii="仿宋" w:eastAsia="仿宋" w:hAnsi="仿宋" w:hint="eastAsia"/>
          <w:sz w:val="24"/>
          <w:szCs w:val="24"/>
          <w:lang w:val="en-GB"/>
        </w:rPr>
        <w:t>大盘</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sidR="00A5656C">
        <w:rPr>
          <w:rFonts w:ascii="仿宋" w:eastAsia="仿宋" w:hAnsi="仿宋" w:hint="eastAsia"/>
          <w:sz w:val="24"/>
          <w:szCs w:val="24"/>
          <w:lang w:val="en-GB"/>
        </w:rPr>
        <w:t>1</w:t>
      </w:r>
      <w:r w:rsidR="00A5656C">
        <w:rPr>
          <w:rFonts w:ascii="仿宋" w:eastAsia="仿宋" w:hAnsi="仿宋"/>
          <w:sz w:val="24"/>
          <w:szCs w:val="24"/>
          <w:lang w:val="en-GB"/>
        </w:rPr>
        <w:t>2.05</w:t>
      </w:r>
      <w:r w:rsidRPr="00567F50">
        <w:rPr>
          <w:rFonts w:ascii="仿宋" w:eastAsia="仿宋" w:hAnsi="仿宋" w:hint="eastAsia"/>
          <w:sz w:val="24"/>
          <w:szCs w:val="24"/>
          <w:lang w:val="en-GB"/>
        </w:rPr>
        <w:t>%，</w:t>
      </w:r>
      <w:r w:rsidR="00A5656C">
        <w:rPr>
          <w:rFonts w:ascii="仿宋" w:eastAsia="仿宋" w:hAnsi="仿宋" w:hint="eastAsia"/>
          <w:sz w:val="24"/>
          <w:szCs w:val="24"/>
          <w:lang w:val="en-GB"/>
        </w:rPr>
        <w:t>机械设备</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小</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sidR="00A5656C">
        <w:rPr>
          <w:rFonts w:ascii="仿宋" w:eastAsia="仿宋" w:hAnsi="仿宋"/>
          <w:sz w:val="24"/>
          <w:szCs w:val="24"/>
          <w:lang w:val="en-GB"/>
        </w:rPr>
        <w:t>0.14</w:t>
      </w:r>
      <w:r w:rsidRPr="00567F50">
        <w:rPr>
          <w:rFonts w:ascii="仿宋" w:eastAsia="仿宋" w:hAnsi="仿宋" w:hint="eastAsia"/>
          <w:sz w:val="24"/>
          <w:szCs w:val="24"/>
          <w:lang w:val="en-GB"/>
        </w:rPr>
        <w:t>%。</w:t>
      </w:r>
    </w:p>
    <w:p w:rsidR="00CE0E30" w:rsidRPr="00CD7117" w:rsidRDefault="00CE0E30" w:rsidP="000E09A8">
      <w:pPr>
        <w:spacing w:after="240" w:line="300" w:lineRule="auto"/>
        <w:ind w:leftChars="1080" w:left="2268" w:rightChars="471" w:right="989"/>
        <w:jc w:val="left"/>
        <w:rPr>
          <w:rFonts w:ascii="仿宋" w:eastAsia="仿宋" w:hAnsi="仿宋"/>
          <w:sz w:val="24"/>
          <w:szCs w:val="24"/>
          <w:lang w:val="en-GB"/>
        </w:rPr>
      </w:pPr>
    </w:p>
    <w:p w:rsidR="00D07EE2" w:rsidRDefault="00204C38" w:rsidP="00204C38">
      <w:pPr>
        <w:adjustRightInd w:val="0"/>
        <w:snapToGrid w:val="0"/>
        <w:spacing w:beforeLines="50" w:before="156" w:afterLines="50" w:after="156" w:line="300" w:lineRule="auto"/>
        <w:ind w:leftChars="1080" w:left="2268" w:rightChars="471" w:right="989"/>
        <w:jc w:val="left"/>
        <w:rPr>
          <w:rFonts w:ascii="仿宋" w:eastAsia="仿宋" w:hAnsi="仿宋"/>
          <w:b/>
          <w:color w:val="082F6B"/>
          <w:sz w:val="44"/>
          <w:szCs w:val="44"/>
        </w:rPr>
      </w:pPr>
      <w:r w:rsidRPr="00204C38">
        <w:rPr>
          <w:rFonts w:ascii="仿宋" w:eastAsia="仿宋" w:hAnsi="仿宋" w:hint="eastAsia"/>
          <w:b/>
          <w:color w:val="082F6B"/>
          <w:sz w:val="44"/>
          <w:szCs w:val="44"/>
        </w:rPr>
        <w:lastRenderedPageBreak/>
        <w:t>市场很“任性”</w:t>
      </w:r>
    </w:p>
    <w:p w:rsidR="000144FB" w:rsidRDefault="00204C38" w:rsidP="00204C38">
      <w:pPr>
        <w:adjustRightInd w:val="0"/>
        <w:snapToGrid w:val="0"/>
        <w:spacing w:beforeLines="50" w:before="156" w:afterLines="50" w:after="156" w:line="300" w:lineRule="auto"/>
        <w:ind w:leftChars="1080" w:left="2268" w:rightChars="471" w:right="989"/>
        <w:jc w:val="left"/>
        <w:rPr>
          <w:rFonts w:ascii="仿宋" w:eastAsia="仿宋" w:hAnsi="仿宋"/>
          <w:b/>
          <w:color w:val="082F6B"/>
          <w:sz w:val="44"/>
          <w:szCs w:val="44"/>
        </w:rPr>
      </w:pPr>
      <w:r w:rsidRPr="00204C38">
        <w:rPr>
          <w:rFonts w:ascii="仿宋" w:eastAsia="仿宋" w:hAnsi="仿宋" w:hint="eastAsia"/>
          <w:b/>
          <w:color w:val="082F6B"/>
          <w:sz w:val="44"/>
          <w:szCs w:val="44"/>
        </w:rPr>
        <w:t>——论大类资产配置的迁移</w:t>
      </w:r>
    </w:p>
    <w:p w:rsidR="00D21E6F" w:rsidRPr="00335227" w:rsidRDefault="004C79B8"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w:t>
      </w:r>
      <w:r w:rsidR="00E61DD9">
        <w:rPr>
          <w:rFonts w:ascii="仿宋" w:eastAsia="仿宋" w:hAnsi="仿宋" w:hint="eastAsia"/>
          <w:b/>
          <w:color w:val="0088CC"/>
          <w:sz w:val="24"/>
          <w:szCs w:val="24"/>
        </w:rPr>
        <w:t>施罗德</w:t>
      </w:r>
      <w:r w:rsidR="00204C38">
        <w:rPr>
          <w:rFonts w:ascii="仿宋" w:eastAsia="仿宋" w:hAnsi="仿宋" w:hint="eastAsia"/>
          <w:b/>
          <w:color w:val="0088CC"/>
          <w:sz w:val="24"/>
          <w:szCs w:val="24"/>
        </w:rPr>
        <w:t>研究部 张鸿羽</w:t>
      </w:r>
    </w:p>
    <w:p w:rsidR="00204C38" w:rsidRPr="00204C38" w:rsidRDefault="00204C38" w:rsidP="00204C38">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t>11月21日到12月</w:t>
      </w:r>
      <w:r w:rsidR="00730C07">
        <w:rPr>
          <w:rFonts w:ascii="仿宋" w:eastAsia="仿宋" w:hAnsi="仿宋"/>
          <w:sz w:val="24"/>
          <w:szCs w:val="24"/>
        </w:rPr>
        <w:t>5</w:t>
      </w:r>
      <w:r w:rsidRPr="00204C38">
        <w:rPr>
          <w:rFonts w:ascii="仿宋" w:eastAsia="仿宋" w:hAnsi="仿宋" w:hint="eastAsia"/>
          <w:sz w:val="24"/>
          <w:szCs w:val="24"/>
        </w:rPr>
        <w:t>日，短短1</w:t>
      </w:r>
      <w:r w:rsidR="00730C07">
        <w:rPr>
          <w:rFonts w:ascii="仿宋" w:eastAsia="仿宋" w:hAnsi="仿宋"/>
          <w:sz w:val="24"/>
          <w:szCs w:val="24"/>
        </w:rPr>
        <w:t>1</w:t>
      </w:r>
      <w:r w:rsidRPr="00204C38">
        <w:rPr>
          <w:rFonts w:ascii="仿宋" w:eastAsia="仿宋" w:hAnsi="仿宋" w:hint="eastAsia"/>
          <w:sz w:val="24"/>
          <w:szCs w:val="24"/>
        </w:rPr>
        <w:t>个交易日，上证综指</w:t>
      </w:r>
      <w:r w:rsidR="00730C07">
        <w:rPr>
          <w:rFonts w:ascii="仿宋" w:eastAsia="仿宋" w:hAnsi="仿宋" w:hint="eastAsia"/>
          <w:sz w:val="24"/>
          <w:szCs w:val="24"/>
        </w:rPr>
        <w:t>涨幅达484.99</w:t>
      </w:r>
      <w:r w:rsidRPr="00204C38">
        <w:rPr>
          <w:rFonts w:ascii="仿宋" w:eastAsia="仿宋" w:hAnsi="仿宋" w:hint="eastAsia"/>
          <w:sz w:val="24"/>
          <w:szCs w:val="24"/>
        </w:rPr>
        <w:t>点，</w:t>
      </w:r>
      <w:r w:rsidR="00524CF7">
        <w:rPr>
          <w:rFonts w:ascii="仿宋" w:eastAsia="仿宋" w:hAnsi="仿宋" w:hint="eastAsia"/>
          <w:sz w:val="24"/>
          <w:szCs w:val="24"/>
        </w:rPr>
        <w:t>累计成交额4.34</w:t>
      </w:r>
      <w:proofErr w:type="gramStart"/>
      <w:r w:rsidR="00524CF7">
        <w:rPr>
          <w:rFonts w:ascii="仿宋" w:eastAsia="仿宋" w:hAnsi="仿宋" w:hint="eastAsia"/>
          <w:sz w:val="24"/>
          <w:szCs w:val="24"/>
        </w:rPr>
        <w:t>万</w:t>
      </w:r>
      <w:r w:rsidRPr="00204C38">
        <w:rPr>
          <w:rFonts w:ascii="仿宋" w:eastAsia="仿宋" w:hAnsi="仿宋" w:hint="eastAsia"/>
          <w:sz w:val="24"/>
          <w:szCs w:val="24"/>
        </w:rPr>
        <w:t>亿</w:t>
      </w:r>
      <w:proofErr w:type="gramEnd"/>
      <w:r w:rsidR="00524CF7" w:rsidRPr="00524CF7">
        <w:rPr>
          <w:rFonts w:ascii="仿宋" w:eastAsia="仿宋" w:hAnsi="仿宋" w:hint="eastAsia"/>
          <w:sz w:val="18"/>
          <w:szCs w:val="24"/>
        </w:rPr>
        <w:t>（数据来源</w:t>
      </w:r>
      <w:r w:rsidR="00524CF7" w:rsidRPr="00524CF7">
        <w:rPr>
          <w:rFonts w:ascii="仿宋" w:eastAsia="仿宋" w:hAnsi="仿宋"/>
          <w:sz w:val="18"/>
          <w:szCs w:val="24"/>
        </w:rPr>
        <w:t>：万得）</w:t>
      </w:r>
      <w:r w:rsidRPr="00204C38">
        <w:rPr>
          <w:rFonts w:ascii="仿宋" w:eastAsia="仿宋" w:hAnsi="仿宋" w:hint="eastAsia"/>
          <w:sz w:val="24"/>
          <w:szCs w:val="24"/>
        </w:rPr>
        <w:t>，如此强劲的行情是很多投资者很多年都没有看到的了，于是，市场群情激奋，最近被用来形容市场飙涨的新名词：“任性”很流行。是的，市场很“任性”，投资者也跟着“任性”起来。市场走到目前的状态，更多的专业人士认同这一轮的强劲上涨行情有资金推动的痕迹，市场成交量快速放大打破了之前存量资金博弈的格局，那么突然“冒”出来的钱来自于哪里呢？</w:t>
      </w:r>
    </w:p>
    <w:p w:rsidR="00204C38" w:rsidRPr="00204C38" w:rsidRDefault="00204C38" w:rsidP="00204C38">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t>在我们已经习惯了用存量资金博弈的分析框架解读市场走势以及结构变迁的时候，增量资金如潮水般涌入资本市场，最初预期海外资金可能通过沪港</w:t>
      </w:r>
      <w:proofErr w:type="gramStart"/>
      <w:r w:rsidRPr="00204C38">
        <w:rPr>
          <w:rFonts w:ascii="仿宋" w:eastAsia="仿宋" w:hAnsi="仿宋" w:hint="eastAsia"/>
          <w:sz w:val="24"/>
          <w:szCs w:val="24"/>
        </w:rPr>
        <w:t>通进入</w:t>
      </w:r>
      <w:proofErr w:type="gramEnd"/>
      <w:r w:rsidRPr="00204C38">
        <w:rPr>
          <w:rFonts w:ascii="仿宋" w:eastAsia="仿宋" w:hAnsi="仿宋" w:hint="eastAsia"/>
          <w:sz w:val="24"/>
          <w:szCs w:val="24"/>
        </w:rPr>
        <w:t>A股，实际上沪港通实施后，海外资金并没有如期疯狂涌入，但是A股仍不缺钱，看来这部分资金的来源还要从我们国内来分析。从深层次而言，大类资产配置的迁移似乎是更加合理的逻辑基础。</w:t>
      </w:r>
    </w:p>
    <w:p w:rsidR="00204C38" w:rsidRPr="00204C38" w:rsidRDefault="00204C38" w:rsidP="00204C38">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t>从我国居民目前的大类资产配置结构来看，银行存款（包括理财产品等）、房地产以及权益投资（包括基金、股票）是几个大的品类，而银行存款和房地产投资是重中之重。从大的产业周期来看，曾经高速发展的这两类资产正逐步进入平稳发展期。</w:t>
      </w:r>
    </w:p>
    <w:p w:rsidR="00204C38" w:rsidRPr="00204C38" w:rsidRDefault="00204C38" w:rsidP="00204C38">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t>首先看一下银行存款。在宏观经济增速下台阶的大背景下，中国可能已经阶段性进入了降息周期，同时房地产信托等高收益产品受到国家的严格监管，高收益理财产品的收益率面临下行压力，居民在银行的资产配置从存款到理财产品的快速扩张面临拐点。居民在寻求更高收益率的资产配置品种，一旦股市持续上涨催生财富效应，就会有大量的居民存款和银行理财产品资金从银行流出进入资本市场，显然银行系统的资金池是巨大的，流向资本市场的资金边际效用很强。</w:t>
      </w:r>
    </w:p>
    <w:p w:rsidR="00204C38" w:rsidRPr="00204C38" w:rsidRDefault="00204C38" w:rsidP="00204C38">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lastRenderedPageBreak/>
        <w:t>其次看</w:t>
      </w:r>
      <w:proofErr w:type="gramStart"/>
      <w:r w:rsidRPr="00204C38">
        <w:rPr>
          <w:rFonts w:ascii="仿宋" w:eastAsia="仿宋" w:hAnsi="仿宋" w:hint="eastAsia"/>
          <w:sz w:val="24"/>
          <w:szCs w:val="24"/>
        </w:rPr>
        <w:t>一</w:t>
      </w:r>
      <w:proofErr w:type="gramEnd"/>
      <w:r w:rsidRPr="00204C38">
        <w:rPr>
          <w:rFonts w:ascii="仿宋" w:eastAsia="仿宋" w:hAnsi="仿宋" w:hint="eastAsia"/>
          <w:sz w:val="24"/>
          <w:szCs w:val="24"/>
        </w:rPr>
        <w:t>下房地产。在上一个五年计划里，房地产是国民经济增长的绝对龙头，对GDP的贡献举足轻重，但是在经历了多年的高速房地产投资增速之后，目前我国人均房屋保有面积已经不低，在边际需求下降的背景下，目前的房价水平要刺激新一轮的购房高潮似乎很难，房地产的大周期已经走到了一个平稳发展的阶段，曾经集聚在房地产行业内的社会资本也面临寻找新的投资机会的问题。</w:t>
      </w:r>
    </w:p>
    <w:p w:rsidR="00EA160E" w:rsidRDefault="00204C38" w:rsidP="00204C38">
      <w:pPr>
        <w:spacing w:before="240" w:line="324" w:lineRule="auto"/>
        <w:ind w:leftChars="1080" w:left="2268" w:rightChars="471" w:right="989"/>
        <w:jc w:val="left"/>
        <w:rPr>
          <w:rFonts w:ascii="仿宋" w:eastAsia="仿宋" w:hAnsi="仿宋"/>
          <w:sz w:val="24"/>
          <w:szCs w:val="24"/>
        </w:rPr>
      </w:pPr>
      <w:r w:rsidRPr="00204C38">
        <w:rPr>
          <w:rFonts w:ascii="仿宋" w:eastAsia="仿宋" w:hAnsi="仿宋" w:hint="eastAsia"/>
          <w:sz w:val="24"/>
          <w:szCs w:val="24"/>
        </w:rPr>
        <w:t>随着国家提出国有企业改革、金融体制改革、一带一路等改革措施，资本市场对于政策红利的反应是积极的，改革为大盘蓝筹股注入了活力，蓝筹的崛起为巨量的资金找到了出路。新经济和信息技术的快速发展，又为资本市场插上了想象的翅膀，互联网通过电</w:t>
      </w:r>
      <w:proofErr w:type="gramStart"/>
      <w:r w:rsidRPr="00204C38">
        <w:rPr>
          <w:rFonts w:ascii="仿宋" w:eastAsia="仿宋" w:hAnsi="仿宋" w:hint="eastAsia"/>
          <w:sz w:val="24"/>
          <w:szCs w:val="24"/>
        </w:rPr>
        <w:t>商彻底</w:t>
      </w:r>
      <w:proofErr w:type="gramEnd"/>
      <w:r w:rsidRPr="00204C38">
        <w:rPr>
          <w:rFonts w:ascii="仿宋" w:eastAsia="仿宋" w:hAnsi="仿宋" w:hint="eastAsia"/>
          <w:sz w:val="24"/>
          <w:szCs w:val="24"/>
        </w:rPr>
        <w:t>改变了居民衣食住行的各个方面，并释放了巨大的潜力；而信息技术也为工业4.0创造了条件。新兴市场对于新技术革命向来是不吝啬于积极的点赞和拥抱的，因此，我们看到众多触网的公司，信息化的公司连创新高。看来打破思维的禁锢，我们才能真正的认识新经济，享受时代变革的红利。</w:t>
      </w: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9704A2" w:rsidRPr="002D6A58">
        <w:rPr>
          <w:rFonts w:ascii="仿宋" w:eastAsia="仿宋" w:hAnsi="仿宋" w:hint="eastAsia"/>
          <w:b/>
          <w:color w:val="082F6B"/>
          <w:sz w:val="36"/>
          <w:szCs w:val="36"/>
        </w:rPr>
        <w:t>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201</w:t>
      </w:r>
      <w:r w:rsidR="005F54DF" w:rsidRPr="002D6A58">
        <w:rPr>
          <w:rFonts w:ascii="仿宋" w:eastAsia="仿宋" w:hAnsi="仿宋" w:hint="eastAsia"/>
          <w:b/>
          <w:color w:val="082F6B"/>
          <w:sz w:val="36"/>
          <w:szCs w:val="36"/>
        </w:rPr>
        <w:t>-2014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205</w:t>
      </w:r>
      <w:r w:rsidRPr="002D6A58">
        <w:rPr>
          <w:rFonts w:ascii="仿宋" w:eastAsia="仿宋" w:hAnsi="仿宋" w:hint="eastAsia"/>
          <w:b/>
          <w:color w:val="082F6B"/>
          <w:sz w:val="36"/>
          <w:szCs w:val="36"/>
        </w:rPr>
        <w:t>）</w:t>
      </w:r>
    </w:p>
    <w:p w:rsidR="00193960" w:rsidRPr="00567F50" w:rsidRDefault="00B7035E" w:rsidP="00193960">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193960">
        <w:rPr>
          <w:rFonts w:ascii="仿宋" w:eastAsia="仿宋" w:hAnsi="仿宋"/>
          <w:sz w:val="24"/>
          <w:szCs w:val="24"/>
          <w:lang w:val="en-GB"/>
        </w:rPr>
        <w:t>9.50</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193960">
        <w:rPr>
          <w:rFonts w:ascii="仿宋" w:eastAsia="仿宋" w:hAnsi="仿宋"/>
          <w:sz w:val="24"/>
          <w:szCs w:val="24"/>
          <w:lang w:val="en-GB"/>
        </w:rPr>
        <w:t>11.83</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193960">
        <w:rPr>
          <w:rFonts w:ascii="仿宋" w:eastAsia="仿宋" w:hAnsi="仿宋" w:hint="eastAsia"/>
          <w:sz w:val="24"/>
          <w:szCs w:val="24"/>
          <w:lang w:val="en-GB"/>
        </w:rPr>
        <w:t>下跌0.27</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193960" w:rsidRPr="00A5656C">
        <w:rPr>
          <w:rFonts w:ascii="仿宋" w:eastAsia="仿宋" w:hAnsi="仿宋"/>
          <w:sz w:val="24"/>
          <w:szCs w:val="24"/>
          <w:lang w:val="en-GB"/>
        </w:rPr>
        <w:t>41,563.57</w:t>
      </w:r>
      <w:r w:rsidR="00193960" w:rsidRPr="00567F50">
        <w:rPr>
          <w:rFonts w:ascii="仿宋" w:eastAsia="仿宋" w:hAnsi="仿宋" w:hint="eastAsia"/>
          <w:sz w:val="24"/>
          <w:szCs w:val="24"/>
          <w:lang w:val="en-GB"/>
        </w:rPr>
        <w:t>亿元。</w:t>
      </w:r>
      <w:r w:rsidR="00193960">
        <w:rPr>
          <w:rFonts w:ascii="仿宋" w:eastAsia="仿宋" w:hAnsi="仿宋" w:hint="eastAsia"/>
          <w:sz w:val="24"/>
          <w:szCs w:val="24"/>
          <w:lang w:val="en-GB"/>
        </w:rPr>
        <w:t>非银金融、化工</w:t>
      </w:r>
      <w:r w:rsidR="00193960">
        <w:rPr>
          <w:rFonts w:ascii="仿宋" w:eastAsia="仿宋" w:hAnsi="仿宋"/>
          <w:sz w:val="24"/>
          <w:szCs w:val="24"/>
          <w:lang w:val="en-GB"/>
        </w:rPr>
        <w:t>、</w:t>
      </w:r>
      <w:r w:rsidR="00193960">
        <w:rPr>
          <w:rFonts w:ascii="仿宋" w:eastAsia="仿宋" w:hAnsi="仿宋" w:hint="eastAsia"/>
          <w:sz w:val="24"/>
          <w:szCs w:val="24"/>
          <w:lang w:val="en-GB"/>
        </w:rPr>
        <w:t>银行</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193960">
        <w:rPr>
          <w:rFonts w:ascii="仿宋" w:eastAsia="仿宋" w:hAnsi="仿宋"/>
          <w:sz w:val="24"/>
          <w:szCs w:val="24"/>
          <w:lang w:val="en-GB"/>
        </w:rPr>
        <w:t>24.49</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1</w:t>
      </w:r>
      <w:r w:rsidR="00193960">
        <w:rPr>
          <w:rFonts w:ascii="仿宋" w:eastAsia="仿宋" w:hAnsi="仿宋"/>
          <w:sz w:val="24"/>
          <w:szCs w:val="24"/>
          <w:lang w:val="en-GB"/>
        </w:rPr>
        <w:t>4.39</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1</w:t>
      </w:r>
      <w:r w:rsidR="00193960">
        <w:rPr>
          <w:rFonts w:ascii="仿宋" w:eastAsia="仿宋" w:hAnsi="仿宋"/>
          <w:sz w:val="24"/>
          <w:szCs w:val="24"/>
          <w:lang w:val="en-GB"/>
        </w:rPr>
        <w:t>3.87</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；轻工制造、电子</w:t>
      </w:r>
      <w:r w:rsidR="00193960">
        <w:rPr>
          <w:rFonts w:ascii="仿宋" w:eastAsia="仿宋" w:hAnsi="仿宋"/>
          <w:sz w:val="24"/>
          <w:szCs w:val="24"/>
          <w:lang w:val="en-GB"/>
        </w:rPr>
        <w:t>、</w:t>
      </w:r>
      <w:r w:rsidR="00193960">
        <w:rPr>
          <w:rFonts w:ascii="仿宋" w:eastAsia="仿宋" w:hAnsi="仿宋" w:hint="eastAsia"/>
          <w:sz w:val="24"/>
          <w:szCs w:val="24"/>
          <w:lang w:val="en-GB"/>
        </w:rPr>
        <w:t>农林牧</w:t>
      </w:r>
      <w:proofErr w:type="gramStart"/>
      <w:r w:rsidR="00193960">
        <w:rPr>
          <w:rFonts w:ascii="仿宋" w:eastAsia="仿宋" w:hAnsi="仿宋" w:hint="eastAsia"/>
          <w:sz w:val="24"/>
          <w:szCs w:val="24"/>
          <w:lang w:val="en-GB"/>
        </w:rPr>
        <w:t>渔</w:t>
      </w:r>
      <w:r w:rsidR="00193960">
        <w:rPr>
          <w:rFonts w:ascii="仿宋" w:eastAsia="仿宋" w:hAnsi="仿宋"/>
          <w:sz w:val="24"/>
          <w:szCs w:val="24"/>
          <w:lang w:val="en-GB"/>
        </w:rPr>
        <w:t>分别</w:t>
      </w:r>
      <w:proofErr w:type="gramEnd"/>
      <w:r w:rsidR="00193960">
        <w:rPr>
          <w:rFonts w:ascii="仿宋" w:eastAsia="仿宋" w:hAnsi="仿宋"/>
          <w:sz w:val="24"/>
          <w:szCs w:val="24"/>
          <w:lang w:val="en-GB"/>
        </w:rPr>
        <w:t>下跌</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193960">
        <w:rPr>
          <w:rFonts w:ascii="仿宋" w:eastAsia="仿宋" w:hAnsi="仿宋"/>
          <w:sz w:val="24"/>
          <w:szCs w:val="24"/>
          <w:lang w:val="en-GB"/>
        </w:rPr>
        <w:t>1.34</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0.89</w:t>
      </w:r>
      <w:r w:rsidR="00193960" w:rsidRPr="00567F50">
        <w:rPr>
          <w:rFonts w:ascii="仿宋" w:eastAsia="仿宋" w:hAnsi="仿宋" w:hint="eastAsia"/>
          <w:sz w:val="24"/>
          <w:szCs w:val="24"/>
          <w:lang w:val="en-GB"/>
        </w:rPr>
        <w:t>%、</w:t>
      </w:r>
      <w:r w:rsidR="00193960">
        <w:rPr>
          <w:rFonts w:ascii="仿宋" w:eastAsia="仿宋" w:hAnsi="仿宋"/>
          <w:sz w:val="24"/>
          <w:szCs w:val="24"/>
          <w:lang w:val="en-GB"/>
        </w:rPr>
        <w:t>0.04</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193960">
        <w:rPr>
          <w:rFonts w:ascii="仿宋" w:eastAsia="仿宋" w:hAnsi="仿宋" w:hint="eastAsia"/>
          <w:sz w:val="24"/>
          <w:szCs w:val="24"/>
          <w:lang w:val="en-GB"/>
        </w:rPr>
        <w:t>休闲服务、综合、</w:t>
      </w:r>
      <w:r w:rsidR="00193960">
        <w:rPr>
          <w:rFonts w:ascii="仿宋" w:eastAsia="仿宋" w:hAnsi="仿宋"/>
          <w:sz w:val="24"/>
          <w:szCs w:val="24"/>
          <w:lang w:val="en-GB"/>
        </w:rPr>
        <w:t>有色金属、</w:t>
      </w:r>
      <w:r w:rsidR="00193960">
        <w:rPr>
          <w:rFonts w:ascii="仿宋" w:eastAsia="仿宋" w:hAnsi="仿宋" w:hint="eastAsia"/>
          <w:sz w:val="24"/>
          <w:szCs w:val="24"/>
          <w:lang w:val="en-GB"/>
        </w:rPr>
        <w:t>农林牧</w:t>
      </w:r>
      <w:proofErr w:type="gramStart"/>
      <w:r w:rsidR="00193960">
        <w:rPr>
          <w:rFonts w:ascii="仿宋" w:eastAsia="仿宋" w:hAnsi="仿宋" w:hint="eastAsia"/>
          <w:sz w:val="24"/>
          <w:szCs w:val="24"/>
          <w:lang w:val="en-GB"/>
        </w:rPr>
        <w:t>渔</w:t>
      </w:r>
      <w:r w:rsidR="00193960">
        <w:rPr>
          <w:rFonts w:ascii="仿宋" w:eastAsia="仿宋" w:hAnsi="仿宋"/>
          <w:sz w:val="24"/>
          <w:szCs w:val="24"/>
          <w:lang w:val="en-GB"/>
        </w:rPr>
        <w:t>行业</w:t>
      </w:r>
      <w:proofErr w:type="gramEnd"/>
      <w:r w:rsidR="00193960" w:rsidRPr="00567F50">
        <w:rPr>
          <w:rFonts w:ascii="仿宋" w:eastAsia="仿宋" w:hAnsi="仿宋" w:hint="eastAsia"/>
          <w:sz w:val="24"/>
          <w:szCs w:val="24"/>
          <w:lang w:val="en-GB"/>
        </w:rPr>
        <w:t>的换手率最大，换手率</w:t>
      </w:r>
      <w:r w:rsidR="00193960">
        <w:rPr>
          <w:rFonts w:ascii="仿宋" w:eastAsia="仿宋" w:hAnsi="仿宋" w:hint="eastAsia"/>
          <w:sz w:val="24"/>
          <w:szCs w:val="24"/>
          <w:lang w:val="en-GB"/>
        </w:rPr>
        <w:t>分别超过20</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193960">
        <w:rPr>
          <w:rFonts w:ascii="仿宋" w:eastAsia="仿宋" w:hAnsi="仿宋" w:hint="eastAsia"/>
          <w:sz w:val="24"/>
          <w:szCs w:val="24"/>
          <w:lang w:val="en-GB"/>
        </w:rPr>
        <w:t>大盘</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193960">
        <w:rPr>
          <w:rFonts w:ascii="仿宋" w:eastAsia="仿宋" w:hAnsi="仿宋" w:hint="eastAsia"/>
          <w:sz w:val="24"/>
          <w:szCs w:val="24"/>
          <w:lang w:val="en-GB"/>
        </w:rPr>
        <w:t>1</w:t>
      </w:r>
      <w:r w:rsidR="00193960">
        <w:rPr>
          <w:rFonts w:ascii="仿宋" w:eastAsia="仿宋" w:hAnsi="仿宋"/>
          <w:sz w:val="24"/>
          <w:szCs w:val="24"/>
          <w:lang w:val="en-GB"/>
        </w:rPr>
        <w:t>2.05</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机械设备</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小</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193960">
        <w:rPr>
          <w:rFonts w:ascii="仿宋" w:eastAsia="仿宋" w:hAnsi="仿宋"/>
          <w:sz w:val="24"/>
          <w:szCs w:val="24"/>
          <w:lang w:val="en-GB"/>
        </w:rPr>
        <w:t>0.14</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C62D3F" w:rsidRPr="00567F50" w:rsidTr="00C62D3F">
        <w:trPr>
          <w:trHeight w:val="64"/>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上证综指</w:t>
            </w:r>
          </w:p>
        </w:tc>
        <w:tc>
          <w:tcPr>
            <w:tcW w:w="1021" w:type="dxa"/>
          </w:tcPr>
          <w:p w:rsidR="00C62D3F" w:rsidRPr="00C62D3F" w:rsidRDefault="00C62D3F" w:rsidP="00C62D3F">
            <w:pPr>
              <w:jc w:val="center"/>
              <w:rPr>
                <w:rFonts w:ascii="仿宋" w:eastAsia="仿宋" w:hAnsi="仿宋" w:cs="Arial"/>
              </w:rPr>
            </w:pPr>
            <w:r w:rsidRPr="00C62D3F">
              <w:rPr>
                <w:rFonts w:ascii="仿宋" w:eastAsia="仿宋" w:hAnsi="仿宋" w:cs="Arial"/>
              </w:rPr>
              <w:t>9.50%</w:t>
            </w:r>
          </w:p>
        </w:tc>
        <w:tc>
          <w:tcPr>
            <w:tcW w:w="1134" w:type="dxa"/>
            <w:tcBorders>
              <w:right w:val="single" w:sz="4" w:space="0" w:color="1F497D"/>
            </w:tcBorders>
          </w:tcPr>
          <w:p w:rsidR="00C62D3F" w:rsidRPr="00C62D3F" w:rsidRDefault="00C62D3F" w:rsidP="00C62D3F">
            <w:pPr>
              <w:jc w:val="center"/>
              <w:rPr>
                <w:rFonts w:ascii="仿宋" w:eastAsia="仿宋" w:hAnsi="仿宋" w:cs="Arial"/>
              </w:rPr>
            </w:pPr>
            <w:r w:rsidRPr="00C62D3F">
              <w:rPr>
                <w:rFonts w:ascii="仿宋" w:eastAsia="仿宋" w:hAnsi="仿宋" w:cs="Arial"/>
              </w:rPr>
              <w:t>24,765.5</w:t>
            </w:r>
          </w:p>
        </w:tc>
        <w:tc>
          <w:tcPr>
            <w:tcW w:w="283" w:type="dxa"/>
            <w:vMerge/>
            <w:tcBorders>
              <w:left w:val="single" w:sz="4" w:space="0" w:color="1F497D"/>
            </w:tcBorders>
            <w:vAlign w:val="center"/>
          </w:tcPr>
          <w:p w:rsidR="00C62D3F" w:rsidRPr="00567F50" w:rsidRDefault="00C62D3F" w:rsidP="00C62D3F">
            <w:pPr>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A股总市值（亿元）</w:t>
            </w:r>
          </w:p>
        </w:tc>
        <w:tc>
          <w:tcPr>
            <w:tcW w:w="1315" w:type="dxa"/>
          </w:tcPr>
          <w:p w:rsidR="00C62D3F" w:rsidRPr="00C62D3F" w:rsidRDefault="00C62D3F" w:rsidP="00C62D3F">
            <w:pPr>
              <w:jc w:val="center"/>
              <w:rPr>
                <w:rFonts w:ascii="仿宋" w:eastAsia="仿宋" w:hAnsi="仿宋" w:cs="Arial"/>
              </w:rPr>
            </w:pPr>
            <w:r w:rsidRPr="00C62D3F">
              <w:rPr>
                <w:rFonts w:ascii="仿宋" w:eastAsia="仿宋" w:hAnsi="仿宋" w:cs="Arial"/>
              </w:rPr>
              <w:t>396,701.62</w:t>
            </w:r>
          </w:p>
        </w:tc>
      </w:tr>
      <w:tr w:rsidR="00C62D3F" w:rsidRPr="00567F50" w:rsidTr="00C62D3F">
        <w:trPr>
          <w:trHeight w:val="70"/>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上证180</w:t>
            </w:r>
          </w:p>
        </w:tc>
        <w:tc>
          <w:tcPr>
            <w:tcW w:w="102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12.17%</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15,540.1</w:t>
            </w:r>
          </w:p>
        </w:tc>
        <w:tc>
          <w:tcPr>
            <w:tcW w:w="283" w:type="dxa"/>
            <w:vMerge/>
            <w:tcBorders>
              <w:left w:val="single" w:sz="4" w:space="0" w:color="1F497D"/>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A股流通市值（亿元）</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292,553.08</w:t>
            </w:r>
          </w:p>
        </w:tc>
      </w:tr>
      <w:tr w:rsidR="00C62D3F" w:rsidRPr="00567F50" w:rsidTr="00C62D3F">
        <w:trPr>
          <w:trHeight w:val="20"/>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上证50</w:t>
            </w:r>
          </w:p>
        </w:tc>
        <w:tc>
          <w:tcPr>
            <w:tcW w:w="102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14.93%</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9,176.8</w:t>
            </w:r>
          </w:p>
        </w:tc>
        <w:tc>
          <w:tcPr>
            <w:tcW w:w="283" w:type="dxa"/>
            <w:vMerge/>
            <w:tcBorders>
              <w:left w:val="single" w:sz="4" w:space="0" w:color="1F497D"/>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A股市盈率（最新年报，剔除负值）</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16.46</w:t>
            </w:r>
          </w:p>
        </w:tc>
      </w:tr>
      <w:tr w:rsidR="00C62D3F" w:rsidRPr="00567F50" w:rsidTr="00C62D3F">
        <w:trPr>
          <w:trHeight w:val="20"/>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沪深300</w:t>
            </w:r>
          </w:p>
        </w:tc>
        <w:tc>
          <w:tcPr>
            <w:tcW w:w="102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11.25%</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21,331.1</w:t>
            </w:r>
          </w:p>
        </w:tc>
        <w:tc>
          <w:tcPr>
            <w:tcW w:w="283" w:type="dxa"/>
            <w:vMerge/>
            <w:tcBorders>
              <w:left w:val="single" w:sz="4" w:space="0" w:color="1F497D"/>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A股市盈率（递推12个月，剔除负值）</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14.98</w:t>
            </w:r>
          </w:p>
        </w:tc>
      </w:tr>
      <w:tr w:rsidR="00C62D3F" w:rsidRPr="00567F50" w:rsidTr="00C62D3F">
        <w:trPr>
          <w:trHeight w:val="20"/>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深证成指</w:t>
            </w:r>
          </w:p>
        </w:tc>
        <w:tc>
          <w:tcPr>
            <w:tcW w:w="102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11.83%</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3,152.7</w:t>
            </w:r>
          </w:p>
        </w:tc>
        <w:tc>
          <w:tcPr>
            <w:tcW w:w="283" w:type="dxa"/>
            <w:vMerge/>
            <w:tcBorders>
              <w:left w:val="single" w:sz="4" w:space="0" w:color="1F497D"/>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A股市净率（最新年报，剔除负值）</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2.26</w:t>
            </w:r>
          </w:p>
        </w:tc>
      </w:tr>
      <w:tr w:rsidR="00C62D3F" w:rsidRPr="00567F50" w:rsidTr="00C62D3F">
        <w:trPr>
          <w:trHeight w:val="20"/>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lastRenderedPageBreak/>
              <w:t>深证100</w:t>
            </w:r>
          </w:p>
        </w:tc>
        <w:tc>
          <w:tcPr>
            <w:tcW w:w="102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9.51%</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5,604.3</w:t>
            </w:r>
          </w:p>
        </w:tc>
        <w:tc>
          <w:tcPr>
            <w:tcW w:w="283" w:type="dxa"/>
            <w:vMerge/>
            <w:tcBorders>
              <w:left w:val="single" w:sz="4" w:space="0" w:color="1F497D"/>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A股市净率（最新报告期，剔除负值）</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2.05</w:t>
            </w:r>
          </w:p>
        </w:tc>
      </w:tr>
      <w:tr w:rsidR="00C62D3F" w:rsidRPr="00567F50" w:rsidTr="00C62D3F">
        <w:trPr>
          <w:trHeight w:val="20"/>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申万中小板</w:t>
            </w:r>
          </w:p>
        </w:tc>
        <w:tc>
          <w:tcPr>
            <w:tcW w:w="1021" w:type="dxa"/>
          </w:tcPr>
          <w:p w:rsidR="00C62D3F" w:rsidRPr="00C62D3F" w:rsidRDefault="00C62D3F" w:rsidP="00C62D3F">
            <w:pPr>
              <w:widowControl/>
              <w:jc w:val="center"/>
              <w:rPr>
                <w:rFonts w:ascii="仿宋" w:eastAsia="仿宋" w:hAnsi="仿宋" w:cs="Arial"/>
              </w:rPr>
            </w:pPr>
            <w:r>
              <w:rPr>
                <w:rFonts w:ascii="仿宋" w:eastAsia="仿宋" w:hAnsi="仿宋" w:cs="Arial"/>
              </w:rPr>
              <w:t>(</w:t>
            </w:r>
            <w:r w:rsidRPr="00C62D3F">
              <w:rPr>
                <w:rFonts w:ascii="仿宋" w:eastAsia="仿宋" w:hAnsi="仿宋" w:cs="Arial"/>
              </w:rPr>
              <w:t>0.27%)</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5,818.1</w:t>
            </w:r>
          </w:p>
        </w:tc>
        <w:tc>
          <w:tcPr>
            <w:tcW w:w="283" w:type="dxa"/>
            <w:vMerge/>
            <w:tcBorders>
              <w:left w:val="single" w:sz="4" w:space="0" w:color="1F497D"/>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A股加权平均股价</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9.16</w:t>
            </w:r>
          </w:p>
        </w:tc>
      </w:tr>
      <w:tr w:rsidR="00C62D3F" w:rsidRPr="00567F50" w:rsidTr="00C62D3F">
        <w:trPr>
          <w:trHeight w:val="138"/>
        </w:trPr>
        <w:tc>
          <w:tcPr>
            <w:tcW w:w="148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申万基金重仓</w:t>
            </w:r>
          </w:p>
        </w:tc>
        <w:tc>
          <w:tcPr>
            <w:tcW w:w="102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6.92%</w:t>
            </w:r>
          </w:p>
        </w:tc>
        <w:tc>
          <w:tcPr>
            <w:tcW w:w="1134" w:type="dxa"/>
            <w:tcBorders>
              <w:right w:val="single" w:sz="4" w:space="0" w:color="1F497D"/>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31,746.0</w:t>
            </w:r>
          </w:p>
        </w:tc>
        <w:tc>
          <w:tcPr>
            <w:tcW w:w="283" w:type="dxa"/>
            <w:vMerge/>
            <w:tcBorders>
              <w:left w:val="single" w:sz="4" w:space="0" w:color="1F497D"/>
              <w:bottom w:val="nil"/>
            </w:tcBorders>
            <w:vAlign w:val="center"/>
          </w:tcPr>
          <w:p w:rsidR="00C62D3F" w:rsidRPr="00567F50" w:rsidRDefault="00C62D3F" w:rsidP="00C62D3F">
            <w:pPr>
              <w:widowControl/>
              <w:tabs>
                <w:tab w:val="center" w:pos="1663"/>
                <w:tab w:val="right" w:pos="3327"/>
              </w:tabs>
              <w:jc w:val="center"/>
              <w:rPr>
                <w:rFonts w:ascii="仿宋" w:eastAsia="仿宋" w:hAnsi="仿宋" w:cs="Arial"/>
              </w:rPr>
            </w:pPr>
          </w:p>
        </w:tc>
        <w:tc>
          <w:tcPr>
            <w:tcW w:w="3901"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两市A股成交金额(亿元)</w:t>
            </w:r>
          </w:p>
        </w:tc>
        <w:tc>
          <w:tcPr>
            <w:tcW w:w="1315"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41,563.57</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bookmarkStart w:id="0" w:name="_GoBack"/>
      <w:r w:rsidRPr="00567F50">
        <w:rPr>
          <w:rFonts w:ascii="仿宋" w:eastAsia="仿宋" w:hAnsi="仿宋" w:hint="eastAsia"/>
          <w:b/>
          <w:sz w:val="24"/>
          <w:szCs w:val="24"/>
        </w:rPr>
        <w:t>表3:行业表现</w:t>
      </w:r>
      <w:bookmarkEnd w:id="0"/>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非</w:t>
            </w:r>
            <w:proofErr w:type="gramStart"/>
            <w:r w:rsidRPr="00C62D3F">
              <w:rPr>
                <w:rFonts w:ascii="仿宋" w:eastAsia="仿宋" w:hAnsi="仿宋" w:cs="Arial"/>
              </w:rPr>
              <w:t>银金融</w:t>
            </w:r>
            <w:proofErr w:type="gramEnd"/>
          </w:p>
        </w:tc>
        <w:tc>
          <w:tcPr>
            <w:tcW w:w="1134" w:type="dxa"/>
          </w:tcPr>
          <w:p w:rsidR="00C62D3F" w:rsidRPr="00C62D3F" w:rsidRDefault="00C62D3F" w:rsidP="00C62D3F">
            <w:pPr>
              <w:jc w:val="center"/>
              <w:rPr>
                <w:rFonts w:ascii="仿宋" w:eastAsia="仿宋" w:hAnsi="仿宋" w:cs="Arial"/>
              </w:rPr>
            </w:pPr>
            <w:r w:rsidRPr="00C62D3F">
              <w:rPr>
                <w:rFonts w:ascii="仿宋" w:eastAsia="仿宋" w:hAnsi="仿宋" w:cs="Arial"/>
              </w:rPr>
              <w:t>24.49%</w:t>
            </w:r>
          </w:p>
        </w:tc>
        <w:tc>
          <w:tcPr>
            <w:tcW w:w="1134" w:type="dxa"/>
            <w:tcBorders>
              <w:right w:val="single" w:sz="4" w:space="0" w:color="D9D9D9"/>
            </w:tcBorders>
          </w:tcPr>
          <w:p w:rsidR="00C62D3F" w:rsidRPr="00C62D3F" w:rsidRDefault="00C62D3F" w:rsidP="00C62D3F">
            <w:pPr>
              <w:jc w:val="center"/>
              <w:rPr>
                <w:rFonts w:ascii="仿宋" w:eastAsia="仿宋" w:hAnsi="仿宋" w:cs="Arial"/>
              </w:rPr>
            </w:pPr>
            <w:r w:rsidRPr="00C62D3F">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汽车</w:t>
            </w:r>
          </w:p>
        </w:tc>
        <w:tc>
          <w:tcPr>
            <w:tcW w:w="1134" w:type="dxa"/>
          </w:tcPr>
          <w:p w:rsidR="00C62D3F" w:rsidRPr="00C62D3F" w:rsidRDefault="00C62D3F" w:rsidP="00C62D3F">
            <w:pPr>
              <w:jc w:val="center"/>
              <w:rPr>
                <w:rFonts w:ascii="仿宋" w:eastAsia="仿宋" w:hAnsi="仿宋" w:cs="Arial"/>
              </w:rPr>
            </w:pPr>
            <w:r w:rsidRPr="00C62D3F">
              <w:rPr>
                <w:rFonts w:ascii="仿宋" w:eastAsia="仿宋" w:hAnsi="仿宋" w:cs="Arial"/>
              </w:rPr>
              <w:t>3.09%</w:t>
            </w:r>
          </w:p>
        </w:tc>
        <w:tc>
          <w:tcPr>
            <w:tcW w:w="1275" w:type="dxa"/>
            <w:tcBorders>
              <w:right w:val="single" w:sz="4" w:space="0" w:color="D9D9D9"/>
            </w:tcBorders>
          </w:tcPr>
          <w:p w:rsidR="00C62D3F" w:rsidRPr="00C62D3F" w:rsidRDefault="00C62D3F" w:rsidP="00C62D3F">
            <w:pPr>
              <w:jc w:val="center"/>
              <w:rPr>
                <w:rFonts w:ascii="仿宋" w:eastAsia="仿宋" w:hAnsi="仿宋" w:cs="Arial"/>
              </w:rPr>
            </w:pPr>
            <w:r w:rsidRPr="00C62D3F">
              <w:rPr>
                <w:rFonts w:ascii="仿宋" w:eastAsia="仿宋" w:hAnsi="仿宋" w:cs="Arial"/>
              </w:rPr>
              <w:t>10.00%</w:t>
            </w:r>
          </w:p>
        </w:tc>
      </w:tr>
      <w:tr w:rsidR="00C62D3F" w:rsidRPr="00C62D3F" w:rsidTr="00383885">
        <w:trPr>
          <w:trHeight w:val="185"/>
        </w:trPr>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化工</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14.39%</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6.66%</w:t>
            </w:r>
          </w:p>
        </w:tc>
        <w:tc>
          <w:tcPr>
            <w:tcW w:w="518" w:type="dxa"/>
            <w:vMerge w:val="restart"/>
            <w:tcBorders>
              <w:top w:val="nil"/>
              <w:left w:val="single" w:sz="4" w:space="0" w:color="D9D9D9"/>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交通运输</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2.90%</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12.69%</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银行</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13.87%</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6.01%</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商业贸易</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1.36%</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16.50%</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休闲服务</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13.47%</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24.05%</w:t>
            </w:r>
          </w:p>
        </w:tc>
        <w:tc>
          <w:tcPr>
            <w:tcW w:w="518" w:type="dxa"/>
            <w:tcBorders>
              <w:top w:val="nil"/>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综合</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1.11%</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22.72%</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国防军工</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12.25%</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17.80%</w:t>
            </w:r>
          </w:p>
        </w:tc>
        <w:tc>
          <w:tcPr>
            <w:tcW w:w="518" w:type="dxa"/>
            <w:tcBorders>
              <w:top w:val="nil"/>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医药生物</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1.01%</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13.95%</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采掘</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10.94%</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17.39%</w:t>
            </w:r>
          </w:p>
        </w:tc>
        <w:tc>
          <w:tcPr>
            <w:tcW w:w="518" w:type="dxa"/>
            <w:vMerge w:val="restart"/>
            <w:tcBorders>
              <w:top w:val="nil"/>
              <w:left w:val="single" w:sz="4" w:space="0" w:color="D9D9D9"/>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电气设备</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1.01%</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13.07%</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有色金属</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6.21%</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21.28%</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机械设备</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0.91%</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18.76%</w:t>
            </w:r>
          </w:p>
        </w:tc>
      </w:tr>
      <w:tr w:rsidR="00C62D3F" w:rsidRPr="00C62D3F" w:rsidTr="0006381E">
        <w:trPr>
          <w:trHeight w:val="284"/>
        </w:trPr>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钢铁</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5.84%</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14.55%</w:t>
            </w:r>
          </w:p>
        </w:tc>
        <w:tc>
          <w:tcPr>
            <w:tcW w:w="518" w:type="dxa"/>
            <w:vMerge w:val="restart"/>
            <w:tcBorders>
              <w:top w:val="nil"/>
              <w:left w:val="single" w:sz="4" w:space="0" w:color="D9D9D9"/>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传媒</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0.87%</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18.82%</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家用电器</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5.60%</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17.00%</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建筑装饰</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0.85%</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15.91%</w:t>
            </w:r>
          </w:p>
        </w:tc>
      </w:tr>
      <w:tr w:rsidR="00C62D3F" w:rsidRPr="00C62D3F" w:rsidTr="0006381E">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食品饮料</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5.55%</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14.94%</w:t>
            </w:r>
          </w:p>
        </w:tc>
        <w:tc>
          <w:tcPr>
            <w:tcW w:w="518" w:type="dxa"/>
            <w:vMerge w:val="restart"/>
            <w:tcBorders>
              <w:top w:val="nil"/>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纺织服装</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0.83%</w:t>
            </w:r>
          </w:p>
        </w:tc>
        <w:tc>
          <w:tcPr>
            <w:tcW w:w="1275"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15.57%</w:t>
            </w:r>
          </w:p>
        </w:tc>
      </w:tr>
      <w:tr w:rsidR="00C62D3F" w:rsidRPr="00C62D3F" w:rsidTr="004B7E6A">
        <w:trPr>
          <w:trHeight w:val="251"/>
        </w:trPr>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公用事业</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4.21%</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13.41%</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bottom w:val="single" w:sz="4" w:space="0" w:color="000000"/>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建筑材料</w:t>
            </w:r>
          </w:p>
        </w:tc>
        <w:tc>
          <w:tcPr>
            <w:tcW w:w="1134" w:type="dxa"/>
            <w:tcBorders>
              <w:bottom w:val="single" w:sz="4" w:space="0" w:color="000000"/>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0.63%</w:t>
            </w:r>
          </w:p>
        </w:tc>
        <w:tc>
          <w:tcPr>
            <w:tcW w:w="1275" w:type="dxa"/>
            <w:tcBorders>
              <w:bottom w:val="single" w:sz="4" w:space="0" w:color="000000"/>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16.78%</w:t>
            </w:r>
          </w:p>
        </w:tc>
      </w:tr>
      <w:tr w:rsidR="00C62D3F" w:rsidRPr="00C62D3F" w:rsidTr="004B7E6A">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通信</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3.65%</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16.06%</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bottom w:val="single" w:sz="4" w:space="0" w:color="000000"/>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农林牧渔</w:t>
            </w:r>
          </w:p>
        </w:tc>
        <w:tc>
          <w:tcPr>
            <w:tcW w:w="1134" w:type="dxa"/>
            <w:tcBorders>
              <w:bottom w:val="single" w:sz="4" w:space="0" w:color="000000"/>
            </w:tcBorders>
          </w:tcPr>
          <w:p w:rsidR="00C62D3F" w:rsidRPr="00C62D3F" w:rsidRDefault="00C62D3F" w:rsidP="00C62D3F">
            <w:pPr>
              <w:widowControl/>
              <w:jc w:val="center"/>
              <w:rPr>
                <w:rFonts w:ascii="仿宋" w:eastAsia="仿宋" w:hAnsi="仿宋" w:cs="Arial"/>
              </w:rPr>
            </w:pPr>
            <w:r>
              <w:rPr>
                <w:rFonts w:ascii="仿宋" w:eastAsia="仿宋" w:hAnsi="仿宋" w:cs="Arial"/>
              </w:rPr>
              <w:t>(</w:t>
            </w:r>
            <w:r w:rsidRPr="00C62D3F">
              <w:rPr>
                <w:rFonts w:ascii="仿宋" w:eastAsia="仿宋" w:hAnsi="仿宋" w:cs="Arial"/>
              </w:rPr>
              <w:t>0.04%)</w:t>
            </w:r>
          </w:p>
        </w:tc>
        <w:tc>
          <w:tcPr>
            <w:tcW w:w="1275" w:type="dxa"/>
            <w:tcBorders>
              <w:bottom w:val="single" w:sz="4" w:space="0" w:color="000000"/>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21.01%</w:t>
            </w:r>
          </w:p>
        </w:tc>
      </w:tr>
      <w:tr w:rsidR="00C62D3F" w:rsidRPr="00C62D3F" w:rsidTr="004B7E6A">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计算机</w:t>
            </w:r>
          </w:p>
        </w:tc>
        <w:tc>
          <w:tcPr>
            <w:tcW w:w="1134" w:type="dxa"/>
          </w:tcPr>
          <w:p w:rsidR="00C62D3F" w:rsidRPr="00C62D3F" w:rsidRDefault="00C62D3F" w:rsidP="00C62D3F">
            <w:pPr>
              <w:widowControl/>
              <w:jc w:val="center"/>
              <w:rPr>
                <w:rFonts w:ascii="仿宋" w:eastAsia="仿宋" w:hAnsi="仿宋" w:cs="Arial"/>
              </w:rPr>
            </w:pPr>
            <w:r w:rsidRPr="00C62D3F">
              <w:rPr>
                <w:rFonts w:ascii="仿宋" w:eastAsia="仿宋" w:hAnsi="仿宋" w:cs="Arial"/>
              </w:rPr>
              <w:t>3.19%</w:t>
            </w:r>
          </w:p>
        </w:tc>
        <w:tc>
          <w:tcPr>
            <w:tcW w:w="1134" w:type="dxa"/>
            <w:tcBorders>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18.68%</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电子</w:t>
            </w:r>
          </w:p>
        </w:tc>
        <w:tc>
          <w:tcPr>
            <w:tcW w:w="1134" w:type="dxa"/>
            <w:tcBorders>
              <w:top w:val="single" w:sz="4" w:space="0" w:color="000000"/>
              <w:bottom w:val="single" w:sz="4" w:space="0" w:color="000000"/>
            </w:tcBorders>
          </w:tcPr>
          <w:p w:rsidR="00C62D3F" w:rsidRPr="00C62D3F" w:rsidRDefault="00C62D3F" w:rsidP="00C62D3F">
            <w:pPr>
              <w:widowControl/>
              <w:jc w:val="center"/>
              <w:rPr>
                <w:rFonts w:ascii="仿宋" w:eastAsia="仿宋" w:hAnsi="仿宋" w:cs="Arial"/>
              </w:rPr>
            </w:pPr>
            <w:r>
              <w:rPr>
                <w:rFonts w:ascii="仿宋" w:eastAsia="仿宋" w:hAnsi="仿宋" w:cs="Arial"/>
              </w:rPr>
              <w:t>(</w:t>
            </w:r>
            <w:r w:rsidRPr="00C62D3F">
              <w:rPr>
                <w:rFonts w:ascii="仿宋" w:eastAsia="仿宋" w:hAnsi="仿宋" w:cs="Arial"/>
              </w:rPr>
              <w:t>0.89%)</w:t>
            </w:r>
          </w:p>
        </w:tc>
        <w:tc>
          <w:tcPr>
            <w:tcW w:w="1275" w:type="dxa"/>
            <w:tcBorders>
              <w:top w:val="single" w:sz="4" w:space="0" w:color="000000"/>
              <w:bottom w:val="single" w:sz="4" w:space="0" w:color="000000"/>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17.81%</w:t>
            </w:r>
          </w:p>
        </w:tc>
      </w:tr>
      <w:tr w:rsidR="00C62D3F" w:rsidRPr="00C62D3F" w:rsidTr="005F67E3">
        <w:tc>
          <w:tcPr>
            <w:tcW w:w="1984" w:type="dxa"/>
            <w:tcBorders>
              <w:lef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房地产</w:t>
            </w:r>
          </w:p>
        </w:tc>
        <w:tc>
          <w:tcPr>
            <w:tcW w:w="1134" w:type="dxa"/>
          </w:tcPr>
          <w:p w:rsidR="00C62D3F" w:rsidRPr="00C62D3F" w:rsidRDefault="00C62D3F" w:rsidP="00C62D3F">
            <w:pPr>
              <w:jc w:val="center"/>
              <w:rPr>
                <w:rFonts w:ascii="仿宋" w:eastAsia="仿宋" w:hAnsi="仿宋" w:cs="Arial"/>
              </w:rPr>
            </w:pPr>
            <w:r w:rsidRPr="00C62D3F">
              <w:rPr>
                <w:rFonts w:ascii="仿宋" w:eastAsia="仿宋" w:hAnsi="仿宋" w:cs="Arial"/>
              </w:rPr>
              <w:t>3.17%</w:t>
            </w:r>
          </w:p>
        </w:tc>
        <w:tc>
          <w:tcPr>
            <w:tcW w:w="1134" w:type="dxa"/>
            <w:tcBorders>
              <w:right w:val="single" w:sz="4" w:space="0" w:color="D9D9D9"/>
            </w:tcBorders>
          </w:tcPr>
          <w:p w:rsidR="00C62D3F" w:rsidRPr="00C62D3F" w:rsidRDefault="00C62D3F" w:rsidP="00C62D3F">
            <w:pPr>
              <w:jc w:val="center"/>
              <w:rPr>
                <w:rFonts w:ascii="仿宋" w:eastAsia="仿宋" w:hAnsi="仿宋" w:cs="Arial"/>
              </w:rPr>
            </w:pPr>
            <w:r w:rsidRPr="00C62D3F">
              <w:rPr>
                <w:rFonts w:ascii="仿宋" w:eastAsia="仿宋" w:hAnsi="仿宋" w:cs="Arial"/>
              </w:rPr>
              <w:t>16.75%</w:t>
            </w:r>
          </w:p>
        </w:tc>
        <w:tc>
          <w:tcPr>
            <w:tcW w:w="518" w:type="dxa"/>
            <w:vMerge/>
            <w:tcBorders>
              <w:left w:val="single" w:sz="4" w:space="0" w:color="D9D9D9"/>
              <w:bottom w:val="nil"/>
              <w:right w:val="single" w:sz="4" w:space="0" w:color="D9D9D9"/>
            </w:tcBorders>
            <w:vAlign w:val="center"/>
          </w:tcPr>
          <w:p w:rsidR="00C62D3F" w:rsidRPr="00567F50" w:rsidRDefault="00C62D3F" w:rsidP="00C62D3F">
            <w:pPr>
              <w:jc w:val="center"/>
              <w:rPr>
                <w:rFonts w:ascii="仿宋" w:eastAsia="仿宋" w:hAnsi="仿宋" w:cs="Arial"/>
              </w:rPr>
            </w:pPr>
          </w:p>
        </w:tc>
        <w:tc>
          <w:tcPr>
            <w:tcW w:w="1994" w:type="dxa"/>
            <w:tcBorders>
              <w:left w:val="single" w:sz="4" w:space="0" w:color="D9D9D9"/>
              <w:bottom w:val="single" w:sz="4" w:space="0" w:color="000000"/>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轻工制造</w:t>
            </w:r>
          </w:p>
        </w:tc>
        <w:tc>
          <w:tcPr>
            <w:tcW w:w="1134" w:type="dxa"/>
            <w:tcBorders>
              <w:bottom w:val="single" w:sz="4" w:space="0" w:color="000000"/>
            </w:tcBorders>
          </w:tcPr>
          <w:p w:rsidR="00C62D3F" w:rsidRPr="00C62D3F" w:rsidRDefault="00C62D3F" w:rsidP="00C62D3F">
            <w:pPr>
              <w:widowControl/>
              <w:jc w:val="center"/>
              <w:rPr>
                <w:rFonts w:ascii="仿宋" w:eastAsia="仿宋" w:hAnsi="仿宋" w:cs="Arial"/>
              </w:rPr>
            </w:pPr>
            <w:r>
              <w:rPr>
                <w:rFonts w:ascii="仿宋" w:eastAsia="仿宋" w:hAnsi="仿宋" w:cs="Arial"/>
              </w:rPr>
              <w:t>(</w:t>
            </w:r>
            <w:r w:rsidRPr="00C62D3F">
              <w:rPr>
                <w:rFonts w:ascii="仿宋" w:eastAsia="仿宋" w:hAnsi="仿宋" w:cs="Arial"/>
              </w:rPr>
              <w:t>1.34%)</w:t>
            </w:r>
          </w:p>
        </w:tc>
        <w:tc>
          <w:tcPr>
            <w:tcW w:w="1275" w:type="dxa"/>
            <w:tcBorders>
              <w:bottom w:val="single" w:sz="4" w:space="0" w:color="000000"/>
              <w:right w:val="single" w:sz="4" w:space="0" w:color="D9D9D9"/>
            </w:tcBorders>
          </w:tcPr>
          <w:p w:rsidR="00C62D3F" w:rsidRPr="00C62D3F" w:rsidRDefault="00C62D3F" w:rsidP="00C62D3F">
            <w:pPr>
              <w:widowControl/>
              <w:jc w:val="center"/>
              <w:rPr>
                <w:rFonts w:ascii="仿宋" w:eastAsia="仿宋" w:hAnsi="仿宋" w:cs="Arial"/>
              </w:rPr>
            </w:pPr>
            <w:r w:rsidRPr="00C62D3F">
              <w:rPr>
                <w:rFonts w:ascii="仿宋" w:eastAsia="仿宋" w:hAnsi="仿宋" w:cs="Arial"/>
              </w:rPr>
              <w:t>17.82%</w:t>
            </w:r>
          </w:p>
        </w:tc>
      </w:tr>
    </w:tbl>
    <w:p w:rsidR="00897AB9" w:rsidRPr="00567F50" w:rsidRDefault="00897AB9" w:rsidP="00897AB9">
      <w:pPr>
        <w:widowControl/>
        <w:jc w:val="left"/>
        <w:rPr>
          <w:rFonts w:ascii="仿宋" w:eastAsia="仿宋" w:hAnsi="仿宋"/>
          <w:b/>
          <w:color w:val="808080"/>
          <w:sz w:val="24"/>
          <w:szCs w:val="24"/>
        </w:rPr>
      </w:pPr>
    </w:p>
    <w:p w:rsidR="005958B7" w:rsidRDefault="00B7035E" w:rsidP="00F804BC">
      <w:pPr>
        <w:widowControl/>
        <w:ind w:leftChars="1100" w:left="2310"/>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D07EE2" w:rsidP="00D07EE2">
      <w:pPr>
        <w:widowControl/>
        <w:ind w:leftChars="200" w:left="420" w:firstLineChars="882" w:firstLine="1852"/>
        <w:jc w:val="left"/>
        <w:rPr>
          <w:rFonts w:ascii="仿宋" w:eastAsia="仿宋" w:hAnsi="仿宋"/>
          <w:b/>
          <w:sz w:val="24"/>
          <w:szCs w:val="24"/>
        </w:rPr>
      </w:pPr>
      <w:r w:rsidRPr="00D07EE2">
        <w:drawing>
          <wp:inline distT="0" distB="0" distL="0" distR="0" wp14:anchorId="3AC9DD3E" wp14:editId="617684E2">
            <wp:extent cx="4158532" cy="276076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8532" cy="2760765"/>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C62D3F">
        <w:rPr>
          <w:rFonts w:ascii="仿宋" w:eastAsia="仿宋" w:hAnsi="仿宋" w:hint="eastAsia"/>
          <w:color w:val="7F7F7F"/>
          <w:sz w:val="18"/>
          <w:szCs w:val="18"/>
        </w:rPr>
        <w:t>201</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C62D3F">
        <w:rPr>
          <w:rFonts w:ascii="仿宋" w:eastAsia="仿宋" w:hAnsi="仿宋"/>
          <w:color w:val="7F7F7F"/>
          <w:sz w:val="18"/>
          <w:szCs w:val="18"/>
        </w:rPr>
        <w:t>205</w:t>
      </w: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lastRenderedPageBreak/>
        <w:t>宏观经济</w:t>
      </w:r>
      <w:r w:rsidR="00A36144" w:rsidRPr="00C052C3">
        <w:rPr>
          <w:rFonts w:ascii="仿宋" w:eastAsia="仿宋" w:hAnsi="仿宋" w:hint="eastAsia"/>
          <w:b/>
          <w:color w:val="082F6B"/>
          <w:sz w:val="44"/>
          <w:szCs w:val="44"/>
        </w:rPr>
        <w:t>及债券市场</w:t>
      </w:r>
      <w:r w:rsidR="00F75495" w:rsidRPr="00C052C3">
        <w:rPr>
          <w:rFonts w:ascii="仿宋" w:eastAsia="仿宋" w:hAnsi="仿宋" w:hint="eastAsia"/>
          <w:b/>
          <w:color w:val="082F6B"/>
          <w:sz w:val="36"/>
          <w:szCs w:val="36"/>
        </w:rPr>
        <w:t>201</w:t>
      </w:r>
      <w:r w:rsidR="003A2050" w:rsidRPr="00C052C3">
        <w:rPr>
          <w:rFonts w:ascii="仿宋" w:eastAsia="仿宋" w:hAnsi="仿宋" w:hint="eastAsia"/>
          <w:b/>
          <w:color w:val="082F6B"/>
          <w:sz w:val="36"/>
          <w:szCs w:val="36"/>
        </w:rPr>
        <w:t>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201</w:t>
      </w:r>
      <w:r w:rsidR="001769D6" w:rsidRPr="00C052C3">
        <w:rPr>
          <w:rFonts w:ascii="仿宋" w:eastAsia="仿宋" w:hAnsi="仿宋" w:hint="eastAsia"/>
          <w:b/>
          <w:color w:val="082F6B"/>
          <w:sz w:val="36"/>
          <w:szCs w:val="36"/>
        </w:rPr>
        <w:t>-2014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205</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6C6A10">
        <w:rPr>
          <w:rFonts w:ascii="仿宋" w:eastAsia="仿宋" w:hAnsi="仿宋" w:hint="eastAsia"/>
          <w:b/>
          <w:color w:val="0088CC"/>
          <w:sz w:val="24"/>
          <w:szCs w:val="24"/>
        </w:rPr>
        <w:t>研究</w:t>
      </w:r>
      <w:r w:rsidR="00310932" w:rsidRPr="00567F50">
        <w:rPr>
          <w:rFonts w:ascii="仿宋" w:eastAsia="仿宋" w:hAnsi="仿宋" w:hint="eastAsia"/>
          <w:b/>
          <w:color w:val="0088CC"/>
          <w:sz w:val="24"/>
          <w:szCs w:val="24"/>
        </w:rPr>
        <w:t>部</w:t>
      </w:r>
    </w:p>
    <w:p w:rsidR="00D17564" w:rsidRPr="006C6A10"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6C6A10">
        <w:rPr>
          <w:rFonts w:ascii="仿宋" w:eastAsia="仿宋" w:hAnsi="仿宋" w:hint="eastAsia"/>
          <w:b/>
          <w:sz w:val="24"/>
          <w:szCs w:val="24"/>
        </w:rPr>
        <w:t>利率</w:t>
      </w:r>
      <w:r w:rsidR="00D17564" w:rsidRPr="00D17564">
        <w:rPr>
          <w:rFonts w:ascii="仿宋" w:eastAsia="仿宋" w:hAnsi="仿宋" w:hint="eastAsia"/>
          <w:b/>
          <w:sz w:val="24"/>
          <w:szCs w:val="24"/>
        </w:rPr>
        <w:t>：</w:t>
      </w:r>
      <w:r w:rsidR="006C6A10">
        <w:rPr>
          <w:rFonts w:ascii="仿宋" w:eastAsia="仿宋" w:hAnsi="仿宋" w:hint="eastAsia"/>
          <w:sz w:val="24"/>
          <w:szCs w:val="24"/>
        </w:rPr>
        <w:t>央行宣布降息至今已经两周，期间实体经济波澜不惊，股市大幅暴涨，利率先降后升，</w:t>
      </w:r>
      <w:r w:rsidR="006C6A10" w:rsidRPr="006C6A10">
        <w:rPr>
          <w:rFonts w:ascii="仿宋" w:eastAsia="仿宋" w:hAnsi="仿宋" w:hint="eastAsia"/>
          <w:sz w:val="24"/>
          <w:szCs w:val="24"/>
        </w:rPr>
        <w:t>上周10年期国债利率大幅飙升30bp。</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6C6A10">
        <w:rPr>
          <w:rFonts w:ascii="仿宋" w:eastAsia="仿宋" w:hAnsi="仿宋" w:hint="eastAsia"/>
          <w:b/>
          <w:sz w:val="24"/>
          <w:szCs w:val="24"/>
        </w:rPr>
        <w:t>通胀</w:t>
      </w:r>
      <w:r w:rsidRPr="00D17564">
        <w:rPr>
          <w:rFonts w:ascii="仿宋" w:eastAsia="仿宋" w:hAnsi="仿宋" w:hint="eastAsia"/>
          <w:b/>
          <w:sz w:val="24"/>
          <w:szCs w:val="24"/>
        </w:rPr>
        <w:t>：</w:t>
      </w:r>
      <w:r w:rsidR="006C6A10" w:rsidRPr="006C6A10">
        <w:rPr>
          <w:rFonts w:ascii="仿宋" w:eastAsia="仿宋" w:hAnsi="仿宋" w:hint="eastAsia"/>
          <w:sz w:val="24"/>
          <w:szCs w:val="24"/>
        </w:rPr>
        <w:t>11月制造业PMI 再创新低，而发电耗煤、粗钢产量增速依然为负，仅下游地产销量增速转正，但传导至中上游仍需时日。</w:t>
      </w:r>
      <w:r w:rsidR="00BE2AFD" w:rsidRPr="00BE2AFD">
        <w:rPr>
          <w:rFonts w:ascii="仿宋" w:eastAsia="仿宋" w:hAnsi="仿宋" w:hint="eastAsia"/>
          <w:sz w:val="24"/>
          <w:szCs w:val="24"/>
        </w:rPr>
        <w:t>而由于油价、猪价的持续下跌，预计11月CPI、PPI</w:t>
      </w:r>
      <w:r w:rsidR="008001D1">
        <w:rPr>
          <w:rFonts w:ascii="仿宋" w:eastAsia="仿宋" w:hAnsi="仿宋" w:hint="eastAsia"/>
          <w:sz w:val="24"/>
          <w:szCs w:val="24"/>
        </w:rPr>
        <w:t>或将</w:t>
      </w:r>
      <w:r w:rsidR="00BE2AFD" w:rsidRPr="00BE2AFD">
        <w:rPr>
          <w:rFonts w:ascii="仿宋" w:eastAsia="仿宋" w:hAnsi="仿宋" w:hint="eastAsia"/>
          <w:sz w:val="24"/>
          <w:szCs w:val="24"/>
        </w:rPr>
        <w:t>分别</w:t>
      </w:r>
      <w:r w:rsidR="00BE2AFD">
        <w:rPr>
          <w:rFonts w:ascii="仿宋" w:eastAsia="仿宋" w:hAnsi="仿宋" w:hint="eastAsia"/>
          <w:sz w:val="24"/>
          <w:szCs w:val="24"/>
        </w:rPr>
        <w:t>下降</w:t>
      </w:r>
      <w:r w:rsidR="00BE2AFD" w:rsidRPr="00BE2AFD">
        <w:rPr>
          <w:rFonts w:ascii="仿宋" w:eastAsia="仿宋" w:hAnsi="仿宋" w:hint="eastAsia"/>
          <w:sz w:val="24"/>
          <w:szCs w:val="24"/>
        </w:rPr>
        <w:t>，通</w:t>
      </w:r>
      <w:proofErr w:type="gramStart"/>
      <w:r w:rsidR="00BE2AFD" w:rsidRPr="00BE2AFD">
        <w:rPr>
          <w:rFonts w:ascii="仿宋" w:eastAsia="仿宋" w:hAnsi="仿宋" w:hint="eastAsia"/>
          <w:sz w:val="24"/>
          <w:szCs w:val="24"/>
        </w:rPr>
        <w:t>缩风险</w:t>
      </w:r>
      <w:proofErr w:type="gramEnd"/>
      <w:r w:rsidR="00BE2AFD" w:rsidRPr="00BE2AFD">
        <w:rPr>
          <w:rFonts w:ascii="仿宋" w:eastAsia="仿宋" w:hAnsi="仿宋" w:hint="eastAsia"/>
          <w:sz w:val="24"/>
          <w:szCs w:val="24"/>
        </w:rPr>
        <w:t>尚未消除。</w:t>
      </w:r>
    </w:p>
    <w:p w:rsidR="00D17564" w:rsidRPr="006C6A10" w:rsidRDefault="00D17564"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00BE2AFD">
        <w:rPr>
          <w:rFonts w:ascii="仿宋" w:eastAsia="仿宋" w:hAnsi="仿宋" w:hint="eastAsia"/>
          <w:b/>
          <w:sz w:val="24"/>
          <w:szCs w:val="24"/>
        </w:rPr>
        <w:t>政策</w:t>
      </w:r>
      <w:r w:rsidRPr="00D17564">
        <w:rPr>
          <w:rFonts w:ascii="仿宋" w:eastAsia="仿宋" w:hAnsi="仿宋" w:hint="eastAsia"/>
          <w:b/>
          <w:sz w:val="24"/>
          <w:szCs w:val="24"/>
        </w:rPr>
        <w:t>：</w:t>
      </w:r>
      <w:r w:rsidR="00BE2AFD" w:rsidRPr="00BE2AFD">
        <w:rPr>
          <w:rFonts w:ascii="仿宋" w:eastAsia="仿宋" w:hAnsi="仿宋" w:hint="eastAsia"/>
          <w:sz w:val="24"/>
          <w:szCs w:val="24"/>
        </w:rPr>
        <w:t>经济数据下行仍有压力，增强放松政策的施展空间。降息后</w:t>
      </w:r>
      <w:proofErr w:type="gramStart"/>
      <w:r w:rsidR="00BE2AFD" w:rsidRPr="00BE2AFD">
        <w:rPr>
          <w:rFonts w:ascii="仿宋" w:eastAsia="仿宋" w:hAnsi="仿宋" w:hint="eastAsia"/>
          <w:sz w:val="24"/>
          <w:szCs w:val="24"/>
        </w:rPr>
        <w:t>市场降准预期</w:t>
      </w:r>
      <w:proofErr w:type="gramEnd"/>
      <w:r w:rsidR="00BE2AFD" w:rsidRPr="00BE2AFD">
        <w:rPr>
          <w:rFonts w:ascii="仿宋" w:eastAsia="仿宋" w:hAnsi="仿宋" w:hint="eastAsia"/>
          <w:sz w:val="24"/>
          <w:szCs w:val="24"/>
        </w:rPr>
        <w:t>强烈，流动性和风险偏好继续偏积极。</w:t>
      </w: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firstRow="1" w:lastRow="0" w:firstColumn="1" w:lastColumn="0" w:noHBand="0" w:noVBand="1"/>
      </w:tblPr>
      <w:tblGrid>
        <w:gridCol w:w="1282"/>
        <w:gridCol w:w="879"/>
        <w:gridCol w:w="437"/>
        <w:gridCol w:w="365"/>
        <w:gridCol w:w="1085"/>
        <w:gridCol w:w="72"/>
        <w:gridCol w:w="731"/>
        <w:gridCol w:w="992"/>
        <w:gridCol w:w="13"/>
        <w:gridCol w:w="979"/>
        <w:gridCol w:w="1029"/>
        <w:gridCol w:w="420"/>
        <w:gridCol w:w="558"/>
        <w:gridCol w:w="992"/>
      </w:tblGrid>
      <w:tr w:rsidR="00A21430" w:rsidRPr="00567F50" w:rsidTr="00C95E44">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085"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57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C95E44">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85"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3"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D07EE2" w:rsidRPr="00567F50" w:rsidTr="003633F5">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0.7425</w:t>
            </w:r>
          </w:p>
        </w:tc>
        <w:tc>
          <w:tcPr>
            <w:tcW w:w="1085" w:type="dxa"/>
            <w:tcBorders>
              <w:top w:val="single" w:sz="2" w:space="0" w:color="001E3E"/>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2.9343</w:t>
            </w:r>
          </w:p>
        </w:tc>
        <w:tc>
          <w:tcPr>
            <w:tcW w:w="803"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-1.82%</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6.12%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13.88%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1.89%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13.15%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248.35%</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1.38</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3.015</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20.29%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37.12%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21.39%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28.65%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244.51%</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3.3885</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3.7935</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-0.80%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8.91%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20.13%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11.68%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48.98%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290.15%</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0.7961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0.8111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-0.34%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8.03%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16.80%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6.92%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17.73%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-19.29%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1.0703</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1.4823</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6.93%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12.16%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15.28%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31.92%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58.12%</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1.0686</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1.4506</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6.83%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11.93%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14.80%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30.21%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53.59%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1.681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1.875</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1.33%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4.54%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9.86%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44.86%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93.25%</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1.3081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1.3871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-1.58%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2.79%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19.69%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12.78%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39.33%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39.66%</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0.904</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1.006</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1.57%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32.36%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53.22%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33.73%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43.49%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0.60%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1.01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1.01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1.41%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30.49%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49.85%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31.85%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40.86%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1.00%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1.137</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1.152</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2.71%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45.03%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50.20%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44.84%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35.68%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15.28%</w:t>
            </w:r>
          </w:p>
        </w:tc>
      </w:tr>
      <w:tr w:rsidR="00D07EE2" w:rsidRPr="00567F50" w:rsidTr="003633F5">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0.913</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0.913</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-2.35%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18.57%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14.41%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14.55%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-8.70%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1.138</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1.249</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0.62%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6.75%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11.35%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12.63%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29.56%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26.45%</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1.376</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1.376</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-0.65%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2.53%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21.99%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21.34%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53.06%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37.60%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1.233</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1.233</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-0.88%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20.53%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40.43%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27.38%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27.64%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23.30%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1.261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1.419</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0.32%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13.59%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23.39%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22.13%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43.69%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45.41%</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07EE2" w:rsidRPr="00567F50" w:rsidRDefault="00D07EE2" w:rsidP="00D07EE2">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1.244</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1.399</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0.32%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13.49%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22.94%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21.56%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41.67%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43.23%</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1.204</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1.204</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-0.82%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19.68%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38.23%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25.81%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25.16%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20.40%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1.452</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1.542</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0.14%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13.62%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D07EE2" w:rsidRPr="00D07EE2" w:rsidRDefault="00D07EE2" w:rsidP="00D07EE2">
            <w:pPr>
              <w:jc w:val="center"/>
              <w:rPr>
                <w:szCs w:val="21"/>
              </w:rPr>
            </w:pPr>
            <w:r w:rsidRPr="00D07EE2">
              <w:rPr>
                <w:szCs w:val="21"/>
              </w:rPr>
              <w:t>32.24%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30.81%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41.15%</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1.224</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1.247</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1.16%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D07EE2" w:rsidRPr="00D07EE2" w:rsidRDefault="00D07EE2" w:rsidP="00D07EE2">
            <w:pPr>
              <w:jc w:val="center"/>
              <w:rPr>
                <w:szCs w:val="21"/>
              </w:rPr>
            </w:pPr>
            <w:r w:rsidRPr="00D07EE2">
              <w:rPr>
                <w:szCs w:val="21"/>
              </w:rPr>
              <w:t>3.82%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2.21%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24.69%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1.111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1.242</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0.73%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9.30%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13.52%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15.21%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26.09%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1.48</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1.48</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2.07%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34.06%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53.85%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42.31%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48.00%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1.352</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1.391</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18.80%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38.38%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19.85%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40.26%</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1.089</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1.121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-0.18%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4.36%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6.86%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12.46%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12.22%</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1.077</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1.108</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6.63%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10.91%</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1.077</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1.122</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4.52%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7.15%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12.66%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12.42%</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1.071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1.113</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4.35%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6.77%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11.95%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11.49%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1.117</w:t>
            </w:r>
          </w:p>
        </w:tc>
        <w:tc>
          <w:tcPr>
            <w:tcW w:w="1085"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1.199</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0.54%</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8.93%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13.33%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16.01%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20.84%</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1.124</w:t>
            </w:r>
          </w:p>
        </w:tc>
        <w:tc>
          <w:tcPr>
            <w:tcW w:w="1085"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1.124</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-1.49%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2.46%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20.34%</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11.95%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12.40%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1.194</w:t>
            </w:r>
          </w:p>
        </w:tc>
        <w:tc>
          <w:tcPr>
            <w:tcW w:w="1085"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1.194</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0.17%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9.04%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13.18%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17.98%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19.40%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1.186</w:t>
            </w:r>
          </w:p>
        </w:tc>
        <w:tc>
          <w:tcPr>
            <w:tcW w:w="1085"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1.186</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0.08%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8.81%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12.84%</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17.31%</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18.60%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1.234</w:t>
            </w:r>
          </w:p>
        </w:tc>
        <w:tc>
          <w:tcPr>
            <w:tcW w:w="1085"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1.234</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-1.52%</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9.01%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22.79%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21.58%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23.40%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1.104</w:t>
            </w:r>
          </w:p>
        </w:tc>
        <w:tc>
          <w:tcPr>
            <w:tcW w:w="1085"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1.149</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0.36%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8.19%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11.69%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15.26%</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07EE2" w:rsidRPr="00567F50" w:rsidRDefault="00D07EE2" w:rsidP="00D07EE2">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D07EE2" w:rsidRPr="00D07EE2" w:rsidRDefault="00D07EE2" w:rsidP="00D07EE2">
            <w:pPr>
              <w:jc w:val="center"/>
              <w:rPr>
                <w:szCs w:val="21"/>
              </w:rPr>
            </w:pPr>
            <w:r w:rsidRPr="00D07EE2">
              <w:rPr>
                <w:szCs w:val="21"/>
              </w:rPr>
              <w:t>1.064</w:t>
            </w:r>
          </w:p>
        </w:tc>
        <w:tc>
          <w:tcPr>
            <w:tcW w:w="1085"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1.104</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-0.28%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5.42%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8.95%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D07EE2" w:rsidRPr="00D07EE2" w:rsidRDefault="00D07EE2" w:rsidP="00D07EE2">
            <w:pPr>
              <w:jc w:val="center"/>
              <w:rPr>
                <w:szCs w:val="21"/>
              </w:rPr>
            </w:pPr>
            <w:r w:rsidRPr="00D07EE2">
              <w:rPr>
                <w:szCs w:val="21"/>
              </w:rPr>
              <w:t>10.59%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1.062</w:t>
            </w:r>
          </w:p>
        </w:tc>
        <w:tc>
          <w:tcPr>
            <w:tcW w:w="1085"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1.102</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-0.28%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5.33%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8.65%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10.39%</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D07EE2" w:rsidRPr="00567F50" w:rsidRDefault="00D07EE2" w:rsidP="00D07EE2">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D07EE2" w:rsidRPr="00D07EE2" w:rsidRDefault="00D07EE2" w:rsidP="00D07EE2">
            <w:pPr>
              <w:jc w:val="center"/>
              <w:rPr>
                <w:szCs w:val="21"/>
              </w:rPr>
            </w:pPr>
            <w:r w:rsidRPr="00D07EE2">
              <w:rPr>
                <w:szCs w:val="21"/>
              </w:rPr>
              <w:t>1.062</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1.062</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-2.30%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2.21%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6.20%</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6.20%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07EE2" w:rsidRPr="00567F50" w:rsidRDefault="00D07EE2" w:rsidP="00D07EE2">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D07EE2" w:rsidRPr="00D07EE2" w:rsidRDefault="00D07EE2" w:rsidP="00D07EE2">
            <w:pPr>
              <w:jc w:val="center"/>
              <w:rPr>
                <w:szCs w:val="21"/>
              </w:rPr>
            </w:pPr>
            <w:r w:rsidRPr="00D07EE2">
              <w:rPr>
                <w:szCs w:val="21"/>
              </w:rPr>
              <w:t>1.157</w:t>
            </w:r>
          </w:p>
        </w:tc>
        <w:tc>
          <w:tcPr>
            <w:tcW w:w="1085"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1.157</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0.26%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11.25%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15.70%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D07EE2" w:rsidRPr="00D07EE2" w:rsidRDefault="00D07EE2" w:rsidP="00D07EE2">
            <w:pPr>
              <w:jc w:val="center"/>
              <w:rPr>
                <w:szCs w:val="21"/>
              </w:rPr>
            </w:pPr>
            <w:r w:rsidRPr="00D07EE2">
              <w:rPr>
                <w:szCs w:val="21"/>
              </w:rPr>
              <w:t>15.70%</w:t>
            </w:r>
          </w:p>
        </w:tc>
      </w:tr>
      <w:tr w:rsidR="00D07EE2" w:rsidRPr="00567F50" w:rsidTr="003633F5">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D07EE2" w:rsidRPr="00567F50" w:rsidRDefault="00D07EE2" w:rsidP="00D07EE2">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D07EE2" w:rsidRPr="00D07EE2" w:rsidRDefault="00D07EE2" w:rsidP="00D07EE2">
            <w:pPr>
              <w:jc w:val="center"/>
              <w:rPr>
                <w:szCs w:val="21"/>
              </w:rPr>
            </w:pPr>
            <w:r w:rsidRPr="00D07EE2">
              <w:rPr>
                <w:szCs w:val="21"/>
              </w:rPr>
              <w:t>1.041</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1.041</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-0.48%</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3.79%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D07EE2" w:rsidRPr="00D07EE2" w:rsidRDefault="00D07EE2" w:rsidP="00D07EE2">
            <w:pPr>
              <w:jc w:val="center"/>
              <w:rPr>
                <w:szCs w:val="21"/>
              </w:rPr>
            </w:pPr>
            <w:r w:rsidRPr="00D07EE2">
              <w:rPr>
                <w:szCs w:val="21"/>
              </w:rPr>
              <w:t>4.10%</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D07EE2"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D07EE2" w:rsidRPr="00567F50" w:rsidRDefault="00D07EE2" w:rsidP="00D07EE2">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D07EE2" w:rsidRPr="00D07EE2" w:rsidRDefault="00D07EE2" w:rsidP="00D07EE2">
            <w:pPr>
              <w:jc w:val="center"/>
            </w:pPr>
            <w:r w:rsidRPr="00D07EE2">
              <w:rPr>
                <w:rFonts w:hint="eastAsia"/>
              </w:rPr>
              <w:t xml:space="preserve">0.6950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D07EE2" w:rsidRPr="00D07EE2" w:rsidRDefault="00D07EE2" w:rsidP="00D07EE2">
            <w:pPr>
              <w:jc w:val="center"/>
              <w:rPr>
                <w:rFonts w:hint="eastAsia"/>
              </w:rPr>
            </w:pPr>
            <w:r w:rsidRPr="00D07EE2">
              <w:rPr>
                <w:rFonts w:hint="eastAsia"/>
              </w:rPr>
              <w:t>2.585 %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D07EE2" w:rsidRPr="009476C8" w:rsidRDefault="00D07EE2" w:rsidP="00D07EE2">
            <w:pPr>
              <w:jc w:val="center"/>
            </w:pPr>
            <w:r w:rsidRPr="002D0CC4">
              <w:rPr>
                <w:rFonts w:hint="eastAsia"/>
              </w:rPr>
              <w:t>--</w:t>
            </w:r>
          </w:p>
        </w:tc>
      </w:tr>
      <w:tr w:rsidR="00D07EE2"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07EE2" w:rsidRPr="00D07EE2" w:rsidRDefault="00D07EE2" w:rsidP="00D07EE2">
            <w:pPr>
              <w:jc w:val="center"/>
            </w:pPr>
            <w:r w:rsidRPr="00D07EE2">
              <w:rPr>
                <w:rFonts w:hint="eastAsia"/>
              </w:rPr>
              <w:t xml:space="preserve">0.8563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D07EE2" w:rsidRPr="00D07EE2" w:rsidRDefault="00D07EE2" w:rsidP="00D07EE2">
            <w:pPr>
              <w:jc w:val="center"/>
              <w:rPr>
                <w:rFonts w:hint="eastAsia"/>
              </w:rPr>
            </w:pPr>
            <w:r w:rsidRPr="00D07EE2">
              <w:rPr>
                <w:rFonts w:hint="eastAsia"/>
              </w:rPr>
              <w:t>3.184 %</w:t>
            </w:r>
          </w:p>
        </w:tc>
        <w:tc>
          <w:tcPr>
            <w:tcW w:w="2428" w:type="dxa"/>
            <w:gridSpan w:val="3"/>
            <w:tcBorders>
              <w:top w:val="single" w:sz="2" w:space="0" w:color="001E3E"/>
              <w:left w:val="single" w:sz="4" w:space="0" w:color="AA9678"/>
              <w:bottom w:val="single" w:sz="4" w:space="0" w:color="AA9678"/>
            </w:tcBorders>
            <w:vAlign w:val="center"/>
          </w:tcPr>
          <w:p w:rsidR="00D07EE2" w:rsidRPr="009476C8" w:rsidRDefault="00D07EE2" w:rsidP="00D07EE2">
            <w:pPr>
              <w:jc w:val="center"/>
            </w:pPr>
            <w:r w:rsidRPr="002D0CC4">
              <w:rPr>
                <w:rFonts w:hint="eastAsia"/>
              </w:rPr>
              <w:t>--</w:t>
            </w:r>
          </w:p>
        </w:tc>
      </w:tr>
      <w:tr w:rsidR="00D07EE2"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07EE2" w:rsidRPr="00D07EE2" w:rsidRDefault="00D07EE2" w:rsidP="00D07EE2">
            <w:pPr>
              <w:jc w:val="center"/>
            </w:pPr>
            <w:r w:rsidRPr="00D07EE2">
              <w:rPr>
                <w:rFonts w:hint="eastAsia"/>
              </w:rPr>
              <w:t xml:space="preserve">0.9220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D07EE2" w:rsidRPr="00D07EE2" w:rsidRDefault="00D07EE2" w:rsidP="00D07EE2">
            <w:pPr>
              <w:jc w:val="center"/>
              <w:rPr>
                <w:rFonts w:hint="eastAsia"/>
              </w:rPr>
            </w:pPr>
            <w:r w:rsidRPr="00D07EE2">
              <w:rPr>
                <w:rFonts w:hint="eastAsia"/>
              </w:rPr>
              <w:t>3.423 %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07EE2" w:rsidRPr="009476C8" w:rsidRDefault="00D07EE2" w:rsidP="00D07EE2">
            <w:pPr>
              <w:jc w:val="center"/>
            </w:pPr>
            <w:r w:rsidRPr="002D0CC4">
              <w:rPr>
                <w:rFonts w:hint="eastAsia"/>
              </w:rPr>
              <w:t>--</w:t>
            </w:r>
          </w:p>
        </w:tc>
      </w:tr>
      <w:tr w:rsidR="00D07EE2"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D07EE2" w:rsidRPr="00D07EE2" w:rsidRDefault="00D07EE2" w:rsidP="00D07EE2">
            <w:pPr>
              <w:jc w:val="center"/>
            </w:pPr>
            <w:r w:rsidRPr="00D07EE2">
              <w:rPr>
                <w:rFonts w:hint="eastAsia"/>
              </w:rPr>
              <w:t xml:space="preserve">1.6538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D07EE2" w:rsidRPr="00D07EE2" w:rsidRDefault="00D07EE2" w:rsidP="00D07EE2">
            <w:pPr>
              <w:jc w:val="center"/>
              <w:rPr>
                <w:rFonts w:hint="eastAsia"/>
              </w:rPr>
            </w:pPr>
            <w:r w:rsidRPr="00D07EE2">
              <w:rPr>
                <w:rFonts w:hint="eastAsia"/>
              </w:rPr>
              <w:t xml:space="preserve">3.266 % </w:t>
            </w:r>
          </w:p>
        </w:tc>
        <w:tc>
          <w:tcPr>
            <w:tcW w:w="2428" w:type="dxa"/>
            <w:gridSpan w:val="3"/>
            <w:tcBorders>
              <w:top w:val="single" w:sz="4" w:space="0" w:color="AA9678"/>
              <w:left w:val="single" w:sz="4" w:space="0" w:color="AA9678"/>
              <w:bottom w:val="single" w:sz="4" w:space="0" w:color="AA9678"/>
            </w:tcBorders>
            <w:vAlign w:val="center"/>
          </w:tcPr>
          <w:p w:rsidR="00D07EE2" w:rsidRPr="00D07EE2" w:rsidRDefault="00D07EE2" w:rsidP="00D07EE2">
            <w:pPr>
              <w:jc w:val="center"/>
              <w:rPr>
                <w:rFonts w:hint="eastAsia"/>
              </w:rPr>
            </w:pPr>
            <w:r w:rsidRPr="00D07EE2">
              <w:rPr>
                <w:rFonts w:hint="eastAsia"/>
              </w:rPr>
              <w:t xml:space="preserve">2.855% </w:t>
            </w:r>
          </w:p>
        </w:tc>
      </w:tr>
      <w:tr w:rsidR="00D07EE2"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07EE2" w:rsidRPr="00D07EE2" w:rsidRDefault="00D07EE2" w:rsidP="00D07EE2">
            <w:pPr>
              <w:jc w:val="center"/>
            </w:pPr>
            <w:r w:rsidRPr="00D07EE2">
              <w:rPr>
                <w:rFonts w:hint="eastAsia"/>
              </w:rPr>
              <w:t xml:space="preserve">1.7333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D07EE2" w:rsidRPr="00D07EE2" w:rsidRDefault="00D07EE2" w:rsidP="00D07EE2">
            <w:pPr>
              <w:jc w:val="center"/>
              <w:rPr>
                <w:rFonts w:hint="eastAsia"/>
              </w:rPr>
            </w:pPr>
            <w:r w:rsidRPr="00D07EE2">
              <w:rPr>
                <w:rFonts w:hint="eastAsia"/>
              </w:rPr>
              <w:t xml:space="preserve">3.557 %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07EE2" w:rsidRPr="00D07EE2" w:rsidRDefault="00D07EE2" w:rsidP="00D07EE2">
            <w:pPr>
              <w:jc w:val="center"/>
              <w:rPr>
                <w:rFonts w:hint="eastAsia"/>
              </w:rPr>
            </w:pPr>
            <w:r w:rsidRPr="00D07EE2">
              <w:rPr>
                <w:rFonts w:hint="eastAsia"/>
              </w:rPr>
              <w:t xml:space="preserve">3.212% </w:t>
            </w:r>
          </w:p>
        </w:tc>
      </w:tr>
      <w:tr w:rsidR="00D07EE2"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D07EE2" w:rsidRPr="00D07EE2" w:rsidRDefault="00D07EE2" w:rsidP="00D07EE2">
            <w:pPr>
              <w:jc w:val="center"/>
            </w:pPr>
            <w:r w:rsidRPr="00D07EE2">
              <w:rPr>
                <w:rFonts w:hint="eastAsia"/>
              </w:rPr>
              <w:t xml:space="preserve">1.5434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D07EE2" w:rsidRPr="00D07EE2" w:rsidRDefault="00D07EE2" w:rsidP="00D07EE2">
            <w:pPr>
              <w:jc w:val="center"/>
              <w:rPr>
                <w:rFonts w:hint="eastAsia"/>
              </w:rPr>
            </w:pPr>
            <w:r w:rsidRPr="00D07EE2">
              <w:rPr>
                <w:rFonts w:hint="eastAsia"/>
              </w:rPr>
              <w:t xml:space="preserve">4.757 %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D07EE2" w:rsidRPr="00D07EE2" w:rsidRDefault="00D07EE2" w:rsidP="00D07EE2">
            <w:pPr>
              <w:jc w:val="center"/>
              <w:rPr>
                <w:rFonts w:hint="eastAsia"/>
              </w:rPr>
            </w:pPr>
            <w:r w:rsidRPr="00D07EE2">
              <w:rPr>
                <w:rFonts w:hint="eastAsia"/>
              </w:rPr>
              <w:t xml:space="preserve">4.133% </w:t>
            </w:r>
          </w:p>
        </w:tc>
      </w:tr>
      <w:tr w:rsidR="00D07EE2"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D07EE2" w:rsidRPr="00567F50" w:rsidRDefault="00D07EE2" w:rsidP="00D07EE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07EE2" w:rsidRPr="00D07EE2" w:rsidRDefault="00D07EE2" w:rsidP="00D07EE2">
            <w:pPr>
              <w:jc w:val="center"/>
            </w:pPr>
            <w:r w:rsidRPr="00D07EE2">
              <w:rPr>
                <w:rFonts w:hint="eastAsia"/>
              </w:rPr>
              <w:t xml:space="preserve">1.6228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D07EE2" w:rsidRPr="00D07EE2" w:rsidRDefault="00D07EE2" w:rsidP="00D07EE2">
            <w:pPr>
              <w:jc w:val="center"/>
              <w:rPr>
                <w:rFonts w:hint="eastAsia"/>
              </w:rPr>
            </w:pPr>
            <w:r w:rsidRPr="00D07EE2">
              <w:rPr>
                <w:rFonts w:hint="eastAsia"/>
              </w:rPr>
              <w:t xml:space="preserve">5.047 %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07EE2" w:rsidRPr="00D07EE2" w:rsidRDefault="00D07EE2" w:rsidP="00D07EE2">
            <w:pPr>
              <w:jc w:val="center"/>
              <w:rPr>
                <w:rFonts w:hint="eastAsia"/>
              </w:rPr>
            </w:pPr>
            <w:r w:rsidRPr="00D07EE2">
              <w:rPr>
                <w:rFonts w:hint="eastAsia"/>
              </w:rPr>
              <w:t xml:space="preserve">4.151%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D07EE2">
        <w:rPr>
          <w:rFonts w:ascii="仿宋" w:eastAsia="仿宋" w:hAnsi="仿宋" w:hint="eastAsia"/>
          <w:color w:val="808080"/>
          <w:sz w:val="15"/>
          <w:szCs w:val="15"/>
        </w:rPr>
        <w:t>2</w:t>
      </w:r>
      <w:r w:rsidRPr="00A94D2A">
        <w:rPr>
          <w:rFonts w:ascii="仿宋" w:eastAsia="仿宋" w:hAnsi="仿宋" w:hint="eastAsia"/>
          <w:color w:val="808080"/>
          <w:sz w:val="15"/>
          <w:szCs w:val="15"/>
        </w:rPr>
        <w:t>月</w:t>
      </w:r>
      <w:r w:rsidR="00D07EE2">
        <w:rPr>
          <w:rFonts w:ascii="仿宋" w:eastAsia="仿宋" w:hAnsi="仿宋" w:hint="eastAsia"/>
          <w:color w:val="808080"/>
          <w:sz w:val="15"/>
          <w:szCs w:val="15"/>
        </w:rPr>
        <w:t>5</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D07EE2">
        <w:rPr>
          <w:rFonts w:ascii="仿宋" w:eastAsia="仿宋" w:hAnsi="仿宋"/>
          <w:color w:val="808080"/>
          <w:sz w:val="15"/>
          <w:szCs w:val="15"/>
        </w:rPr>
        <w:t>2</w:t>
      </w:r>
      <w:r w:rsidR="000661EB" w:rsidRPr="00A94D2A">
        <w:rPr>
          <w:rFonts w:ascii="仿宋" w:eastAsia="仿宋" w:hAnsi="仿宋" w:hint="eastAsia"/>
          <w:color w:val="808080"/>
          <w:sz w:val="15"/>
          <w:szCs w:val="15"/>
        </w:rPr>
        <w:t>月</w:t>
      </w:r>
      <w:r w:rsidR="00D07EE2">
        <w:rPr>
          <w:rFonts w:ascii="仿宋" w:eastAsia="仿宋" w:hAnsi="仿宋"/>
          <w:color w:val="808080"/>
          <w:sz w:val="15"/>
          <w:szCs w:val="15"/>
        </w:rPr>
        <w:t>4</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33" w:rsidRDefault="00F05A33" w:rsidP="000E7112">
      <w:r>
        <w:separator/>
      </w:r>
    </w:p>
  </w:endnote>
  <w:endnote w:type="continuationSeparator" w:id="0">
    <w:p w:rsidR="00F05A33" w:rsidRDefault="00F05A33"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F5" w:rsidRDefault="003633F5" w:rsidP="00210641">
    <w:pPr>
      <w:pStyle w:val="a3"/>
    </w:pPr>
  </w:p>
  <w:p w:rsidR="003633F5" w:rsidRDefault="003633F5"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633F5" w:rsidRDefault="003633F5"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9A3E55">
      <w:rPr>
        <w:b/>
        <w:noProof/>
        <w:color w:val="0088CC"/>
      </w:rPr>
      <w:t>6</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9A3E55">
      <w:rPr>
        <w:b/>
        <w:noProof/>
        <w:color w:val="7F7F7F"/>
      </w:rPr>
      <w:t>7</w:t>
    </w:r>
    <w:r w:rsidRPr="006A5CE8">
      <w:rPr>
        <w:b/>
        <w:color w:val="7F7F7F"/>
        <w:sz w:val="24"/>
        <w:szCs w:val="24"/>
      </w:rPr>
      <w:fldChar w:fldCharType="end"/>
    </w:r>
  </w:p>
  <w:p w:rsidR="003633F5" w:rsidRDefault="003633F5" w:rsidP="00210641">
    <w:pPr>
      <w:pStyle w:val="a3"/>
    </w:pPr>
  </w:p>
  <w:p w:rsidR="003633F5" w:rsidRDefault="003633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33" w:rsidRDefault="00F05A33" w:rsidP="000E7112">
      <w:r>
        <w:separator/>
      </w:r>
    </w:p>
  </w:footnote>
  <w:footnote w:type="continuationSeparator" w:id="0">
    <w:p w:rsidR="00F05A33" w:rsidRDefault="00F05A33"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F5" w:rsidRDefault="003633F5"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633F5" w:rsidRPr="009830F8" w:rsidRDefault="003633F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0</w:t>
                          </w:r>
                          <w:r>
                            <w:rPr>
                              <w:rFonts w:ascii="Arial" w:hAnsi="宋体" w:cs="Arial"/>
                              <w:b/>
                              <w:color w:val="FFFFFF"/>
                              <w:sz w:val="18"/>
                              <w:szCs w:val="18"/>
                            </w:rPr>
                            <w:t>8</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400</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633F5" w:rsidRPr="009830F8" w:rsidRDefault="003633F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0</w:t>
                    </w:r>
                    <w:r>
                      <w:rPr>
                        <w:rFonts w:ascii="Arial" w:hAnsi="宋体" w:cs="Arial"/>
                        <w:b/>
                        <w:color w:val="FFFFFF"/>
                        <w:sz w:val="18"/>
                        <w:szCs w:val="18"/>
                      </w:rPr>
                      <w:t>8</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400</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633F5" w:rsidRDefault="003633F5" w:rsidP="00761FFD">
    <w:pPr>
      <w:pStyle w:val="a3"/>
      <w:ind w:rightChars="-857" w:right="-1800"/>
    </w:pPr>
  </w:p>
  <w:p w:rsidR="003633F5" w:rsidRDefault="003633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F5" w:rsidRDefault="003633F5" w:rsidP="00655522">
    <w:pPr>
      <w:pStyle w:val="a3"/>
      <w:ind w:rightChars="-857" w:right="-1800"/>
      <w:rPr>
        <w:noProof/>
      </w:rPr>
    </w:pPr>
  </w:p>
  <w:p w:rsidR="003633F5" w:rsidRDefault="00F804BC"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sidR="003633F5">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633F5" w:rsidRPr="004F0FD3" w:rsidRDefault="003633F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0</w:t>
                          </w:r>
                          <w:r>
                            <w:rPr>
                              <w:rFonts w:ascii="Arial" w:hAnsi="宋体" w:cs="Arial"/>
                              <w:b/>
                              <w:color w:val="FFFFFF"/>
                              <w:sz w:val="18"/>
                              <w:szCs w:val="18"/>
                            </w:rPr>
                            <w:t>8</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400</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633F5" w:rsidRPr="004F0FD3" w:rsidRDefault="003633F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0</w:t>
                    </w:r>
                    <w:r>
                      <w:rPr>
                        <w:rFonts w:ascii="Arial" w:hAnsi="宋体" w:cs="Arial"/>
                        <w:b/>
                        <w:color w:val="FFFFFF"/>
                        <w:sz w:val="18"/>
                        <w:szCs w:val="18"/>
                      </w:rPr>
                      <w:t>8</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400</w:t>
                    </w:r>
                    <w:r w:rsidRPr="004F0FD3">
                      <w:rPr>
                        <w:rFonts w:ascii="Arial" w:hAnsi="宋体" w:cs="Arial"/>
                        <w:b/>
                        <w:color w:val="FFFFFF"/>
                        <w:sz w:val="18"/>
                        <w:szCs w:val="18"/>
                      </w:rPr>
                      <w:t>期</w:t>
                    </w:r>
                  </w:p>
                </w:txbxContent>
              </v:textbox>
            </v:shape>
          </w:pict>
        </mc:Fallback>
      </mc:AlternateContent>
    </w:r>
    <w:r w:rsidR="003633F5">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3633F5">
      <w:br/>
    </w:r>
  </w:p>
  <w:p w:rsidR="003633F5" w:rsidRDefault="003633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2BB"/>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E92"/>
    <w:rsid w:val="0046448C"/>
    <w:rsid w:val="004648FA"/>
    <w:rsid w:val="00464A4C"/>
    <w:rsid w:val="0046526D"/>
    <w:rsid w:val="004661F6"/>
    <w:rsid w:val="00467362"/>
    <w:rsid w:val="0047095F"/>
    <w:rsid w:val="004709E3"/>
    <w:rsid w:val="00470FD7"/>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C79B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8F7A6A"/>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015E-4E44-4CF9-BACD-FB8AC24F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868</Words>
  <Characters>4952</Characters>
  <Application>Microsoft Office Word</Application>
  <DocSecurity>0</DocSecurity>
  <Lines>41</Lines>
  <Paragraphs>11</Paragraphs>
  <ScaleCrop>false</ScaleCrop>
  <Company>Microsoft</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15</cp:revision>
  <cp:lastPrinted>2014-12-08T07:24:00Z</cp:lastPrinted>
  <dcterms:created xsi:type="dcterms:W3CDTF">2014-12-08T02:37:00Z</dcterms:created>
  <dcterms:modified xsi:type="dcterms:W3CDTF">2014-12-08T07:25:00Z</dcterms:modified>
</cp:coreProperties>
</file>