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德新成长股票型证券投资基金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A73B0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063B6" w:rsidRDefault="007825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73B0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298,995,892.06</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中信标</w:t>
            </w:r>
            <w:proofErr w:type="gramStart"/>
            <w:r w:rsidRPr="00414345">
              <w:rPr>
                <w:color w:val="000000"/>
                <w:kern w:val="0"/>
                <w:sz w:val="24"/>
                <w:szCs w:val="24"/>
              </w:rPr>
              <w:t>普全债指数</w:t>
            </w:r>
            <w:proofErr w:type="gramEnd"/>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73B0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7825CE" w:rsidRPr="00414345" w:rsidTr="00C53055">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825CE" w:rsidRPr="00414345" w:rsidTr="00C53055">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765,377.37</w:t>
            </w:r>
          </w:p>
        </w:tc>
      </w:tr>
      <w:tr w:rsidR="007825CE" w:rsidRPr="00414345" w:rsidTr="00C53055">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14,973,721.95</w:t>
            </w:r>
          </w:p>
        </w:tc>
      </w:tr>
      <w:tr w:rsidR="007825CE" w:rsidRPr="00414345" w:rsidTr="00C53055">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0.0413</w:t>
            </w:r>
          </w:p>
        </w:tc>
      </w:tr>
      <w:tr w:rsidR="007825CE" w:rsidRPr="00414345" w:rsidTr="00C53055">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313,409,630.12</w:t>
            </w:r>
          </w:p>
        </w:tc>
      </w:tr>
      <w:tr w:rsidR="007825CE" w:rsidRPr="00414345" w:rsidTr="00C53055">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1.048</w:t>
            </w:r>
          </w:p>
        </w:tc>
      </w:tr>
    </w:tbl>
    <w:p w:rsidR="00C53055" w:rsidRPr="00C53055" w:rsidRDefault="00C53055" w:rsidP="00C53055">
      <w:pPr>
        <w:autoSpaceDE w:val="0"/>
        <w:autoSpaceDN w:val="0"/>
        <w:adjustRightInd w:val="0"/>
        <w:spacing w:before="29" w:line="288" w:lineRule="auto"/>
        <w:jc w:val="left"/>
        <w:rPr>
          <w:color w:val="000000"/>
          <w:kern w:val="0"/>
          <w:sz w:val="24"/>
          <w:szCs w:val="24"/>
        </w:rPr>
      </w:pPr>
      <w:r w:rsidRPr="00C53055">
        <w:rPr>
          <w:rFonts w:hint="eastAsia"/>
          <w:color w:val="000000"/>
          <w:kern w:val="0"/>
          <w:sz w:val="24"/>
          <w:szCs w:val="24"/>
        </w:rPr>
        <w:t>注：</w:t>
      </w:r>
      <w:r w:rsidRPr="00C53055">
        <w:rPr>
          <w:rFonts w:hint="eastAsia"/>
          <w:color w:val="000000"/>
          <w:kern w:val="0"/>
          <w:sz w:val="24"/>
          <w:szCs w:val="24"/>
        </w:rPr>
        <w:t>1</w:t>
      </w:r>
      <w:r w:rsidRPr="00C53055">
        <w:rPr>
          <w:rFonts w:hint="eastAsia"/>
          <w:color w:val="000000"/>
          <w:kern w:val="0"/>
          <w:sz w:val="24"/>
          <w:szCs w:val="24"/>
        </w:rPr>
        <w:t>、上述基金业绩指标不包括持有人认购或交易基金的各项费用，计入费用后的实际收益水平要低于所列数字；</w:t>
      </w:r>
    </w:p>
    <w:p w:rsidR="004061AC" w:rsidRDefault="00C53055" w:rsidP="00C53055">
      <w:pPr>
        <w:autoSpaceDE w:val="0"/>
        <w:autoSpaceDN w:val="0"/>
        <w:adjustRightInd w:val="0"/>
        <w:spacing w:before="29" w:line="288" w:lineRule="auto"/>
        <w:jc w:val="left"/>
        <w:rPr>
          <w:color w:val="000000"/>
          <w:kern w:val="0"/>
          <w:sz w:val="24"/>
          <w:szCs w:val="24"/>
        </w:rPr>
      </w:pPr>
      <w:r w:rsidRPr="00C53055">
        <w:rPr>
          <w:rFonts w:hint="eastAsia"/>
          <w:color w:val="000000"/>
          <w:kern w:val="0"/>
          <w:sz w:val="24"/>
          <w:szCs w:val="24"/>
        </w:rPr>
        <w:t xml:space="preserve">    2</w:t>
      </w:r>
      <w:r w:rsidRPr="00C53055">
        <w:rPr>
          <w:rFonts w:hint="eastAsia"/>
          <w:color w:val="000000"/>
          <w:kern w:val="0"/>
          <w:sz w:val="24"/>
          <w:szCs w:val="24"/>
        </w:rPr>
        <w:t>、本期已实现收益指基金本期利息收入、投资收益、其他收入（不含公允价值变动收益）扣除相关费用后的余额，本期利润为本期已实现收益加上本期公允价值变动收益。</w:t>
      </w:r>
    </w:p>
    <w:p w:rsidR="00C53055" w:rsidRPr="00414345" w:rsidRDefault="00C53055"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063B6">
        <w:trPr>
          <w:jc w:val="center"/>
        </w:trPr>
        <w:tc>
          <w:tcPr>
            <w:tcW w:w="1701" w:type="dxa"/>
            <w:vAlign w:val="center"/>
          </w:tcPr>
          <w:p w:rsidR="00A063B6" w:rsidRDefault="007825CE">
            <w:pPr>
              <w:jc w:val="left"/>
            </w:pPr>
            <w:r>
              <w:rPr>
                <w:color w:val="000000"/>
                <w:sz w:val="24"/>
                <w:szCs w:val="24"/>
              </w:rPr>
              <w:t>过去三个月</w:t>
            </w:r>
          </w:p>
        </w:tc>
        <w:tc>
          <w:tcPr>
            <w:tcW w:w="1045" w:type="dxa"/>
            <w:vAlign w:val="center"/>
          </w:tcPr>
          <w:p w:rsidR="00A063B6" w:rsidRDefault="007825CE">
            <w:pPr>
              <w:jc w:val="center"/>
            </w:pPr>
            <w:r>
              <w:rPr>
                <w:color w:val="000000"/>
                <w:sz w:val="24"/>
                <w:szCs w:val="24"/>
              </w:rPr>
              <w:t>4.38%</w:t>
            </w:r>
          </w:p>
        </w:tc>
        <w:tc>
          <w:tcPr>
            <w:tcW w:w="1344" w:type="dxa"/>
            <w:vAlign w:val="center"/>
          </w:tcPr>
          <w:p w:rsidR="00A063B6" w:rsidRDefault="007825CE">
            <w:pPr>
              <w:jc w:val="center"/>
            </w:pPr>
            <w:r>
              <w:rPr>
                <w:color w:val="000000"/>
                <w:sz w:val="24"/>
                <w:szCs w:val="24"/>
              </w:rPr>
              <w:t>0.34%</w:t>
            </w:r>
          </w:p>
        </w:tc>
        <w:tc>
          <w:tcPr>
            <w:tcW w:w="1194" w:type="dxa"/>
            <w:vAlign w:val="center"/>
          </w:tcPr>
          <w:p w:rsidR="00A063B6" w:rsidRDefault="007825CE">
            <w:pPr>
              <w:jc w:val="center"/>
            </w:pPr>
            <w:r>
              <w:rPr>
                <w:color w:val="000000"/>
                <w:sz w:val="24"/>
                <w:szCs w:val="24"/>
              </w:rPr>
              <w:t>10.62%</w:t>
            </w:r>
          </w:p>
        </w:tc>
        <w:tc>
          <w:tcPr>
            <w:tcW w:w="1492" w:type="dxa"/>
            <w:vAlign w:val="center"/>
          </w:tcPr>
          <w:p w:rsidR="00A063B6" w:rsidRDefault="007825CE">
            <w:pPr>
              <w:jc w:val="center"/>
            </w:pPr>
            <w:r>
              <w:rPr>
                <w:color w:val="000000"/>
                <w:sz w:val="24"/>
                <w:szCs w:val="24"/>
              </w:rPr>
              <w:t>0.67%</w:t>
            </w:r>
          </w:p>
        </w:tc>
        <w:tc>
          <w:tcPr>
            <w:tcW w:w="1194" w:type="dxa"/>
            <w:vAlign w:val="center"/>
          </w:tcPr>
          <w:p w:rsidR="00A063B6" w:rsidRDefault="007825CE">
            <w:pPr>
              <w:jc w:val="center"/>
            </w:pPr>
            <w:r>
              <w:rPr>
                <w:color w:val="000000"/>
                <w:sz w:val="24"/>
                <w:szCs w:val="24"/>
              </w:rPr>
              <w:t>-6.24%</w:t>
            </w:r>
          </w:p>
        </w:tc>
        <w:tc>
          <w:tcPr>
            <w:tcW w:w="898" w:type="dxa"/>
            <w:vAlign w:val="center"/>
          </w:tcPr>
          <w:p w:rsidR="00A063B6" w:rsidRDefault="007825CE">
            <w:pPr>
              <w:jc w:val="center"/>
            </w:pPr>
            <w:r>
              <w:rPr>
                <w:color w:val="000000"/>
                <w:sz w:val="24"/>
                <w:szCs w:val="24"/>
              </w:rPr>
              <w:t>-0.33%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bookmarkStart w:id="0" w:name="_GoBack"/>
      <w:bookmarkEnd w:id="0"/>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73B0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5"/>
        <w:gridCol w:w="709"/>
        <w:gridCol w:w="1476"/>
        <w:gridCol w:w="1548"/>
        <w:gridCol w:w="1407"/>
        <w:gridCol w:w="2673"/>
      </w:tblGrid>
      <w:tr w:rsidR="00286BEF" w:rsidRPr="00414345" w:rsidTr="007825CE">
        <w:trPr>
          <w:trHeight w:val="292"/>
          <w:jc w:val="center"/>
        </w:trPr>
        <w:tc>
          <w:tcPr>
            <w:tcW w:w="1055"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709"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024"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0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7825CE">
        <w:trPr>
          <w:jc w:val="center"/>
        </w:trPr>
        <w:tc>
          <w:tcPr>
            <w:tcW w:w="1055"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709"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476"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48"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0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063B6" w:rsidTr="007825CE">
        <w:trPr>
          <w:jc w:val="center"/>
        </w:trPr>
        <w:tc>
          <w:tcPr>
            <w:tcW w:w="1055" w:type="dxa"/>
            <w:vAlign w:val="center"/>
          </w:tcPr>
          <w:p w:rsidR="00A063B6" w:rsidRDefault="007825CE">
            <w:pPr>
              <w:jc w:val="center"/>
            </w:pPr>
            <w:proofErr w:type="gramStart"/>
            <w:r>
              <w:rPr>
                <w:color w:val="000000"/>
                <w:sz w:val="24"/>
                <w:szCs w:val="24"/>
              </w:rPr>
              <w:t>管华雨</w:t>
            </w:r>
            <w:proofErr w:type="gramEnd"/>
          </w:p>
        </w:tc>
        <w:tc>
          <w:tcPr>
            <w:tcW w:w="709" w:type="dxa"/>
            <w:vAlign w:val="center"/>
          </w:tcPr>
          <w:p w:rsidR="00A063B6" w:rsidRDefault="007825CE">
            <w:pPr>
              <w:jc w:val="center"/>
            </w:pPr>
            <w:r>
              <w:rPr>
                <w:color w:val="000000"/>
                <w:sz w:val="24"/>
                <w:szCs w:val="24"/>
              </w:rPr>
              <w:t>本基金、交</w:t>
            </w:r>
            <w:proofErr w:type="gramStart"/>
            <w:r>
              <w:rPr>
                <w:color w:val="000000"/>
                <w:sz w:val="24"/>
                <w:szCs w:val="24"/>
              </w:rPr>
              <w:t>银成长</w:t>
            </w:r>
            <w:proofErr w:type="gramEnd"/>
            <w:r>
              <w:rPr>
                <w:color w:val="000000"/>
                <w:sz w:val="24"/>
                <w:szCs w:val="24"/>
              </w:rPr>
              <w:t>股票、交</w:t>
            </w:r>
            <w:proofErr w:type="gramStart"/>
            <w:r>
              <w:rPr>
                <w:color w:val="000000"/>
                <w:sz w:val="24"/>
                <w:szCs w:val="24"/>
              </w:rPr>
              <w:t>银趋势</w:t>
            </w:r>
            <w:proofErr w:type="gramEnd"/>
            <w:r>
              <w:rPr>
                <w:color w:val="000000"/>
                <w:sz w:val="24"/>
                <w:szCs w:val="24"/>
              </w:rPr>
              <w:t>股票、交</w:t>
            </w:r>
            <w:proofErr w:type="gramStart"/>
            <w:r>
              <w:rPr>
                <w:color w:val="000000"/>
                <w:sz w:val="24"/>
                <w:szCs w:val="24"/>
              </w:rPr>
              <w:t>银成长</w:t>
            </w:r>
            <w:proofErr w:type="gramEnd"/>
            <w:r>
              <w:rPr>
                <w:color w:val="000000"/>
                <w:sz w:val="24"/>
                <w:szCs w:val="24"/>
              </w:rPr>
              <w:t>30</w:t>
            </w:r>
            <w:r>
              <w:rPr>
                <w:color w:val="000000"/>
                <w:sz w:val="24"/>
                <w:szCs w:val="24"/>
              </w:rPr>
              <w:t>股票</w:t>
            </w:r>
            <w:r>
              <w:rPr>
                <w:color w:val="000000"/>
                <w:sz w:val="24"/>
                <w:szCs w:val="24"/>
              </w:rPr>
              <w:lastRenderedPageBreak/>
              <w:t>的基金经理，公司权益投资总监</w:t>
            </w:r>
          </w:p>
        </w:tc>
        <w:tc>
          <w:tcPr>
            <w:tcW w:w="1476" w:type="dxa"/>
            <w:vAlign w:val="center"/>
          </w:tcPr>
          <w:p w:rsidR="00A063B6" w:rsidRDefault="007825CE">
            <w:pPr>
              <w:jc w:val="center"/>
            </w:pPr>
            <w:r>
              <w:rPr>
                <w:color w:val="000000"/>
                <w:sz w:val="24"/>
                <w:szCs w:val="24"/>
              </w:rPr>
              <w:lastRenderedPageBreak/>
              <w:t>2014-05-09</w:t>
            </w:r>
          </w:p>
        </w:tc>
        <w:tc>
          <w:tcPr>
            <w:tcW w:w="1548" w:type="dxa"/>
            <w:vAlign w:val="center"/>
          </w:tcPr>
          <w:p w:rsidR="00A063B6" w:rsidRDefault="007825CE">
            <w:pPr>
              <w:jc w:val="center"/>
            </w:pPr>
            <w:r>
              <w:rPr>
                <w:color w:val="000000"/>
                <w:sz w:val="24"/>
                <w:szCs w:val="24"/>
              </w:rPr>
              <w:t>-</w:t>
            </w:r>
          </w:p>
        </w:tc>
        <w:tc>
          <w:tcPr>
            <w:tcW w:w="1407" w:type="dxa"/>
            <w:vAlign w:val="center"/>
          </w:tcPr>
          <w:p w:rsidR="00A063B6" w:rsidRDefault="007825CE">
            <w:pPr>
              <w:jc w:val="center"/>
            </w:pPr>
            <w:r>
              <w:rPr>
                <w:color w:val="000000"/>
                <w:sz w:val="24"/>
                <w:szCs w:val="24"/>
              </w:rPr>
              <w:t>12</w:t>
            </w:r>
            <w:r>
              <w:rPr>
                <w:color w:val="000000"/>
                <w:sz w:val="24"/>
                <w:szCs w:val="24"/>
              </w:rPr>
              <w:t>年</w:t>
            </w:r>
          </w:p>
        </w:tc>
        <w:tc>
          <w:tcPr>
            <w:tcW w:w="2673" w:type="dxa"/>
            <w:vAlign w:val="center"/>
          </w:tcPr>
          <w:p w:rsidR="00A063B6" w:rsidRDefault="007825CE">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w:t>
            </w:r>
            <w:proofErr w:type="gramStart"/>
            <w:r>
              <w:rPr>
                <w:color w:val="000000"/>
                <w:sz w:val="24"/>
                <w:szCs w:val="24"/>
              </w:rPr>
              <w:t>诚基金</w:t>
            </w:r>
            <w:proofErr w:type="gramEnd"/>
            <w:r>
              <w:rPr>
                <w:color w:val="000000"/>
                <w:sz w:val="24"/>
                <w:szCs w:val="24"/>
              </w:rPr>
              <w:t>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w:t>
            </w:r>
            <w:proofErr w:type="gramStart"/>
            <w:r>
              <w:rPr>
                <w:color w:val="000000"/>
                <w:sz w:val="24"/>
                <w:szCs w:val="24"/>
              </w:rPr>
              <w:t>担任信</w:t>
            </w:r>
            <w:proofErr w:type="gramEnd"/>
            <w:r>
              <w:rPr>
                <w:color w:val="000000"/>
                <w:sz w:val="24"/>
                <w:szCs w:val="24"/>
              </w:rPr>
              <w:t>诚四季红混合型证券投资</w:t>
            </w:r>
            <w:proofErr w:type="gramStart"/>
            <w:r>
              <w:rPr>
                <w:color w:val="000000"/>
                <w:sz w:val="24"/>
                <w:szCs w:val="24"/>
              </w:rPr>
              <w:t>基金基金</w:t>
            </w:r>
            <w:proofErr w:type="gramEnd"/>
            <w:r>
              <w:rPr>
                <w:color w:val="000000"/>
                <w:sz w:val="24"/>
                <w:szCs w:val="24"/>
              </w:rPr>
              <w:t>经理。</w:t>
            </w:r>
            <w:r>
              <w:rPr>
                <w:color w:val="000000"/>
                <w:sz w:val="24"/>
                <w:szCs w:val="24"/>
              </w:rPr>
              <w:t>2010</w:t>
            </w:r>
            <w:r>
              <w:rPr>
                <w:color w:val="000000"/>
                <w:sz w:val="24"/>
                <w:szCs w:val="24"/>
              </w:rPr>
              <w:t>年加入交银施罗德基金管理有限公司，历任权益部总经理助理、副总经理、总</w:t>
            </w:r>
            <w:r>
              <w:rPr>
                <w:color w:val="000000"/>
                <w:sz w:val="24"/>
                <w:szCs w:val="24"/>
              </w:rPr>
              <w:lastRenderedPageBreak/>
              <w:t>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w:t>
            </w:r>
            <w:proofErr w:type="gramStart"/>
            <w:r>
              <w:rPr>
                <w:color w:val="000000"/>
                <w:sz w:val="24"/>
                <w:szCs w:val="24"/>
              </w:rPr>
              <w:t>基金基金</w:t>
            </w:r>
            <w:proofErr w:type="gramEnd"/>
            <w:r>
              <w:rPr>
                <w:color w:val="000000"/>
                <w:sz w:val="24"/>
                <w:szCs w:val="24"/>
              </w:rPr>
              <w:t>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063B6" w:rsidRDefault="007825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063B6" w:rsidRDefault="007825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063B6" w:rsidRDefault="007825C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063B6" w:rsidRDefault="007825CE">
      <w:pPr>
        <w:spacing w:before="29" w:line="288" w:lineRule="auto"/>
        <w:ind w:firstLineChars="200" w:firstLine="480"/>
        <w:rPr>
          <w:color w:val="000000"/>
          <w:sz w:val="24"/>
          <w:szCs w:val="24"/>
        </w:rPr>
      </w:pPr>
      <w:r>
        <w:rPr>
          <w:color w:val="000000"/>
          <w:sz w:val="24"/>
          <w:szCs w:val="24"/>
        </w:rPr>
        <w:t>在政府</w:t>
      </w:r>
      <w:proofErr w:type="gramStart"/>
      <w:r>
        <w:rPr>
          <w:color w:val="000000"/>
          <w:sz w:val="24"/>
          <w:szCs w:val="24"/>
        </w:rPr>
        <w:t>微刺激</w:t>
      </w:r>
      <w:proofErr w:type="gramEnd"/>
      <w:r>
        <w:rPr>
          <w:color w:val="000000"/>
          <w:sz w:val="24"/>
          <w:szCs w:val="24"/>
        </w:rPr>
        <w:t>的作用下，三季度宏观经济整体企稳，流动性宽松，各项改革出现加速迹象，股市对此反应积极。周期性大市值股票直接受益于经济回稳和货币宽松，</w:t>
      </w:r>
      <w:r>
        <w:rPr>
          <w:color w:val="000000"/>
          <w:sz w:val="24"/>
          <w:szCs w:val="24"/>
        </w:rPr>
        <w:t>7</w:t>
      </w:r>
      <w:r>
        <w:rPr>
          <w:color w:val="000000"/>
          <w:sz w:val="24"/>
          <w:szCs w:val="24"/>
        </w:rPr>
        <w:t>月份涨幅可观；以创业板为代表的中小市值股票则在经济环境趋好和改革加速的推动下，</w:t>
      </w:r>
      <w:r>
        <w:rPr>
          <w:color w:val="000000"/>
          <w:sz w:val="24"/>
          <w:szCs w:val="24"/>
        </w:rPr>
        <w:t>8</w:t>
      </w:r>
      <w:r>
        <w:rPr>
          <w:color w:val="000000"/>
          <w:sz w:val="24"/>
          <w:szCs w:val="24"/>
        </w:rPr>
        <w:t>、</w:t>
      </w:r>
      <w:r>
        <w:rPr>
          <w:color w:val="000000"/>
          <w:sz w:val="24"/>
          <w:szCs w:val="24"/>
        </w:rPr>
        <w:t>9</w:t>
      </w:r>
      <w:r>
        <w:rPr>
          <w:color w:val="000000"/>
          <w:sz w:val="24"/>
          <w:szCs w:val="24"/>
        </w:rPr>
        <w:t>月份均取得不错的涨幅。从行业板块看，基本上所有股票都出现一定的涨幅，新兴行业</w:t>
      </w:r>
      <w:proofErr w:type="gramStart"/>
      <w:r>
        <w:rPr>
          <w:color w:val="000000"/>
          <w:sz w:val="24"/>
          <w:szCs w:val="24"/>
        </w:rPr>
        <w:t>略跑赢传统</w:t>
      </w:r>
      <w:proofErr w:type="gramEnd"/>
      <w:r>
        <w:rPr>
          <w:color w:val="000000"/>
          <w:sz w:val="24"/>
          <w:szCs w:val="24"/>
        </w:rPr>
        <w:t>行业。</w:t>
      </w:r>
    </w:p>
    <w:p w:rsidR="00A063B6" w:rsidRDefault="007825CE">
      <w:pPr>
        <w:spacing w:before="29" w:line="288" w:lineRule="auto"/>
        <w:ind w:firstLineChars="200" w:firstLine="480"/>
        <w:rPr>
          <w:color w:val="000000"/>
          <w:sz w:val="24"/>
          <w:szCs w:val="24"/>
        </w:rPr>
      </w:pPr>
      <w:r>
        <w:rPr>
          <w:color w:val="000000"/>
          <w:sz w:val="24"/>
          <w:szCs w:val="24"/>
        </w:rPr>
        <w:t>本基金成立后，二季度施行了谨慎的建仓策略，股票</w:t>
      </w:r>
      <w:proofErr w:type="gramStart"/>
      <w:r>
        <w:rPr>
          <w:color w:val="000000"/>
          <w:sz w:val="24"/>
          <w:szCs w:val="24"/>
        </w:rPr>
        <w:t>仓位</w:t>
      </w:r>
      <w:proofErr w:type="gramEnd"/>
      <w:r>
        <w:rPr>
          <w:color w:val="000000"/>
          <w:sz w:val="24"/>
          <w:szCs w:val="24"/>
        </w:rPr>
        <w:t>较低。进入三季度，捕捉到经济企稳的信号后，本基金按照较为平稳的节奏持续加仓，重点方向为先周期的地产板块，以及符合改革和转型大方向的优质成长股。从结果看，三季度获得了一定的收益。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展望未来，本基金认为，在</w:t>
      </w:r>
      <w:r w:rsidRPr="00414345">
        <w:rPr>
          <w:color w:val="000000"/>
          <w:sz w:val="24"/>
          <w:szCs w:val="24"/>
        </w:rPr>
        <w:t>“</w:t>
      </w:r>
      <w:r w:rsidRPr="00414345">
        <w:rPr>
          <w:color w:val="000000"/>
          <w:sz w:val="24"/>
          <w:szCs w:val="24"/>
        </w:rPr>
        <w:t>新常态</w:t>
      </w:r>
      <w:r w:rsidRPr="00414345">
        <w:rPr>
          <w:color w:val="000000"/>
          <w:sz w:val="24"/>
          <w:szCs w:val="24"/>
        </w:rPr>
        <w:t>”</w:t>
      </w:r>
      <w:r w:rsidRPr="00414345">
        <w:rPr>
          <w:color w:val="000000"/>
          <w:sz w:val="24"/>
          <w:szCs w:val="24"/>
        </w:rPr>
        <w:t>下，经济增速逐渐降低，但是无风险收益率也将逐级下行，股市面临的外部环境比较温和。</w:t>
      </w:r>
      <w:proofErr w:type="gramStart"/>
      <w:r w:rsidRPr="00414345">
        <w:rPr>
          <w:color w:val="000000"/>
          <w:sz w:val="24"/>
          <w:szCs w:val="24"/>
        </w:rPr>
        <w:t>微刺激</w:t>
      </w:r>
      <w:proofErr w:type="gramEnd"/>
      <w:r w:rsidRPr="00414345">
        <w:rPr>
          <w:color w:val="000000"/>
          <w:sz w:val="24"/>
          <w:szCs w:val="24"/>
        </w:rPr>
        <w:t>着力于稳住经济和市场的底，而改革和转型则打开了相关板块的上行空间。因此，整体股市可能风险不大，预计较好的投资机会则来自于能够实实在在受益于改革和转型的新兴行业。本基金将继续深入研究，把握主要新兴行业的产业发展规律和估值方法，并密切关注国内外政策、流动性变化的影响，控制好风险，努力为持有人创造好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1.048</w:t>
      </w:r>
      <w:r w:rsidRPr="00414345">
        <w:rPr>
          <w:color w:val="000000"/>
          <w:sz w:val="24"/>
          <w:szCs w:val="24"/>
        </w:rPr>
        <w:t>元，本报告期份额净值增长率为</w:t>
      </w:r>
      <w:r w:rsidRPr="00414345">
        <w:rPr>
          <w:color w:val="000000"/>
          <w:sz w:val="24"/>
          <w:szCs w:val="24"/>
        </w:rPr>
        <w:t>4.38%</w:t>
      </w:r>
      <w:r w:rsidRPr="00414345">
        <w:rPr>
          <w:color w:val="000000"/>
          <w:sz w:val="24"/>
          <w:szCs w:val="24"/>
        </w:rPr>
        <w:t>，同期业绩比较基准增长率为</w:t>
      </w:r>
      <w:r w:rsidRPr="00414345">
        <w:rPr>
          <w:color w:val="000000"/>
          <w:sz w:val="24"/>
          <w:szCs w:val="24"/>
        </w:rPr>
        <w:t>10.62%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A73B0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182,684,130.85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182,684,130.85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39,969,379.95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12.63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93,626,592.56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128,341.12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316,408,444.48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754"/>
        <w:gridCol w:w="2631"/>
        <w:gridCol w:w="1638"/>
      </w:tblGrid>
      <w:tr w:rsidR="00531F10" w:rsidRPr="00414345" w:rsidTr="007825C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8D48F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D48F1">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127,379,501.38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40.64</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19,824,200.00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6.33</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7825CE">
            <w:pPr>
              <w:adjustRightInd w:val="0"/>
              <w:snapToGrid w:val="0"/>
              <w:spacing w:before="29" w:line="288" w:lineRule="auto"/>
              <w:jc w:val="left"/>
              <w:rPr>
                <w:sz w:val="24"/>
                <w:szCs w:val="24"/>
              </w:rPr>
            </w:pPr>
            <w:r w:rsidRPr="00414345">
              <w:rPr>
                <w:sz w:val="24"/>
                <w:szCs w:val="24"/>
              </w:rPr>
              <w:t>信息传输、软件和信息技术服务业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A73B0E" w:rsidP="00C15CAC">
            <w:pPr>
              <w:spacing w:before="29" w:line="288" w:lineRule="auto"/>
              <w:jc w:val="right"/>
              <w:rPr>
                <w:sz w:val="24"/>
                <w:szCs w:val="24"/>
              </w:rPr>
            </w:pPr>
            <w:r>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A73B0E" w:rsidP="00C15CAC">
            <w:pPr>
              <w:spacing w:before="29" w:line="288" w:lineRule="auto"/>
              <w:jc w:val="right"/>
              <w:rPr>
                <w:sz w:val="24"/>
                <w:szCs w:val="24"/>
              </w:rPr>
            </w:pPr>
            <w:r>
              <w:rPr>
                <w:rFonts w:hint="eastAsia"/>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9,665,299.07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8,355,930.40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7825C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182,684,130.85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58.29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063B6">
        <w:trPr>
          <w:jc w:val="center"/>
        </w:trPr>
        <w:tc>
          <w:tcPr>
            <w:tcW w:w="855" w:type="dxa"/>
            <w:vAlign w:val="center"/>
          </w:tcPr>
          <w:p w:rsidR="00A063B6" w:rsidRDefault="007825CE">
            <w:pPr>
              <w:jc w:val="center"/>
            </w:pPr>
            <w:r>
              <w:rPr>
                <w:color w:val="000000"/>
                <w:sz w:val="24"/>
                <w:szCs w:val="24"/>
              </w:rPr>
              <w:t>1</w:t>
            </w:r>
          </w:p>
        </w:tc>
        <w:tc>
          <w:tcPr>
            <w:tcW w:w="1334" w:type="dxa"/>
            <w:vAlign w:val="center"/>
          </w:tcPr>
          <w:p w:rsidR="00A063B6" w:rsidRDefault="007825CE">
            <w:pPr>
              <w:jc w:val="center"/>
            </w:pPr>
            <w:r>
              <w:rPr>
                <w:color w:val="000000"/>
                <w:sz w:val="24"/>
                <w:szCs w:val="24"/>
              </w:rPr>
              <w:t>002008</w:t>
            </w:r>
          </w:p>
        </w:tc>
        <w:tc>
          <w:tcPr>
            <w:tcW w:w="1777" w:type="dxa"/>
            <w:vAlign w:val="center"/>
          </w:tcPr>
          <w:p w:rsidR="00A063B6" w:rsidRDefault="007825CE">
            <w:pPr>
              <w:jc w:val="center"/>
            </w:pPr>
            <w:r>
              <w:rPr>
                <w:color w:val="000000"/>
                <w:sz w:val="24"/>
                <w:szCs w:val="24"/>
              </w:rPr>
              <w:t>大族激光</w:t>
            </w:r>
          </w:p>
        </w:tc>
        <w:tc>
          <w:tcPr>
            <w:tcW w:w="1334" w:type="dxa"/>
            <w:vAlign w:val="center"/>
          </w:tcPr>
          <w:p w:rsidR="00A063B6" w:rsidRDefault="007825CE">
            <w:pPr>
              <w:jc w:val="right"/>
            </w:pPr>
            <w:r>
              <w:rPr>
                <w:color w:val="000000"/>
                <w:sz w:val="24"/>
                <w:szCs w:val="24"/>
              </w:rPr>
              <w:t>999,927</w:t>
            </w:r>
          </w:p>
        </w:tc>
        <w:tc>
          <w:tcPr>
            <w:tcW w:w="1924" w:type="dxa"/>
            <w:vAlign w:val="center"/>
          </w:tcPr>
          <w:p w:rsidR="00A063B6" w:rsidRDefault="007825CE">
            <w:pPr>
              <w:jc w:val="right"/>
            </w:pPr>
            <w:r>
              <w:rPr>
                <w:color w:val="000000"/>
                <w:sz w:val="24"/>
                <w:szCs w:val="24"/>
              </w:rPr>
              <w:t>19,548,572.85</w:t>
            </w:r>
          </w:p>
        </w:tc>
        <w:tc>
          <w:tcPr>
            <w:tcW w:w="1644" w:type="dxa"/>
            <w:vAlign w:val="center"/>
          </w:tcPr>
          <w:p w:rsidR="00A063B6" w:rsidRDefault="007825CE">
            <w:pPr>
              <w:jc w:val="right"/>
            </w:pPr>
            <w:r>
              <w:rPr>
                <w:color w:val="000000"/>
                <w:sz w:val="24"/>
                <w:szCs w:val="24"/>
              </w:rPr>
              <w:t>6.24</w:t>
            </w:r>
          </w:p>
        </w:tc>
      </w:tr>
      <w:tr w:rsidR="00A063B6">
        <w:trPr>
          <w:jc w:val="center"/>
        </w:trPr>
        <w:tc>
          <w:tcPr>
            <w:tcW w:w="855" w:type="dxa"/>
            <w:vAlign w:val="center"/>
          </w:tcPr>
          <w:p w:rsidR="00A063B6" w:rsidRDefault="007825CE">
            <w:pPr>
              <w:jc w:val="center"/>
            </w:pPr>
            <w:r>
              <w:rPr>
                <w:color w:val="000000"/>
                <w:sz w:val="24"/>
                <w:szCs w:val="24"/>
              </w:rPr>
              <w:t>2</w:t>
            </w:r>
          </w:p>
        </w:tc>
        <w:tc>
          <w:tcPr>
            <w:tcW w:w="1334" w:type="dxa"/>
            <w:vAlign w:val="center"/>
          </w:tcPr>
          <w:p w:rsidR="00A063B6" w:rsidRDefault="007825CE">
            <w:pPr>
              <w:jc w:val="center"/>
            </w:pPr>
            <w:r>
              <w:rPr>
                <w:color w:val="000000"/>
                <w:sz w:val="24"/>
                <w:szCs w:val="24"/>
              </w:rPr>
              <w:t>002353</w:t>
            </w:r>
          </w:p>
        </w:tc>
        <w:tc>
          <w:tcPr>
            <w:tcW w:w="1777" w:type="dxa"/>
            <w:vAlign w:val="center"/>
          </w:tcPr>
          <w:p w:rsidR="00A063B6" w:rsidRDefault="007825CE">
            <w:pPr>
              <w:jc w:val="center"/>
            </w:pPr>
            <w:r>
              <w:rPr>
                <w:color w:val="000000"/>
                <w:sz w:val="24"/>
                <w:szCs w:val="24"/>
              </w:rPr>
              <w:t>杰瑞股份</w:t>
            </w:r>
          </w:p>
        </w:tc>
        <w:tc>
          <w:tcPr>
            <w:tcW w:w="1334" w:type="dxa"/>
            <w:vAlign w:val="center"/>
          </w:tcPr>
          <w:p w:rsidR="00A063B6" w:rsidRDefault="007825CE">
            <w:pPr>
              <w:jc w:val="right"/>
            </w:pPr>
            <w:r>
              <w:rPr>
                <w:color w:val="000000"/>
                <w:sz w:val="24"/>
                <w:szCs w:val="24"/>
              </w:rPr>
              <w:t>360,000</w:t>
            </w:r>
          </w:p>
        </w:tc>
        <w:tc>
          <w:tcPr>
            <w:tcW w:w="1924" w:type="dxa"/>
            <w:vAlign w:val="center"/>
          </w:tcPr>
          <w:p w:rsidR="00A063B6" w:rsidRDefault="007825CE">
            <w:pPr>
              <w:jc w:val="right"/>
            </w:pPr>
            <w:r>
              <w:rPr>
                <w:color w:val="000000"/>
                <w:sz w:val="24"/>
                <w:szCs w:val="24"/>
              </w:rPr>
              <w:t>14,032,800.00</w:t>
            </w:r>
          </w:p>
        </w:tc>
        <w:tc>
          <w:tcPr>
            <w:tcW w:w="1644" w:type="dxa"/>
            <w:vAlign w:val="center"/>
          </w:tcPr>
          <w:p w:rsidR="00A063B6" w:rsidRDefault="007825CE">
            <w:pPr>
              <w:jc w:val="right"/>
            </w:pPr>
            <w:r>
              <w:rPr>
                <w:color w:val="000000"/>
                <w:sz w:val="24"/>
                <w:szCs w:val="24"/>
              </w:rPr>
              <w:t>4.48</w:t>
            </w:r>
          </w:p>
        </w:tc>
      </w:tr>
      <w:tr w:rsidR="00A063B6">
        <w:trPr>
          <w:jc w:val="center"/>
        </w:trPr>
        <w:tc>
          <w:tcPr>
            <w:tcW w:w="855" w:type="dxa"/>
            <w:vAlign w:val="center"/>
          </w:tcPr>
          <w:p w:rsidR="00A063B6" w:rsidRDefault="007825CE">
            <w:pPr>
              <w:jc w:val="center"/>
            </w:pPr>
            <w:r>
              <w:rPr>
                <w:color w:val="000000"/>
                <w:sz w:val="24"/>
                <w:szCs w:val="24"/>
              </w:rPr>
              <w:t>3</w:t>
            </w:r>
          </w:p>
        </w:tc>
        <w:tc>
          <w:tcPr>
            <w:tcW w:w="1334" w:type="dxa"/>
            <w:vAlign w:val="center"/>
          </w:tcPr>
          <w:p w:rsidR="00A063B6" w:rsidRDefault="007825CE">
            <w:pPr>
              <w:jc w:val="center"/>
            </w:pPr>
            <w:r>
              <w:rPr>
                <w:color w:val="000000"/>
                <w:sz w:val="24"/>
                <w:szCs w:val="24"/>
              </w:rPr>
              <w:t>002081</w:t>
            </w:r>
          </w:p>
        </w:tc>
        <w:tc>
          <w:tcPr>
            <w:tcW w:w="1777" w:type="dxa"/>
            <w:vAlign w:val="center"/>
          </w:tcPr>
          <w:p w:rsidR="00A063B6" w:rsidRDefault="007825CE">
            <w:pPr>
              <w:jc w:val="cente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A063B6" w:rsidRDefault="007825CE">
            <w:pPr>
              <w:jc w:val="right"/>
            </w:pPr>
            <w:r>
              <w:rPr>
                <w:color w:val="000000"/>
                <w:sz w:val="24"/>
                <w:szCs w:val="24"/>
              </w:rPr>
              <w:t>660,000</w:t>
            </w:r>
          </w:p>
        </w:tc>
        <w:tc>
          <w:tcPr>
            <w:tcW w:w="1924" w:type="dxa"/>
            <w:vAlign w:val="center"/>
          </w:tcPr>
          <w:p w:rsidR="00A063B6" w:rsidRDefault="007825CE">
            <w:pPr>
              <w:jc w:val="right"/>
            </w:pPr>
            <w:r>
              <w:rPr>
                <w:color w:val="000000"/>
                <w:sz w:val="24"/>
                <w:szCs w:val="24"/>
              </w:rPr>
              <w:t>12,784,200.00</w:t>
            </w:r>
          </w:p>
        </w:tc>
        <w:tc>
          <w:tcPr>
            <w:tcW w:w="1644" w:type="dxa"/>
            <w:vAlign w:val="center"/>
          </w:tcPr>
          <w:p w:rsidR="00A063B6" w:rsidRDefault="007825CE">
            <w:pPr>
              <w:jc w:val="right"/>
            </w:pPr>
            <w:r>
              <w:rPr>
                <w:color w:val="000000"/>
                <w:sz w:val="24"/>
                <w:szCs w:val="24"/>
              </w:rPr>
              <w:t>4.08</w:t>
            </w:r>
          </w:p>
        </w:tc>
      </w:tr>
      <w:tr w:rsidR="00A063B6">
        <w:trPr>
          <w:jc w:val="center"/>
        </w:trPr>
        <w:tc>
          <w:tcPr>
            <w:tcW w:w="855" w:type="dxa"/>
            <w:vAlign w:val="center"/>
          </w:tcPr>
          <w:p w:rsidR="00A063B6" w:rsidRDefault="007825CE">
            <w:pPr>
              <w:jc w:val="center"/>
            </w:pPr>
            <w:r>
              <w:rPr>
                <w:color w:val="000000"/>
                <w:sz w:val="24"/>
                <w:szCs w:val="24"/>
              </w:rPr>
              <w:t>4</w:t>
            </w:r>
          </w:p>
        </w:tc>
        <w:tc>
          <w:tcPr>
            <w:tcW w:w="1334" w:type="dxa"/>
            <w:vAlign w:val="center"/>
          </w:tcPr>
          <w:p w:rsidR="00A063B6" w:rsidRDefault="007825CE">
            <w:pPr>
              <w:jc w:val="center"/>
            </w:pPr>
            <w:r>
              <w:rPr>
                <w:color w:val="000000"/>
                <w:sz w:val="24"/>
                <w:szCs w:val="24"/>
              </w:rPr>
              <w:t>000869</w:t>
            </w:r>
          </w:p>
        </w:tc>
        <w:tc>
          <w:tcPr>
            <w:tcW w:w="1777" w:type="dxa"/>
            <w:vAlign w:val="center"/>
          </w:tcPr>
          <w:p w:rsidR="00A063B6" w:rsidRDefault="007825CE">
            <w:pPr>
              <w:jc w:val="center"/>
            </w:pPr>
            <w:r>
              <w:rPr>
                <w:color w:val="000000"/>
                <w:sz w:val="24"/>
                <w:szCs w:val="24"/>
              </w:rPr>
              <w:t>张</w:t>
            </w:r>
            <w:r>
              <w:rPr>
                <w:color w:val="000000"/>
                <w:sz w:val="24"/>
                <w:szCs w:val="24"/>
              </w:rPr>
              <w:t xml:space="preserve">  </w:t>
            </w:r>
            <w:r>
              <w:rPr>
                <w:color w:val="000000"/>
                <w:sz w:val="24"/>
                <w:szCs w:val="24"/>
              </w:rPr>
              <w:t>裕Ａ</w:t>
            </w:r>
          </w:p>
        </w:tc>
        <w:tc>
          <w:tcPr>
            <w:tcW w:w="1334" w:type="dxa"/>
            <w:vAlign w:val="center"/>
          </w:tcPr>
          <w:p w:rsidR="00A063B6" w:rsidRDefault="007825CE">
            <w:pPr>
              <w:jc w:val="right"/>
            </w:pPr>
            <w:r>
              <w:rPr>
                <w:color w:val="000000"/>
                <w:sz w:val="24"/>
                <w:szCs w:val="24"/>
              </w:rPr>
              <w:t>349,930</w:t>
            </w:r>
          </w:p>
        </w:tc>
        <w:tc>
          <w:tcPr>
            <w:tcW w:w="1924" w:type="dxa"/>
            <w:vAlign w:val="center"/>
          </w:tcPr>
          <w:p w:rsidR="00A063B6" w:rsidRDefault="007825CE">
            <w:pPr>
              <w:jc w:val="right"/>
            </w:pPr>
            <w:r>
              <w:rPr>
                <w:color w:val="000000"/>
                <w:sz w:val="24"/>
                <w:szCs w:val="24"/>
              </w:rPr>
              <w:t>10,798,839.80</w:t>
            </w:r>
          </w:p>
        </w:tc>
        <w:tc>
          <w:tcPr>
            <w:tcW w:w="1644" w:type="dxa"/>
            <w:vAlign w:val="center"/>
          </w:tcPr>
          <w:p w:rsidR="00A063B6" w:rsidRDefault="007825CE">
            <w:pPr>
              <w:jc w:val="right"/>
            </w:pPr>
            <w:r>
              <w:rPr>
                <w:color w:val="000000"/>
                <w:sz w:val="24"/>
                <w:szCs w:val="24"/>
              </w:rPr>
              <w:t>3.45</w:t>
            </w:r>
          </w:p>
        </w:tc>
      </w:tr>
      <w:tr w:rsidR="00A063B6">
        <w:trPr>
          <w:jc w:val="center"/>
        </w:trPr>
        <w:tc>
          <w:tcPr>
            <w:tcW w:w="855" w:type="dxa"/>
            <w:vAlign w:val="center"/>
          </w:tcPr>
          <w:p w:rsidR="00A063B6" w:rsidRDefault="007825CE">
            <w:pPr>
              <w:jc w:val="center"/>
            </w:pPr>
            <w:r>
              <w:rPr>
                <w:color w:val="000000"/>
                <w:sz w:val="24"/>
                <w:szCs w:val="24"/>
              </w:rPr>
              <w:t>5</w:t>
            </w:r>
          </w:p>
        </w:tc>
        <w:tc>
          <w:tcPr>
            <w:tcW w:w="1334" w:type="dxa"/>
            <w:vAlign w:val="center"/>
          </w:tcPr>
          <w:p w:rsidR="00A063B6" w:rsidRDefault="007825CE">
            <w:pPr>
              <w:jc w:val="center"/>
            </w:pPr>
            <w:r>
              <w:rPr>
                <w:color w:val="000000"/>
                <w:sz w:val="24"/>
                <w:szCs w:val="24"/>
              </w:rPr>
              <w:t>300347</w:t>
            </w:r>
          </w:p>
        </w:tc>
        <w:tc>
          <w:tcPr>
            <w:tcW w:w="1777" w:type="dxa"/>
            <w:vAlign w:val="center"/>
          </w:tcPr>
          <w:p w:rsidR="00A063B6" w:rsidRDefault="007825CE">
            <w:pPr>
              <w:jc w:val="center"/>
            </w:pPr>
            <w:r>
              <w:rPr>
                <w:color w:val="000000"/>
                <w:sz w:val="24"/>
                <w:szCs w:val="24"/>
              </w:rPr>
              <w:t>泰格医药</w:t>
            </w:r>
          </w:p>
        </w:tc>
        <w:tc>
          <w:tcPr>
            <w:tcW w:w="1334" w:type="dxa"/>
            <w:vAlign w:val="center"/>
          </w:tcPr>
          <w:p w:rsidR="00A063B6" w:rsidRDefault="007825CE">
            <w:pPr>
              <w:jc w:val="right"/>
            </w:pPr>
            <w:r>
              <w:rPr>
                <w:color w:val="000000"/>
                <w:sz w:val="24"/>
                <w:szCs w:val="24"/>
              </w:rPr>
              <w:t>283,523</w:t>
            </w:r>
          </w:p>
        </w:tc>
        <w:tc>
          <w:tcPr>
            <w:tcW w:w="1924" w:type="dxa"/>
            <w:vAlign w:val="center"/>
          </w:tcPr>
          <w:p w:rsidR="00A063B6" w:rsidRDefault="007825CE">
            <w:pPr>
              <w:jc w:val="right"/>
            </w:pPr>
            <w:r>
              <w:rPr>
                <w:color w:val="000000"/>
                <w:sz w:val="24"/>
                <w:szCs w:val="24"/>
              </w:rPr>
              <w:t>9,665,299.07</w:t>
            </w:r>
          </w:p>
        </w:tc>
        <w:tc>
          <w:tcPr>
            <w:tcW w:w="1644" w:type="dxa"/>
            <w:vAlign w:val="center"/>
          </w:tcPr>
          <w:p w:rsidR="00A063B6" w:rsidRDefault="007825CE">
            <w:pPr>
              <w:jc w:val="right"/>
            </w:pPr>
            <w:r>
              <w:rPr>
                <w:color w:val="000000"/>
                <w:sz w:val="24"/>
                <w:szCs w:val="24"/>
              </w:rPr>
              <w:t>3.08</w:t>
            </w:r>
          </w:p>
        </w:tc>
      </w:tr>
      <w:tr w:rsidR="00A063B6">
        <w:trPr>
          <w:jc w:val="center"/>
        </w:trPr>
        <w:tc>
          <w:tcPr>
            <w:tcW w:w="855" w:type="dxa"/>
            <w:vAlign w:val="center"/>
          </w:tcPr>
          <w:p w:rsidR="00A063B6" w:rsidRDefault="007825CE">
            <w:pPr>
              <w:jc w:val="center"/>
            </w:pPr>
            <w:r>
              <w:rPr>
                <w:color w:val="000000"/>
                <w:sz w:val="24"/>
                <w:szCs w:val="24"/>
              </w:rPr>
              <w:t>6</w:t>
            </w:r>
          </w:p>
        </w:tc>
        <w:tc>
          <w:tcPr>
            <w:tcW w:w="1334" w:type="dxa"/>
            <w:vAlign w:val="center"/>
          </w:tcPr>
          <w:p w:rsidR="00A063B6" w:rsidRDefault="007825CE">
            <w:pPr>
              <w:jc w:val="center"/>
            </w:pPr>
            <w:r>
              <w:rPr>
                <w:color w:val="000000"/>
                <w:sz w:val="24"/>
                <w:szCs w:val="24"/>
              </w:rPr>
              <w:t>600048</w:t>
            </w:r>
          </w:p>
        </w:tc>
        <w:tc>
          <w:tcPr>
            <w:tcW w:w="1777" w:type="dxa"/>
            <w:vAlign w:val="center"/>
          </w:tcPr>
          <w:p w:rsidR="00A063B6" w:rsidRDefault="007825CE">
            <w:pPr>
              <w:jc w:val="center"/>
            </w:pPr>
            <w:r>
              <w:rPr>
                <w:color w:val="000000"/>
                <w:sz w:val="24"/>
                <w:szCs w:val="24"/>
              </w:rPr>
              <w:t>保利地产</w:t>
            </w:r>
          </w:p>
        </w:tc>
        <w:tc>
          <w:tcPr>
            <w:tcW w:w="1334" w:type="dxa"/>
            <w:vAlign w:val="center"/>
          </w:tcPr>
          <w:p w:rsidR="00A063B6" w:rsidRDefault="007825CE">
            <w:pPr>
              <w:jc w:val="right"/>
            </w:pPr>
            <w:r>
              <w:rPr>
                <w:color w:val="000000"/>
                <w:sz w:val="24"/>
                <w:szCs w:val="24"/>
              </w:rPr>
              <w:t>1,700,000</w:t>
            </w:r>
          </w:p>
        </w:tc>
        <w:tc>
          <w:tcPr>
            <w:tcW w:w="1924" w:type="dxa"/>
            <w:vAlign w:val="center"/>
          </w:tcPr>
          <w:p w:rsidR="00A063B6" w:rsidRDefault="007825CE">
            <w:pPr>
              <w:jc w:val="right"/>
            </w:pPr>
            <w:r>
              <w:rPr>
                <w:color w:val="000000"/>
                <w:sz w:val="24"/>
                <w:szCs w:val="24"/>
              </w:rPr>
              <w:t>9,435,000.00</w:t>
            </w:r>
          </w:p>
        </w:tc>
        <w:tc>
          <w:tcPr>
            <w:tcW w:w="1644" w:type="dxa"/>
            <w:vAlign w:val="center"/>
          </w:tcPr>
          <w:p w:rsidR="00A063B6" w:rsidRDefault="007825CE">
            <w:pPr>
              <w:jc w:val="right"/>
            </w:pPr>
            <w:r>
              <w:rPr>
                <w:color w:val="000000"/>
                <w:sz w:val="24"/>
                <w:szCs w:val="24"/>
              </w:rPr>
              <w:t>3.01</w:t>
            </w:r>
          </w:p>
        </w:tc>
      </w:tr>
      <w:tr w:rsidR="00A063B6">
        <w:trPr>
          <w:jc w:val="center"/>
        </w:trPr>
        <w:tc>
          <w:tcPr>
            <w:tcW w:w="855" w:type="dxa"/>
            <w:vAlign w:val="center"/>
          </w:tcPr>
          <w:p w:rsidR="00A063B6" w:rsidRDefault="007825CE">
            <w:pPr>
              <w:jc w:val="center"/>
            </w:pPr>
            <w:r>
              <w:rPr>
                <w:color w:val="000000"/>
                <w:sz w:val="24"/>
                <w:szCs w:val="24"/>
              </w:rPr>
              <w:t>7</w:t>
            </w:r>
          </w:p>
        </w:tc>
        <w:tc>
          <w:tcPr>
            <w:tcW w:w="1334" w:type="dxa"/>
            <w:vAlign w:val="center"/>
          </w:tcPr>
          <w:p w:rsidR="00A063B6" w:rsidRDefault="007825CE">
            <w:pPr>
              <w:jc w:val="center"/>
            </w:pPr>
            <w:r>
              <w:rPr>
                <w:color w:val="000000"/>
                <w:sz w:val="24"/>
                <w:szCs w:val="24"/>
              </w:rPr>
              <w:t>002273</w:t>
            </w:r>
          </w:p>
        </w:tc>
        <w:tc>
          <w:tcPr>
            <w:tcW w:w="1777" w:type="dxa"/>
            <w:vAlign w:val="center"/>
          </w:tcPr>
          <w:p w:rsidR="00A063B6" w:rsidRDefault="007825CE">
            <w:pPr>
              <w:jc w:val="center"/>
            </w:pPr>
            <w:r>
              <w:rPr>
                <w:color w:val="000000"/>
                <w:sz w:val="24"/>
                <w:szCs w:val="24"/>
              </w:rPr>
              <w:t>水晶光电</w:t>
            </w:r>
          </w:p>
        </w:tc>
        <w:tc>
          <w:tcPr>
            <w:tcW w:w="1334" w:type="dxa"/>
            <w:vAlign w:val="center"/>
          </w:tcPr>
          <w:p w:rsidR="00A063B6" w:rsidRDefault="007825CE">
            <w:pPr>
              <w:jc w:val="right"/>
            </w:pPr>
            <w:r>
              <w:rPr>
                <w:color w:val="000000"/>
                <w:sz w:val="24"/>
                <w:szCs w:val="24"/>
              </w:rPr>
              <w:t>400,000</w:t>
            </w:r>
          </w:p>
        </w:tc>
        <w:tc>
          <w:tcPr>
            <w:tcW w:w="1924" w:type="dxa"/>
            <w:vAlign w:val="center"/>
          </w:tcPr>
          <w:p w:rsidR="00A063B6" w:rsidRDefault="007825CE">
            <w:pPr>
              <w:jc w:val="right"/>
            </w:pPr>
            <w:r>
              <w:rPr>
                <w:color w:val="000000"/>
                <w:sz w:val="24"/>
                <w:szCs w:val="24"/>
              </w:rPr>
              <w:t>8,704,000.00</w:t>
            </w:r>
          </w:p>
        </w:tc>
        <w:tc>
          <w:tcPr>
            <w:tcW w:w="1644" w:type="dxa"/>
            <w:vAlign w:val="center"/>
          </w:tcPr>
          <w:p w:rsidR="00A063B6" w:rsidRDefault="007825CE">
            <w:pPr>
              <w:jc w:val="right"/>
            </w:pPr>
            <w:r>
              <w:rPr>
                <w:color w:val="000000"/>
                <w:sz w:val="24"/>
                <w:szCs w:val="24"/>
              </w:rPr>
              <w:t>2.78</w:t>
            </w:r>
          </w:p>
        </w:tc>
      </w:tr>
      <w:tr w:rsidR="00A063B6">
        <w:trPr>
          <w:jc w:val="center"/>
        </w:trPr>
        <w:tc>
          <w:tcPr>
            <w:tcW w:w="855" w:type="dxa"/>
            <w:vAlign w:val="center"/>
          </w:tcPr>
          <w:p w:rsidR="00A063B6" w:rsidRDefault="007825CE">
            <w:pPr>
              <w:jc w:val="center"/>
            </w:pPr>
            <w:r>
              <w:rPr>
                <w:color w:val="000000"/>
                <w:sz w:val="24"/>
                <w:szCs w:val="24"/>
              </w:rPr>
              <w:t>8</w:t>
            </w:r>
          </w:p>
        </w:tc>
        <w:tc>
          <w:tcPr>
            <w:tcW w:w="1334" w:type="dxa"/>
            <w:vAlign w:val="center"/>
          </w:tcPr>
          <w:p w:rsidR="00A063B6" w:rsidRDefault="007825CE">
            <w:pPr>
              <w:jc w:val="center"/>
            </w:pPr>
            <w:r>
              <w:rPr>
                <w:color w:val="000000"/>
                <w:sz w:val="24"/>
                <w:szCs w:val="24"/>
              </w:rPr>
              <w:t>300291</w:t>
            </w:r>
          </w:p>
        </w:tc>
        <w:tc>
          <w:tcPr>
            <w:tcW w:w="1777" w:type="dxa"/>
            <w:vAlign w:val="center"/>
          </w:tcPr>
          <w:p w:rsidR="00A063B6" w:rsidRDefault="007825CE">
            <w:pPr>
              <w:jc w:val="center"/>
            </w:pPr>
            <w:proofErr w:type="gramStart"/>
            <w:r>
              <w:rPr>
                <w:color w:val="000000"/>
                <w:sz w:val="24"/>
                <w:szCs w:val="24"/>
              </w:rPr>
              <w:t>华录百纳</w:t>
            </w:r>
            <w:proofErr w:type="gramEnd"/>
          </w:p>
        </w:tc>
        <w:tc>
          <w:tcPr>
            <w:tcW w:w="1334" w:type="dxa"/>
            <w:vAlign w:val="center"/>
          </w:tcPr>
          <w:p w:rsidR="00A063B6" w:rsidRDefault="007825CE">
            <w:pPr>
              <w:jc w:val="right"/>
            </w:pPr>
            <w:r>
              <w:rPr>
                <w:color w:val="000000"/>
                <w:sz w:val="24"/>
                <w:szCs w:val="24"/>
              </w:rPr>
              <w:t>209,948</w:t>
            </w:r>
          </w:p>
        </w:tc>
        <w:tc>
          <w:tcPr>
            <w:tcW w:w="1924" w:type="dxa"/>
            <w:vAlign w:val="center"/>
          </w:tcPr>
          <w:p w:rsidR="00A063B6" w:rsidRDefault="007825CE">
            <w:pPr>
              <w:jc w:val="right"/>
            </w:pPr>
            <w:r>
              <w:rPr>
                <w:color w:val="000000"/>
                <w:sz w:val="24"/>
                <w:szCs w:val="24"/>
              </w:rPr>
              <w:t>8,355,930.40</w:t>
            </w:r>
          </w:p>
        </w:tc>
        <w:tc>
          <w:tcPr>
            <w:tcW w:w="1644" w:type="dxa"/>
            <w:vAlign w:val="center"/>
          </w:tcPr>
          <w:p w:rsidR="00A063B6" w:rsidRDefault="007825CE">
            <w:pPr>
              <w:jc w:val="right"/>
            </w:pPr>
            <w:r>
              <w:rPr>
                <w:color w:val="000000"/>
                <w:sz w:val="24"/>
                <w:szCs w:val="24"/>
              </w:rPr>
              <w:t>2.67</w:t>
            </w:r>
          </w:p>
        </w:tc>
      </w:tr>
      <w:tr w:rsidR="00A063B6">
        <w:trPr>
          <w:jc w:val="center"/>
        </w:trPr>
        <w:tc>
          <w:tcPr>
            <w:tcW w:w="855" w:type="dxa"/>
            <w:vAlign w:val="center"/>
          </w:tcPr>
          <w:p w:rsidR="00A063B6" w:rsidRDefault="007825CE">
            <w:pPr>
              <w:jc w:val="center"/>
            </w:pPr>
            <w:r>
              <w:rPr>
                <w:color w:val="000000"/>
                <w:sz w:val="24"/>
                <w:szCs w:val="24"/>
              </w:rPr>
              <w:t>9</w:t>
            </w:r>
          </w:p>
        </w:tc>
        <w:tc>
          <w:tcPr>
            <w:tcW w:w="1334" w:type="dxa"/>
            <w:vAlign w:val="center"/>
          </w:tcPr>
          <w:p w:rsidR="00A063B6" w:rsidRDefault="007825CE">
            <w:pPr>
              <w:jc w:val="center"/>
            </w:pPr>
            <w:r>
              <w:rPr>
                <w:color w:val="000000"/>
                <w:sz w:val="24"/>
                <w:szCs w:val="24"/>
              </w:rPr>
              <w:t>002568</w:t>
            </w:r>
          </w:p>
        </w:tc>
        <w:tc>
          <w:tcPr>
            <w:tcW w:w="1777" w:type="dxa"/>
            <w:vAlign w:val="center"/>
          </w:tcPr>
          <w:p w:rsidR="00A063B6" w:rsidRDefault="007825CE">
            <w:pPr>
              <w:jc w:val="center"/>
            </w:pPr>
            <w:proofErr w:type="gramStart"/>
            <w:r>
              <w:rPr>
                <w:color w:val="000000"/>
                <w:sz w:val="24"/>
                <w:szCs w:val="24"/>
              </w:rPr>
              <w:t>百润股份</w:t>
            </w:r>
            <w:proofErr w:type="gramEnd"/>
          </w:p>
        </w:tc>
        <w:tc>
          <w:tcPr>
            <w:tcW w:w="1334" w:type="dxa"/>
            <w:vAlign w:val="center"/>
          </w:tcPr>
          <w:p w:rsidR="00A063B6" w:rsidRDefault="007825CE">
            <w:pPr>
              <w:jc w:val="right"/>
            </w:pPr>
            <w:r>
              <w:rPr>
                <w:color w:val="000000"/>
                <w:sz w:val="24"/>
                <w:szCs w:val="24"/>
              </w:rPr>
              <w:t>200,000</w:t>
            </w:r>
          </w:p>
        </w:tc>
        <w:tc>
          <w:tcPr>
            <w:tcW w:w="1924" w:type="dxa"/>
            <w:vAlign w:val="center"/>
          </w:tcPr>
          <w:p w:rsidR="00A063B6" w:rsidRDefault="007825CE">
            <w:pPr>
              <w:jc w:val="right"/>
            </w:pPr>
            <w:r>
              <w:rPr>
                <w:color w:val="000000"/>
                <w:sz w:val="24"/>
                <w:szCs w:val="24"/>
              </w:rPr>
              <w:t>8,140,000.00</w:t>
            </w:r>
          </w:p>
        </w:tc>
        <w:tc>
          <w:tcPr>
            <w:tcW w:w="1644" w:type="dxa"/>
            <w:vAlign w:val="center"/>
          </w:tcPr>
          <w:p w:rsidR="00A063B6" w:rsidRDefault="007825CE">
            <w:pPr>
              <w:jc w:val="right"/>
            </w:pPr>
            <w:r>
              <w:rPr>
                <w:color w:val="000000"/>
                <w:sz w:val="24"/>
                <w:szCs w:val="24"/>
              </w:rPr>
              <w:t>2.60</w:t>
            </w:r>
          </w:p>
        </w:tc>
      </w:tr>
      <w:tr w:rsidR="00A063B6">
        <w:trPr>
          <w:jc w:val="center"/>
        </w:trPr>
        <w:tc>
          <w:tcPr>
            <w:tcW w:w="855" w:type="dxa"/>
            <w:vAlign w:val="center"/>
          </w:tcPr>
          <w:p w:rsidR="00A063B6" w:rsidRDefault="007825CE">
            <w:pPr>
              <w:jc w:val="center"/>
            </w:pPr>
            <w:r>
              <w:rPr>
                <w:color w:val="000000"/>
                <w:sz w:val="24"/>
                <w:szCs w:val="24"/>
              </w:rPr>
              <w:t>10</w:t>
            </w:r>
          </w:p>
        </w:tc>
        <w:tc>
          <w:tcPr>
            <w:tcW w:w="1334" w:type="dxa"/>
            <w:vAlign w:val="center"/>
          </w:tcPr>
          <w:p w:rsidR="00A063B6" w:rsidRDefault="007825CE">
            <w:pPr>
              <w:jc w:val="center"/>
            </w:pPr>
            <w:r>
              <w:rPr>
                <w:color w:val="000000"/>
                <w:sz w:val="24"/>
                <w:szCs w:val="24"/>
              </w:rPr>
              <w:t>603005</w:t>
            </w:r>
          </w:p>
        </w:tc>
        <w:tc>
          <w:tcPr>
            <w:tcW w:w="1777" w:type="dxa"/>
            <w:vAlign w:val="center"/>
          </w:tcPr>
          <w:p w:rsidR="00A063B6" w:rsidRDefault="007825CE">
            <w:pPr>
              <w:jc w:val="center"/>
            </w:pPr>
            <w:proofErr w:type="gramStart"/>
            <w:r>
              <w:rPr>
                <w:color w:val="000000"/>
                <w:sz w:val="24"/>
                <w:szCs w:val="24"/>
              </w:rPr>
              <w:t>晶方科技</w:t>
            </w:r>
            <w:proofErr w:type="gramEnd"/>
          </w:p>
        </w:tc>
        <w:tc>
          <w:tcPr>
            <w:tcW w:w="1334" w:type="dxa"/>
            <w:vAlign w:val="center"/>
          </w:tcPr>
          <w:p w:rsidR="00A063B6" w:rsidRDefault="007825CE">
            <w:pPr>
              <w:jc w:val="right"/>
            </w:pPr>
            <w:r>
              <w:rPr>
                <w:color w:val="000000"/>
                <w:sz w:val="24"/>
                <w:szCs w:val="24"/>
              </w:rPr>
              <w:t>170,000</w:t>
            </w:r>
          </w:p>
        </w:tc>
        <w:tc>
          <w:tcPr>
            <w:tcW w:w="1924" w:type="dxa"/>
            <w:vAlign w:val="center"/>
          </w:tcPr>
          <w:p w:rsidR="00A063B6" w:rsidRDefault="007825CE">
            <w:pPr>
              <w:jc w:val="right"/>
            </w:pPr>
            <w:r>
              <w:rPr>
                <w:color w:val="000000"/>
                <w:sz w:val="24"/>
                <w:szCs w:val="24"/>
              </w:rPr>
              <w:t>8,119,200.00</w:t>
            </w:r>
          </w:p>
        </w:tc>
        <w:tc>
          <w:tcPr>
            <w:tcW w:w="1644" w:type="dxa"/>
            <w:vAlign w:val="center"/>
          </w:tcPr>
          <w:p w:rsidR="00A063B6" w:rsidRDefault="007825CE">
            <w:pPr>
              <w:jc w:val="right"/>
            </w:pPr>
            <w:r>
              <w:rPr>
                <w:color w:val="000000"/>
                <w:sz w:val="24"/>
                <w:szCs w:val="24"/>
              </w:rPr>
              <w:t>2.59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8D48F1" w:rsidRPr="00414345" w:rsidRDefault="008D48F1" w:rsidP="008D48F1">
      <w:pPr>
        <w:autoSpaceDE w:val="0"/>
        <w:autoSpaceDN w:val="0"/>
        <w:adjustRightInd w:val="0"/>
        <w:spacing w:before="29" w:line="288" w:lineRule="auto"/>
        <w:jc w:val="left"/>
        <w:rPr>
          <w:color w:val="000000"/>
          <w:sz w:val="24"/>
          <w:szCs w:val="24"/>
        </w:rPr>
      </w:pPr>
      <w:r>
        <w:rPr>
          <w:color w:val="000000"/>
          <w:sz w:val="24"/>
          <w:szCs w:val="24"/>
        </w:rPr>
        <w:t>本基金本报告期末未</w:t>
      </w:r>
      <w:r>
        <w:rPr>
          <w:rFonts w:hint="eastAsia"/>
          <w:color w:val="000000"/>
          <w:sz w:val="24"/>
          <w:szCs w:val="24"/>
        </w:rPr>
        <w:t>持有贵金属。</w:t>
      </w:r>
    </w:p>
    <w:p w:rsidR="008D48F1" w:rsidRDefault="008D48F1"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50,797.03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77,544.09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128,341.12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0F5CD2" w:rsidRDefault="000F5CD2" w:rsidP="00C15CAC">
      <w:pPr>
        <w:autoSpaceDE w:val="0"/>
        <w:autoSpaceDN w:val="0"/>
        <w:adjustRightInd w:val="0"/>
        <w:spacing w:before="29" w:line="288" w:lineRule="auto"/>
        <w:jc w:val="left"/>
        <w:rPr>
          <w:color w:val="000000"/>
          <w:sz w:val="24"/>
          <w:szCs w:val="24"/>
        </w:rPr>
      </w:pPr>
    </w:p>
    <w:p w:rsidR="00E50513" w:rsidRPr="00E50513" w:rsidRDefault="00E50513" w:rsidP="00E50513">
      <w:pPr>
        <w:autoSpaceDE w:val="0"/>
        <w:autoSpaceDN w:val="0"/>
        <w:adjustRightInd w:val="0"/>
        <w:spacing w:before="29" w:line="288" w:lineRule="auto"/>
        <w:jc w:val="left"/>
        <w:rPr>
          <w:color w:val="000000"/>
          <w:sz w:val="24"/>
          <w:szCs w:val="24"/>
        </w:rPr>
      </w:pPr>
      <w:r w:rsidRPr="00E50513">
        <w:rPr>
          <w:rFonts w:hint="eastAsia"/>
          <w:color w:val="000000"/>
          <w:sz w:val="24"/>
          <w:szCs w:val="24"/>
        </w:rPr>
        <w:t xml:space="preserve">5.11.6 </w:t>
      </w:r>
      <w:r w:rsidRPr="00E50513">
        <w:rPr>
          <w:rFonts w:hint="eastAsia"/>
          <w:color w:val="000000"/>
          <w:sz w:val="24"/>
          <w:szCs w:val="24"/>
        </w:rPr>
        <w:t>投资组合报告附注的其他文字描述部分</w:t>
      </w:r>
    </w:p>
    <w:p w:rsidR="000F5CD2" w:rsidRPr="00414345" w:rsidRDefault="00E50513" w:rsidP="00E50513">
      <w:pPr>
        <w:autoSpaceDE w:val="0"/>
        <w:autoSpaceDN w:val="0"/>
        <w:adjustRightInd w:val="0"/>
        <w:spacing w:before="29" w:line="288" w:lineRule="auto"/>
        <w:jc w:val="left"/>
        <w:rPr>
          <w:color w:val="000000"/>
          <w:sz w:val="24"/>
          <w:szCs w:val="24"/>
        </w:rPr>
      </w:pPr>
      <w:r w:rsidRPr="00E50513">
        <w:rPr>
          <w:rFonts w:hint="eastAsia"/>
          <w:color w:val="000000"/>
          <w:sz w:val="24"/>
          <w:szCs w:val="24"/>
        </w:rPr>
        <w:t>由于四舍五入的原因，分项之和与合计项之间可能存在尾差。</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271F3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391,615,340.98</w:t>
            </w:r>
          </w:p>
        </w:tc>
      </w:tr>
      <w:tr w:rsidR="004061AC" w:rsidRPr="00414345" w:rsidTr="00271F3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5,951,113.48</w:t>
            </w:r>
          </w:p>
        </w:tc>
      </w:tr>
      <w:tr w:rsidR="004061AC" w:rsidRPr="00414345" w:rsidTr="00271F3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98,570,562.40</w:t>
            </w:r>
          </w:p>
        </w:tc>
      </w:tr>
      <w:tr w:rsidR="004061AC" w:rsidRPr="00414345" w:rsidTr="00271F3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271F3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298,995,892.06</w:t>
            </w:r>
          </w:p>
        </w:tc>
      </w:tr>
    </w:tbl>
    <w:p w:rsidR="00271F3C" w:rsidRPr="00271F3C" w:rsidRDefault="00271F3C" w:rsidP="00271F3C">
      <w:pPr>
        <w:autoSpaceDE w:val="0"/>
        <w:autoSpaceDN w:val="0"/>
        <w:adjustRightInd w:val="0"/>
        <w:spacing w:before="29" w:line="288" w:lineRule="auto"/>
        <w:jc w:val="left"/>
        <w:rPr>
          <w:color w:val="000000"/>
          <w:sz w:val="24"/>
          <w:szCs w:val="24"/>
        </w:rPr>
      </w:pPr>
      <w:r w:rsidRPr="00271F3C">
        <w:rPr>
          <w:rFonts w:hint="eastAsia"/>
          <w:color w:val="000000"/>
          <w:sz w:val="24"/>
          <w:szCs w:val="24"/>
        </w:rPr>
        <w:t>注：</w:t>
      </w:r>
      <w:r w:rsidRPr="00271F3C">
        <w:rPr>
          <w:rFonts w:hint="eastAsia"/>
          <w:color w:val="000000"/>
          <w:sz w:val="24"/>
          <w:szCs w:val="24"/>
        </w:rPr>
        <w:t>1</w:t>
      </w:r>
      <w:r w:rsidRPr="00271F3C">
        <w:rPr>
          <w:rFonts w:hint="eastAsia"/>
          <w:color w:val="000000"/>
          <w:sz w:val="24"/>
          <w:szCs w:val="24"/>
        </w:rPr>
        <w:t>、如果本报告期间发生转换入、红利再投业务，则总申购份额中包含该业务；</w:t>
      </w:r>
      <w:r w:rsidRPr="00271F3C">
        <w:rPr>
          <w:rFonts w:hint="eastAsia"/>
          <w:color w:val="000000"/>
          <w:sz w:val="24"/>
          <w:szCs w:val="24"/>
        </w:rPr>
        <w:t xml:space="preserve">     </w:t>
      </w:r>
    </w:p>
    <w:p w:rsidR="00320E90" w:rsidRDefault="00271F3C" w:rsidP="000F5CD2">
      <w:pPr>
        <w:autoSpaceDE w:val="0"/>
        <w:autoSpaceDN w:val="0"/>
        <w:adjustRightInd w:val="0"/>
        <w:spacing w:before="29" w:line="288" w:lineRule="auto"/>
        <w:ind w:firstLine="465"/>
        <w:jc w:val="left"/>
        <w:rPr>
          <w:color w:val="000000"/>
          <w:sz w:val="24"/>
          <w:szCs w:val="24"/>
        </w:rPr>
      </w:pPr>
      <w:r w:rsidRPr="00271F3C">
        <w:rPr>
          <w:rFonts w:hint="eastAsia"/>
          <w:color w:val="000000"/>
          <w:sz w:val="24"/>
          <w:szCs w:val="24"/>
        </w:rPr>
        <w:t>2</w:t>
      </w:r>
      <w:r w:rsidRPr="00271F3C">
        <w:rPr>
          <w:rFonts w:hint="eastAsia"/>
          <w:color w:val="000000"/>
          <w:sz w:val="24"/>
          <w:szCs w:val="24"/>
        </w:rPr>
        <w:t>、如果本报告期间发生转换出业务，则总赎回份额中包含该业务。</w:t>
      </w:r>
    </w:p>
    <w:p w:rsidR="000F5CD2" w:rsidRPr="000F5CD2" w:rsidRDefault="000F5CD2" w:rsidP="000F5CD2">
      <w:pPr>
        <w:autoSpaceDE w:val="0"/>
        <w:autoSpaceDN w:val="0"/>
        <w:adjustRightInd w:val="0"/>
        <w:spacing w:before="29" w:line="288" w:lineRule="auto"/>
        <w:ind w:firstLine="465"/>
        <w:jc w:val="left"/>
        <w:rPr>
          <w:color w:val="000000"/>
          <w:sz w:val="24"/>
          <w:szCs w:val="24"/>
        </w:rPr>
      </w:pPr>
    </w:p>
    <w:p w:rsidR="00B0284F" w:rsidRPr="00ED2620" w:rsidRDefault="00B0284F" w:rsidP="00A73B0E">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R="00B0284F" w:rsidRPr="00ED2620" w:rsidRDefault="00B0284F" w:rsidP="00B0284F">
      <w:pPr>
        <w:spacing w:line="288" w:lineRule="auto"/>
        <w:jc w:val="left"/>
        <w:rPr>
          <w:sz w:val="24"/>
          <w:szCs w:val="24"/>
        </w:rPr>
      </w:pPr>
      <w:r w:rsidRPr="00ED2620">
        <w:rPr>
          <w:b/>
          <w:sz w:val="24"/>
        </w:rPr>
        <w:t xml:space="preserve">7.1 </w:t>
      </w:r>
      <w:r w:rsidRPr="00ED2620">
        <w:rPr>
          <w:b/>
          <w:sz w:val="24"/>
        </w:rPr>
        <w:t>基金管理人持有本基金份额变动情况</w:t>
      </w:r>
    </w:p>
    <w:p w:rsidR="00B0284F" w:rsidRDefault="00B0284F" w:rsidP="00B0284F">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B0284F" w:rsidRDefault="00B0284F" w:rsidP="00B0284F">
      <w:pPr>
        <w:autoSpaceDE w:val="0"/>
        <w:autoSpaceDN w:val="0"/>
        <w:adjustRightInd w:val="0"/>
        <w:spacing w:before="29" w:line="288" w:lineRule="auto"/>
        <w:jc w:val="left"/>
        <w:rPr>
          <w:rFonts w:eastAsiaTheme="minorEastAsia"/>
          <w:color w:val="000000"/>
          <w:sz w:val="24"/>
        </w:rPr>
      </w:pPr>
    </w:p>
    <w:p w:rsidR="00B0284F" w:rsidRPr="00BB5E0E" w:rsidRDefault="00B0284F" w:rsidP="00B0284F">
      <w:pPr>
        <w:spacing w:line="288" w:lineRule="auto"/>
        <w:jc w:val="left"/>
        <w:rPr>
          <w:b/>
          <w:sz w:val="24"/>
        </w:rPr>
      </w:pPr>
      <w:r w:rsidRPr="00410630">
        <w:rPr>
          <w:b/>
          <w:sz w:val="24"/>
        </w:rPr>
        <w:t>7.2</w:t>
      </w:r>
      <w:r>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B0284F" w:rsidRPr="00414345" w:rsidRDefault="00B0284F" w:rsidP="00B0284F">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B0284F" w:rsidRPr="00B0284F" w:rsidRDefault="00B0284F" w:rsidP="00C15CAC">
      <w:pPr>
        <w:autoSpaceDE w:val="0"/>
        <w:autoSpaceDN w:val="0"/>
        <w:adjustRightInd w:val="0"/>
        <w:spacing w:before="29" w:line="288" w:lineRule="auto"/>
        <w:jc w:val="left"/>
        <w:rPr>
          <w:color w:val="000000"/>
          <w:sz w:val="24"/>
          <w:szCs w:val="24"/>
        </w:rPr>
      </w:pPr>
    </w:p>
    <w:p w:rsidR="004061AC" w:rsidRPr="00414345" w:rsidRDefault="004061AC" w:rsidP="00A73B0E">
      <w:pPr>
        <w:pStyle w:val="1"/>
        <w:spacing w:beforeLines="100" w:afterLines="100" w:line="288" w:lineRule="auto"/>
        <w:jc w:val="center"/>
        <w:rPr>
          <w:color w:val="000000"/>
          <w:kern w:val="0"/>
          <w:sz w:val="24"/>
          <w:szCs w:val="24"/>
        </w:rPr>
      </w:pPr>
      <w:r w:rsidRPr="00414345">
        <w:rPr>
          <w:color w:val="000000"/>
          <w:kern w:val="0"/>
          <w:sz w:val="24"/>
          <w:szCs w:val="24"/>
        </w:rPr>
        <w:t>§</w:t>
      </w:r>
      <w:r w:rsidR="00B0284F">
        <w:rPr>
          <w:rFonts w:hint="eastAsia"/>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7</w:t>
      </w:r>
      <w:r w:rsidRPr="00414345">
        <w:rPr>
          <w:color w:val="000000"/>
          <w:sz w:val="24"/>
          <w:szCs w:val="24"/>
        </w:rPr>
        <w:t>日，本基金托管人招商银行股份有限公司托管部负责人由吴晓辉变更为姜然。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73B0E">
      <w:pPr>
        <w:pStyle w:val="1"/>
        <w:spacing w:beforeLines="100" w:afterLines="100" w:line="288" w:lineRule="auto"/>
        <w:jc w:val="center"/>
        <w:rPr>
          <w:color w:val="000000"/>
          <w:kern w:val="0"/>
          <w:sz w:val="24"/>
          <w:szCs w:val="24"/>
        </w:rPr>
      </w:pPr>
      <w:r w:rsidRPr="00414345">
        <w:rPr>
          <w:color w:val="000000"/>
          <w:kern w:val="0"/>
          <w:sz w:val="24"/>
          <w:szCs w:val="24"/>
        </w:rPr>
        <w:t>§</w:t>
      </w:r>
      <w:r w:rsidR="00B0284F">
        <w:rPr>
          <w:rFonts w:hint="eastAsia"/>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063B6" w:rsidRDefault="007825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A063B6" w:rsidRDefault="007825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、《交银施罗德新成长股票型证券投资基金基金合同》；</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、《交银施罗德新成长股票型证券投资基金招募说明书》；</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、《交银施罗德新成长股票型证券投资基金托管协议》；</w:t>
      </w:r>
    </w:p>
    <w:p w:rsidR="00A063B6" w:rsidRDefault="007825C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A063B6" w:rsidRDefault="007825C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063B6" w:rsidRDefault="007825C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063B6" w:rsidRDefault="007825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FE" w:rsidRDefault="004C05FE" w:rsidP="00876D65">
      <w:r>
        <w:separator/>
      </w:r>
    </w:p>
  </w:endnote>
  <w:endnote w:type="continuationSeparator" w:id="0">
    <w:p w:rsidR="004C05FE" w:rsidRDefault="004C05FE"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A81ABF">
      <w:rPr>
        <w:kern w:val="0"/>
        <w:szCs w:val="21"/>
      </w:rPr>
      <w:fldChar w:fldCharType="begin"/>
    </w:r>
    <w:r>
      <w:rPr>
        <w:kern w:val="0"/>
        <w:szCs w:val="21"/>
      </w:rPr>
      <w:instrText xml:space="preserve"> PAGE </w:instrText>
    </w:r>
    <w:r w:rsidR="00A81ABF">
      <w:rPr>
        <w:kern w:val="0"/>
        <w:szCs w:val="21"/>
      </w:rPr>
      <w:fldChar w:fldCharType="separate"/>
    </w:r>
    <w:r w:rsidR="00A73B0E">
      <w:rPr>
        <w:noProof/>
        <w:kern w:val="0"/>
        <w:szCs w:val="21"/>
      </w:rPr>
      <w:t>7</w:t>
    </w:r>
    <w:r w:rsidR="00A81ABF">
      <w:rPr>
        <w:kern w:val="0"/>
        <w:szCs w:val="21"/>
      </w:rPr>
      <w:fldChar w:fldCharType="end"/>
    </w:r>
    <w:proofErr w:type="gramStart"/>
    <w:r>
      <w:rPr>
        <w:rFonts w:hint="eastAsia"/>
        <w:kern w:val="0"/>
        <w:szCs w:val="21"/>
      </w:rPr>
      <w:t>页共</w:t>
    </w:r>
    <w:proofErr w:type="gramEnd"/>
    <w:r w:rsidR="00A81ABF">
      <w:rPr>
        <w:kern w:val="0"/>
        <w:szCs w:val="21"/>
      </w:rPr>
      <w:fldChar w:fldCharType="begin"/>
    </w:r>
    <w:r>
      <w:rPr>
        <w:kern w:val="0"/>
        <w:szCs w:val="21"/>
      </w:rPr>
      <w:instrText xml:space="preserve"> NUMPAGES </w:instrText>
    </w:r>
    <w:r w:rsidR="00A81ABF">
      <w:rPr>
        <w:kern w:val="0"/>
        <w:szCs w:val="21"/>
      </w:rPr>
      <w:fldChar w:fldCharType="separate"/>
    </w:r>
    <w:r w:rsidR="00A73B0E">
      <w:rPr>
        <w:noProof/>
        <w:kern w:val="0"/>
        <w:szCs w:val="21"/>
      </w:rPr>
      <w:t>11</w:t>
    </w:r>
    <w:r w:rsidR="00A81ABF">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FE" w:rsidRDefault="004C05FE" w:rsidP="00876D65">
      <w:r>
        <w:separator/>
      </w:r>
    </w:p>
  </w:footnote>
  <w:footnote w:type="continuationSeparator" w:id="0">
    <w:p w:rsidR="004C05FE" w:rsidRDefault="004C05FE"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9438D"/>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5CD2"/>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1F3C"/>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5FE"/>
    <w:rsid w:val="004C0914"/>
    <w:rsid w:val="004C702F"/>
    <w:rsid w:val="004D340C"/>
    <w:rsid w:val="004D495A"/>
    <w:rsid w:val="004E5975"/>
    <w:rsid w:val="004E790A"/>
    <w:rsid w:val="004F1A4E"/>
    <w:rsid w:val="004F50FD"/>
    <w:rsid w:val="00500A03"/>
    <w:rsid w:val="005037BB"/>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25CE"/>
    <w:rsid w:val="0078745D"/>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46AC4"/>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48F1"/>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63B6"/>
    <w:rsid w:val="00A21300"/>
    <w:rsid w:val="00A22AD0"/>
    <w:rsid w:val="00A22DA8"/>
    <w:rsid w:val="00A3030E"/>
    <w:rsid w:val="00A31574"/>
    <w:rsid w:val="00A31671"/>
    <w:rsid w:val="00A324F4"/>
    <w:rsid w:val="00A36930"/>
    <w:rsid w:val="00A45320"/>
    <w:rsid w:val="00A504C9"/>
    <w:rsid w:val="00A53905"/>
    <w:rsid w:val="00A54C7D"/>
    <w:rsid w:val="00A5612C"/>
    <w:rsid w:val="00A5689C"/>
    <w:rsid w:val="00A57AE4"/>
    <w:rsid w:val="00A63F19"/>
    <w:rsid w:val="00A669FC"/>
    <w:rsid w:val="00A66F42"/>
    <w:rsid w:val="00A73B0E"/>
    <w:rsid w:val="00A76625"/>
    <w:rsid w:val="00A81ABF"/>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284F"/>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055"/>
    <w:rsid w:val="00C53472"/>
    <w:rsid w:val="00C53D1B"/>
    <w:rsid w:val="00C5642F"/>
    <w:rsid w:val="00C56993"/>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B6E25"/>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0513"/>
    <w:rsid w:val="00E52DBC"/>
    <w:rsid w:val="00E54301"/>
    <w:rsid w:val="00E54BF5"/>
    <w:rsid w:val="00E55ABD"/>
    <w:rsid w:val="00E60817"/>
    <w:rsid w:val="00E62DE5"/>
    <w:rsid w:val="00E705CC"/>
    <w:rsid w:val="00E77119"/>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2968"/>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428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0C6E-1A33-42B3-BC0F-D557C846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黄莹</cp:lastModifiedBy>
  <cp:revision>3</cp:revision>
  <dcterms:created xsi:type="dcterms:W3CDTF">2014-10-21T03:18:00Z</dcterms:created>
  <dcterms:modified xsi:type="dcterms:W3CDTF">2014-10-24T08:06:00Z</dcterms:modified>
</cp:coreProperties>
</file>