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交银施罗德周期回报灵活配置混合型证券投资基金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2014</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2014</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二〇一四年十月二十四日</w:t>
      </w:r>
    </w:p>
    <w:p w:rsidR="004061AC" w:rsidRPr="00414345" w:rsidRDefault="004061AC" w:rsidP="007179CA">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DF5465" w:rsidRDefault="007179CA">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DF5465" w:rsidRDefault="007179CA">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23</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DF5465" w:rsidRDefault="007179CA">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DF5465" w:rsidRDefault="007179CA">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DF5465" w:rsidRDefault="007179CA">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179CA">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AA6513">
        <w:trPr>
          <w:jc w:val="center"/>
        </w:trPr>
        <w:tc>
          <w:tcPr>
            <w:tcW w:w="2835"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479"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交银周期回报灵活配置混合</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519738</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739"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519738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740"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519739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2014</w:t>
            </w:r>
            <w:r w:rsidRPr="00414345">
              <w:rPr>
                <w:color w:val="000000"/>
                <w:kern w:val="0"/>
                <w:sz w:val="24"/>
                <w:szCs w:val="24"/>
              </w:rPr>
              <w:t>年</w:t>
            </w:r>
            <w:r w:rsidRPr="00414345">
              <w:rPr>
                <w:color w:val="000000"/>
                <w:kern w:val="0"/>
                <w:sz w:val="24"/>
                <w:szCs w:val="24"/>
              </w:rPr>
              <w:t>5</w:t>
            </w:r>
            <w:r w:rsidRPr="00414345">
              <w:rPr>
                <w:color w:val="000000"/>
                <w:kern w:val="0"/>
                <w:sz w:val="24"/>
                <w:szCs w:val="24"/>
              </w:rPr>
              <w:t>月</w:t>
            </w:r>
            <w:r w:rsidRPr="00414345">
              <w:rPr>
                <w:color w:val="000000"/>
                <w:kern w:val="0"/>
                <w:sz w:val="24"/>
                <w:szCs w:val="24"/>
              </w:rPr>
              <w:t>22</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447,853,977.14</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本基金充分发挥资产管理人的研究优势，在分析和判断宏观经济周期和金融市场运行趋势的基础上，运用交银施罗德投资时钟分析框架，自上而下调整基金大类资产配置比例和股票行业配置比例，确定债券</w:t>
            </w:r>
            <w:proofErr w:type="gramStart"/>
            <w:r w:rsidRPr="00414345">
              <w:rPr>
                <w:color w:val="000000"/>
                <w:kern w:val="0"/>
                <w:sz w:val="24"/>
                <w:szCs w:val="24"/>
              </w:rPr>
              <w:t>组合久期和</w:t>
            </w:r>
            <w:proofErr w:type="gramEnd"/>
            <w:r w:rsidRPr="00414345">
              <w:rPr>
                <w:color w:val="000000"/>
                <w:kern w:val="0"/>
                <w:sz w:val="24"/>
                <w:szCs w:val="24"/>
              </w:rPr>
              <w:t>债券类别配置；在严谨深入的股票和债券研究分析基础上，自下而上精选股票和债券。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+50%×</w:t>
            </w:r>
            <w:r w:rsidRPr="00414345">
              <w:rPr>
                <w:color w:val="000000"/>
                <w:kern w:val="0"/>
                <w:sz w:val="24"/>
                <w:szCs w:val="24"/>
              </w:rPr>
              <w:t>中</w:t>
            </w:r>
            <w:proofErr w:type="gramStart"/>
            <w:r w:rsidRPr="00414345">
              <w:rPr>
                <w:color w:val="000000"/>
                <w:kern w:val="0"/>
                <w:sz w:val="24"/>
                <w:szCs w:val="24"/>
              </w:rPr>
              <w:t>债综合全价指数</w:t>
            </w:r>
            <w:proofErr w:type="gramEnd"/>
            <w:r w:rsidRPr="00414345">
              <w:rPr>
                <w:color w:val="000000"/>
                <w:kern w:val="0"/>
                <w:sz w:val="24"/>
                <w:szCs w:val="24"/>
              </w:rPr>
              <w:t>收</w:t>
            </w:r>
            <w:r w:rsidRPr="00414345">
              <w:rPr>
                <w:color w:val="000000"/>
                <w:kern w:val="0"/>
                <w:sz w:val="24"/>
                <w:szCs w:val="24"/>
              </w:rPr>
              <w:lastRenderedPageBreak/>
              <w:t>益率</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本基金是一只混合型基金，其长期平均风险和预期收益高于债券型基金和货币市场基金，低于股票型基金。</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179CA">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7179CA" w:rsidRPr="00414345" w:rsidTr="007179CA">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7179CA" w:rsidRPr="00414345" w:rsidTr="007179C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4,378,899.38</w:t>
            </w:r>
          </w:p>
        </w:tc>
      </w:tr>
      <w:tr w:rsidR="007179CA" w:rsidRPr="00414345" w:rsidTr="007179C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27,079,618.11</w:t>
            </w:r>
          </w:p>
        </w:tc>
      </w:tr>
      <w:tr w:rsidR="007179CA" w:rsidRPr="00414345" w:rsidTr="007179C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0.0514</w:t>
            </w:r>
          </w:p>
        </w:tc>
      </w:tr>
      <w:tr w:rsidR="007179CA" w:rsidRPr="00414345" w:rsidTr="007179C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475,188,805.62</w:t>
            </w:r>
          </w:p>
        </w:tc>
      </w:tr>
      <w:tr w:rsidR="007179CA" w:rsidRPr="00414345" w:rsidTr="007179CA">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1.061</w:t>
            </w:r>
          </w:p>
        </w:tc>
      </w:tr>
    </w:tbl>
    <w:p w:rsidR="00DF5465" w:rsidRDefault="007179CA">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DF5465">
        <w:trPr>
          <w:jc w:val="center"/>
        </w:trPr>
        <w:tc>
          <w:tcPr>
            <w:tcW w:w="1701" w:type="dxa"/>
            <w:vAlign w:val="center"/>
          </w:tcPr>
          <w:p w:rsidR="00DF5465" w:rsidRDefault="007179CA">
            <w:pPr>
              <w:jc w:val="left"/>
            </w:pPr>
            <w:r>
              <w:rPr>
                <w:color w:val="000000"/>
                <w:sz w:val="24"/>
                <w:szCs w:val="24"/>
              </w:rPr>
              <w:t>过去三个月</w:t>
            </w:r>
          </w:p>
        </w:tc>
        <w:tc>
          <w:tcPr>
            <w:tcW w:w="1045" w:type="dxa"/>
            <w:vAlign w:val="center"/>
          </w:tcPr>
          <w:p w:rsidR="00DF5465" w:rsidRDefault="007179CA">
            <w:pPr>
              <w:jc w:val="center"/>
            </w:pPr>
            <w:r>
              <w:rPr>
                <w:color w:val="000000"/>
                <w:sz w:val="24"/>
                <w:szCs w:val="24"/>
              </w:rPr>
              <w:t>5.36%</w:t>
            </w:r>
          </w:p>
        </w:tc>
        <w:tc>
          <w:tcPr>
            <w:tcW w:w="1344" w:type="dxa"/>
            <w:vAlign w:val="center"/>
          </w:tcPr>
          <w:p w:rsidR="00DF5465" w:rsidRDefault="007179CA">
            <w:pPr>
              <w:jc w:val="center"/>
            </w:pPr>
            <w:r>
              <w:rPr>
                <w:color w:val="000000"/>
                <w:sz w:val="24"/>
                <w:szCs w:val="24"/>
              </w:rPr>
              <w:t>0.28%</w:t>
            </w:r>
          </w:p>
        </w:tc>
        <w:tc>
          <w:tcPr>
            <w:tcW w:w="1194" w:type="dxa"/>
            <w:vAlign w:val="center"/>
          </w:tcPr>
          <w:p w:rsidR="00DF5465" w:rsidRDefault="007179CA">
            <w:pPr>
              <w:jc w:val="center"/>
            </w:pPr>
            <w:r>
              <w:rPr>
                <w:color w:val="000000"/>
                <w:sz w:val="24"/>
                <w:szCs w:val="24"/>
              </w:rPr>
              <w:t>6.84%</w:t>
            </w:r>
          </w:p>
        </w:tc>
        <w:tc>
          <w:tcPr>
            <w:tcW w:w="1492" w:type="dxa"/>
            <w:vAlign w:val="center"/>
          </w:tcPr>
          <w:p w:rsidR="00DF5465" w:rsidRDefault="007179CA">
            <w:pPr>
              <w:jc w:val="center"/>
            </w:pPr>
            <w:r>
              <w:rPr>
                <w:color w:val="000000"/>
                <w:sz w:val="24"/>
                <w:szCs w:val="24"/>
              </w:rPr>
              <w:t>0.45%</w:t>
            </w:r>
          </w:p>
        </w:tc>
        <w:tc>
          <w:tcPr>
            <w:tcW w:w="1194" w:type="dxa"/>
            <w:vAlign w:val="center"/>
          </w:tcPr>
          <w:p w:rsidR="00DF5465" w:rsidRDefault="007179CA">
            <w:pPr>
              <w:jc w:val="center"/>
            </w:pPr>
            <w:r>
              <w:rPr>
                <w:color w:val="000000"/>
                <w:sz w:val="24"/>
                <w:szCs w:val="24"/>
              </w:rPr>
              <w:t>-1.48%</w:t>
            </w:r>
          </w:p>
        </w:tc>
        <w:tc>
          <w:tcPr>
            <w:tcW w:w="898" w:type="dxa"/>
            <w:vAlign w:val="center"/>
          </w:tcPr>
          <w:p w:rsidR="00DF5465" w:rsidRDefault="007179CA">
            <w:pPr>
              <w:jc w:val="center"/>
            </w:pPr>
            <w:r>
              <w:rPr>
                <w:color w:val="000000"/>
                <w:sz w:val="24"/>
                <w:szCs w:val="24"/>
              </w:rPr>
              <w:t>-0.17%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875DAC">
        <w:rPr>
          <w:rFonts w:hint="eastAsia"/>
          <w:b/>
          <w:bCs/>
          <w:color w:val="000000"/>
          <w:kern w:val="0"/>
          <w:sz w:val="24"/>
          <w:szCs w:val="24"/>
        </w:rPr>
        <w:t>自</w:t>
      </w:r>
      <w:r w:rsidR="006742DC">
        <w:rPr>
          <w:rFonts w:hint="eastAsia"/>
          <w:b/>
          <w:bCs/>
          <w:color w:val="000000"/>
          <w:sz w:val="24"/>
        </w:rPr>
        <w:t>基金</w:t>
      </w:r>
      <w:r w:rsidR="00570842" w:rsidRPr="00570842">
        <w:rPr>
          <w:rFonts w:hint="eastAsia"/>
          <w:b/>
          <w:bCs/>
          <w:color w:val="000000"/>
          <w:sz w:val="24"/>
        </w:rPr>
        <w:t>合同生效</w:t>
      </w:r>
      <w:r w:rsidR="006742DC">
        <w:rPr>
          <w:rFonts w:hint="eastAsia"/>
          <w:b/>
          <w:bCs/>
          <w:color w:val="000000"/>
          <w:sz w:val="24"/>
        </w:rPr>
        <w:t>以来</w:t>
      </w:r>
      <w:r w:rsidR="00C6002A" w:rsidRPr="00414345">
        <w:rPr>
          <w:b/>
          <w:bCs/>
          <w:color w:val="000000"/>
          <w:sz w:val="24"/>
        </w:rPr>
        <w:t>基金份额累计净值增长率变动及其与同期业绩比较基准收益率变动的比较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交银施罗德周期回报灵活配置混合型证券投资基金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lastRenderedPageBreak/>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2014</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22</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506A3F" w:rsidP="00C15CAC">
      <w:pPr>
        <w:pStyle w:val="a5"/>
        <w:snapToGrid w:val="0"/>
        <w:spacing w:before="29" w:line="288" w:lineRule="auto"/>
        <w:jc w:val="center"/>
        <w:rPr>
          <w:rFonts w:ascii="Times New Roman" w:hAnsi="Times New Roman" w:cs="Times New Roman"/>
          <w:color w:val="000000"/>
          <w:sz w:val="24"/>
          <w:szCs w:val="24"/>
        </w:rPr>
      </w:pPr>
      <w:r w:rsidRPr="003576E8">
        <w:rPr>
          <w:noProof/>
        </w:rPr>
        <w:drawing>
          <wp:inline distT="0" distB="0" distL="0" distR="0" wp14:anchorId="6A16C23F" wp14:editId="0626E912">
            <wp:extent cx="5495925" cy="3088640"/>
            <wp:effectExtent l="0" t="0" r="0" b="0"/>
            <wp:docPr id="1"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496308" cy="3088855"/>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w:t>
      </w:r>
      <w:proofErr w:type="gramStart"/>
      <w:r w:rsidRPr="00414345">
        <w:rPr>
          <w:color w:val="000000"/>
          <w:sz w:val="24"/>
          <w:szCs w:val="24"/>
        </w:rPr>
        <w:t>基金基金</w:t>
      </w:r>
      <w:proofErr w:type="gramEnd"/>
      <w:r w:rsidRPr="00414345">
        <w:rPr>
          <w:color w:val="000000"/>
          <w:sz w:val="24"/>
          <w:szCs w:val="24"/>
        </w:rPr>
        <w:t>合同生效日为</w:t>
      </w:r>
      <w:r w:rsidRPr="00414345">
        <w:rPr>
          <w:color w:val="000000"/>
          <w:sz w:val="24"/>
          <w:szCs w:val="24"/>
        </w:rPr>
        <w:t>2014</w:t>
      </w:r>
      <w:r w:rsidRPr="00414345">
        <w:rPr>
          <w:color w:val="000000"/>
          <w:sz w:val="24"/>
          <w:szCs w:val="24"/>
        </w:rPr>
        <w:t>年</w:t>
      </w:r>
      <w:r w:rsidRPr="00414345">
        <w:rPr>
          <w:color w:val="000000"/>
          <w:sz w:val="24"/>
          <w:szCs w:val="24"/>
        </w:rPr>
        <w:t>5</w:t>
      </w:r>
      <w:r w:rsidRPr="00414345">
        <w:rPr>
          <w:color w:val="000000"/>
          <w:sz w:val="24"/>
          <w:szCs w:val="24"/>
        </w:rPr>
        <w:t>月</w:t>
      </w:r>
      <w:r w:rsidRPr="00414345">
        <w:rPr>
          <w:color w:val="000000"/>
          <w:sz w:val="24"/>
          <w:szCs w:val="24"/>
        </w:rPr>
        <w:t>22</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w:t>
      </w:r>
      <w:r w:rsidRPr="00414345">
        <w:rPr>
          <w:color w:val="000000"/>
          <w:sz w:val="24"/>
          <w:szCs w:val="24"/>
        </w:rPr>
        <w:t>2014</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日，本基金尚处于建仓期。</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179CA">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DF5465">
        <w:trPr>
          <w:jc w:val="center"/>
        </w:trPr>
        <w:tc>
          <w:tcPr>
            <w:tcW w:w="846" w:type="dxa"/>
            <w:vAlign w:val="center"/>
          </w:tcPr>
          <w:p w:rsidR="00DF5465" w:rsidRDefault="007179CA">
            <w:pPr>
              <w:jc w:val="center"/>
            </w:pPr>
            <w:r>
              <w:rPr>
                <w:color w:val="000000"/>
                <w:sz w:val="24"/>
                <w:szCs w:val="24"/>
              </w:rPr>
              <w:t>李永兴</w:t>
            </w:r>
          </w:p>
        </w:tc>
        <w:tc>
          <w:tcPr>
            <w:tcW w:w="845" w:type="dxa"/>
            <w:vAlign w:val="center"/>
          </w:tcPr>
          <w:p w:rsidR="00DF5465" w:rsidRDefault="007179CA">
            <w:pPr>
              <w:jc w:val="center"/>
            </w:pPr>
            <w:r>
              <w:rPr>
                <w:color w:val="000000"/>
                <w:sz w:val="24"/>
                <w:szCs w:val="24"/>
              </w:rPr>
              <w:t>本基金、交银施罗德主题优选灵活配置混合型证券投资基金的基金经理</w:t>
            </w:r>
          </w:p>
        </w:tc>
        <w:tc>
          <w:tcPr>
            <w:tcW w:w="1549" w:type="dxa"/>
            <w:vAlign w:val="center"/>
          </w:tcPr>
          <w:p w:rsidR="00DF5465" w:rsidRDefault="007179CA">
            <w:pPr>
              <w:jc w:val="center"/>
            </w:pPr>
            <w:r>
              <w:rPr>
                <w:color w:val="000000"/>
                <w:sz w:val="24"/>
                <w:szCs w:val="24"/>
              </w:rPr>
              <w:t>2014-05-22</w:t>
            </w:r>
          </w:p>
        </w:tc>
        <w:tc>
          <w:tcPr>
            <w:tcW w:w="1548" w:type="dxa"/>
            <w:vAlign w:val="center"/>
          </w:tcPr>
          <w:p w:rsidR="00DF5465" w:rsidRDefault="007179CA">
            <w:pPr>
              <w:jc w:val="center"/>
            </w:pPr>
            <w:bookmarkStart w:id="0" w:name="_GoBack"/>
            <w:bookmarkEnd w:id="0"/>
            <w:r>
              <w:rPr>
                <w:color w:val="000000"/>
                <w:sz w:val="24"/>
                <w:szCs w:val="24"/>
              </w:rPr>
              <w:t>-</w:t>
            </w:r>
          </w:p>
        </w:tc>
        <w:tc>
          <w:tcPr>
            <w:tcW w:w="1407" w:type="dxa"/>
            <w:vAlign w:val="center"/>
          </w:tcPr>
          <w:p w:rsidR="00DF5465" w:rsidRDefault="007179CA">
            <w:pPr>
              <w:jc w:val="center"/>
            </w:pPr>
            <w:r>
              <w:rPr>
                <w:color w:val="000000"/>
                <w:sz w:val="24"/>
                <w:szCs w:val="24"/>
              </w:rPr>
              <w:t>8</w:t>
            </w:r>
            <w:r>
              <w:rPr>
                <w:color w:val="000000"/>
                <w:sz w:val="24"/>
                <w:szCs w:val="24"/>
              </w:rPr>
              <w:t>年</w:t>
            </w:r>
          </w:p>
        </w:tc>
        <w:tc>
          <w:tcPr>
            <w:tcW w:w="2673" w:type="dxa"/>
            <w:vAlign w:val="center"/>
          </w:tcPr>
          <w:p w:rsidR="00DF5465" w:rsidRDefault="007179CA">
            <w:r>
              <w:rPr>
                <w:color w:val="000000"/>
                <w:sz w:val="24"/>
                <w:szCs w:val="24"/>
              </w:rPr>
              <w:t>李永兴先生，经济学硕士。</w:t>
            </w:r>
            <w:r>
              <w:rPr>
                <w:color w:val="000000"/>
                <w:sz w:val="24"/>
                <w:szCs w:val="24"/>
              </w:rPr>
              <w:t>2006</w:t>
            </w:r>
            <w:r>
              <w:rPr>
                <w:color w:val="000000"/>
                <w:sz w:val="24"/>
                <w:szCs w:val="24"/>
              </w:rPr>
              <w:t>年加入交银施罗德基金管理有限公司，历任投资研究部研究员、基金经理助理。</w:t>
            </w:r>
          </w:p>
        </w:tc>
      </w:tr>
      <w:tr w:rsidR="00DF5465">
        <w:trPr>
          <w:jc w:val="center"/>
        </w:trPr>
        <w:tc>
          <w:tcPr>
            <w:tcW w:w="846" w:type="dxa"/>
            <w:vAlign w:val="center"/>
          </w:tcPr>
          <w:p w:rsidR="00DF5465" w:rsidRDefault="007179CA">
            <w:pPr>
              <w:jc w:val="center"/>
            </w:pPr>
            <w:r>
              <w:rPr>
                <w:color w:val="000000"/>
                <w:sz w:val="24"/>
                <w:szCs w:val="24"/>
              </w:rPr>
              <w:t>项廷锋</w:t>
            </w:r>
          </w:p>
        </w:tc>
        <w:tc>
          <w:tcPr>
            <w:tcW w:w="845" w:type="dxa"/>
            <w:vAlign w:val="center"/>
          </w:tcPr>
          <w:p w:rsidR="00DF5465" w:rsidRDefault="007179CA">
            <w:pPr>
              <w:jc w:val="center"/>
            </w:pPr>
            <w:r>
              <w:rPr>
                <w:color w:val="000000"/>
                <w:sz w:val="24"/>
                <w:szCs w:val="24"/>
              </w:rPr>
              <w:t>本基金、</w:t>
            </w:r>
            <w:proofErr w:type="gramStart"/>
            <w:r>
              <w:rPr>
                <w:color w:val="000000"/>
                <w:sz w:val="24"/>
                <w:szCs w:val="24"/>
              </w:rPr>
              <w:t>交银双利</w:t>
            </w:r>
            <w:proofErr w:type="gramEnd"/>
            <w:r>
              <w:rPr>
                <w:color w:val="000000"/>
                <w:sz w:val="24"/>
                <w:szCs w:val="24"/>
              </w:rPr>
              <w:t>债券、交</w:t>
            </w:r>
            <w:proofErr w:type="gramStart"/>
            <w:r>
              <w:rPr>
                <w:color w:val="000000"/>
                <w:sz w:val="24"/>
                <w:szCs w:val="24"/>
              </w:rPr>
              <w:t>银荣安</w:t>
            </w:r>
            <w:proofErr w:type="gramEnd"/>
            <w:r>
              <w:rPr>
                <w:color w:val="000000"/>
                <w:sz w:val="24"/>
                <w:szCs w:val="24"/>
              </w:rPr>
              <w:t>保本混合、交银荣祥保本混合、交银定期支付双</w:t>
            </w:r>
            <w:proofErr w:type="gramStart"/>
            <w:r>
              <w:rPr>
                <w:color w:val="000000"/>
                <w:sz w:val="24"/>
                <w:szCs w:val="24"/>
              </w:rPr>
              <w:t>息平衡</w:t>
            </w:r>
            <w:proofErr w:type="gramEnd"/>
            <w:r>
              <w:rPr>
                <w:color w:val="000000"/>
                <w:sz w:val="24"/>
                <w:szCs w:val="24"/>
              </w:rPr>
              <w:t>混合、</w:t>
            </w:r>
            <w:proofErr w:type="gramStart"/>
            <w:r>
              <w:rPr>
                <w:color w:val="000000"/>
                <w:sz w:val="24"/>
                <w:szCs w:val="24"/>
              </w:rPr>
              <w:t>交银荣泰</w:t>
            </w:r>
            <w:proofErr w:type="gramEnd"/>
            <w:r>
              <w:rPr>
                <w:color w:val="000000"/>
                <w:sz w:val="24"/>
                <w:szCs w:val="24"/>
              </w:rPr>
              <w:t>保本混合的基金经理，公司投资总监</w:t>
            </w:r>
          </w:p>
        </w:tc>
        <w:tc>
          <w:tcPr>
            <w:tcW w:w="1549" w:type="dxa"/>
            <w:vAlign w:val="center"/>
          </w:tcPr>
          <w:p w:rsidR="00DF5465" w:rsidRDefault="007179CA">
            <w:pPr>
              <w:jc w:val="center"/>
            </w:pPr>
            <w:r>
              <w:rPr>
                <w:color w:val="000000"/>
                <w:sz w:val="24"/>
                <w:szCs w:val="24"/>
              </w:rPr>
              <w:t>2014-06-03</w:t>
            </w:r>
          </w:p>
        </w:tc>
        <w:tc>
          <w:tcPr>
            <w:tcW w:w="1548" w:type="dxa"/>
            <w:vAlign w:val="center"/>
          </w:tcPr>
          <w:p w:rsidR="00DF5465" w:rsidRDefault="007179CA">
            <w:pPr>
              <w:jc w:val="center"/>
            </w:pPr>
            <w:r>
              <w:rPr>
                <w:color w:val="000000"/>
                <w:sz w:val="24"/>
                <w:szCs w:val="24"/>
              </w:rPr>
              <w:t>-</w:t>
            </w:r>
          </w:p>
        </w:tc>
        <w:tc>
          <w:tcPr>
            <w:tcW w:w="1407" w:type="dxa"/>
            <w:vAlign w:val="center"/>
          </w:tcPr>
          <w:p w:rsidR="00DF5465" w:rsidRDefault="007179CA">
            <w:pPr>
              <w:jc w:val="center"/>
            </w:pPr>
            <w:r>
              <w:rPr>
                <w:color w:val="000000"/>
                <w:sz w:val="24"/>
                <w:szCs w:val="24"/>
              </w:rPr>
              <w:t>15</w:t>
            </w:r>
            <w:r>
              <w:rPr>
                <w:color w:val="000000"/>
                <w:sz w:val="24"/>
                <w:szCs w:val="24"/>
              </w:rPr>
              <w:t>年</w:t>
            </w:r>
          </w:p>
        </w:tc>
        <w:tc>
          <w:tcPr>
            <w:tcW w:w="2673" w:type="dxa"/>
            <w:vAlign w:val="center"/>
          </w:tcPr>
          <w:p w:rsidR="00DF5465" w:rsidRDefault="007179CA">
            <w:r>
              <w:rPr>
                <w:color w:val="000000"/>
                <w:sz w:val="24"/>
                <w:szCs w:val="24"/>
              </w:rPr>
              <w:t>项廷锋先生，上海交通大学管理学博士。历任华安基金管理有限公司研究员、固定收益投资经理和基金经理。其中</w:t>
            </w:r>
            <w:r>
              <w:rPr>
                <w:color w:val="000000"/>
                <w:sz w:val="24"/>
                <w:szCs w:val="24"/>
              </w:rPr>
              <w:t>2003</w:t>
            </w:r>
            <w:r>
              <w:rPr>
                <w:color w:val="000000"/>
                <w:sz w:val="24"/>
                <w:szCs w:val="24"/>
              </w:rPr>
              <w:t>年</w:t>
            </w:r>
            <w:r>
              <w:rPr>
                <w:color w:val="000000"/>
                <w:sz w:val="24"/>
                <w:szCs w:val="24"/>
              </w:rPr>
              <w:t>12</w:t>
            </w:r>
            <w:r>
              <w:rPr>
                <w:color w:val="000000"/>
                <w:sz w:val="24"/>
                <w:szCs w:val="24"/>
              </w:rPr>
              <w:t>月至</w:t>
            </w:r>
            <w:r>
              <w:rPr>
                <w:color w:val="000000"/>
                <w:sz w:val="24"/>
                <w:szCs w:val="24"/>
              </w:rPr>
              <w:t>2007</w:t>
            </w:r>
            <w:r>
              <w:rPr>
                <w:color w:val="000000"/>
                <w:sz w:val="24"/>
                <w:szCs w:val="24"/>
              </w:rPr>
              <w:t>年</w:t>
            </w:r>
            <w:r>
              <w:rPr>
                <w:color w:val="000000"/>
                <w:sz w:val="24"/>
                <w:szCs w:val="24"/>
              </w:rPr>
              <w:t>5</w:t>
            </w:r>
            <w:r>
              <w:rPr>
                <w:color w:val="000000"/>
                <w:sz w:val="24"/>
                <w:szCs w:val="24"/>
              </w:rPr>
              <w:t>月担任华安现金富利投资</w:t>
            </w:r>
            <w:proofErr w:type="gramStart"/>
            <w:r>
              <w:rPr>
                <w:color w:val="000000"/>
                <w:sz w:val="24"/>
                <w:szCs w:val="24"/>
              </w:rPr>
              <w:t>基金基金</w:t>
            </w:r>
            <w:proofErr w:type="gramEnd"/>
            <w:r>
              <w:rPr>
                <w:color w:val="000000"/>
                <w:sz w:val="24"/>
                <w:szCs w:val="24"/>
              </w:rPr>
              <w:t>经理。</w:t>
            </w:r>
            <w:r>
              <w:rPr>
                <w:color w:val="000000"/>
                <w:sz w:val="24"/>
                <w:szCs w:val="24"/>
              </w:rPr>
              <w:t>2007</w:t>
            </w:r>
            <w:r>
              <w:rPr>
                <w:color w:val="000000"/>
                <w:sz w:val="24"/>
                <w:szCs w:val="24"/>
              </w:rPr>
              <w:t>年加入交银施罗德基金管理有限公司，历任固定收益部总经理。</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DF5465" w:rsidRDefault="007179CA">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DF5465" w:rsidRDefault="007179CA">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DF5465" w:rsidRDefault="007179CA">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DF5465" w:rsidRDefault="007179CA">
      <w:pPr>
        <w:spacing w:before="29" w:line="288" w:lineRule="auto"/>
        <w:ind w:firstLineChars="200" w:firstLine="480"/>
        <w:rPr>
          <w:color w:val="000000"/>
          <w:sz w:val="24"/>
          <w:szCs w:val="24"/>
        </w:rPr>
      </w:pPr>
      <w:r>
        <w:rPr>
          <w:color w:val="000000"/>
          <w:sz w:val="24"/>
          <w:szCs w:val="24"/>
        </w:rPr>
        <w:t>在本报告期内，经济运行仍显疲弱，</w:t>
      </w:r>
      <w:r>
        <w:rPr>
          <w:color w:val="000000"/>
          <w:sz w:val="24"/>
          <w:szCs w:val="24"/>
        </w:rPr>
        <w:t>8</w:t>
      </w:r>
      <w:r>
        <w:rPr>
          <w:color w:val="000000"/>
          <w:sz w:val="24"/>
          <w:szCs w:val="24"/>
        </w:rPr>
        <w:t>月工业增加值同比</w:t>
      </w:r>
      <w:proofErr w:type="gramStart"/>
      <w:r>
        <w:rPr>
          <w:color w:val="000000"/>
          <w:sz w:val="24"/>
          <w:szCs w:val="24"/>
        </w:rPr>
        <w:t>增速超</w:t>
      </w:r>
      <w:proofErr w:type="gramEnd"/>
      <w:r>
        <w:rPr>
          <w:color w:val="000000"/>
          <w:sz w:val="24"/>
          <w:szCs w:val="24"/>
        </w:rPr>
        <w:t>预期大幅回落，</w:t>
      </w:r>
      <w:r>
        <w:rPr>
          <w:color w:val="000000"/>
          <w:sz w:val="24"/>
          <w:szCs w:val="24"/>
        </w:rPr>
        <w:t>9</w:t>
      </w:r>
      <w:r>
        <w:rPr>
          <w:color w:val="000000"/>
          <w:sz w:val="24"/>
          <w:szCs w:val="24"/>
        </w:rPr>
        <w:t>月制造业</w:t>
      </w:r>
      <w:r>
        <w:rPr>
          <w:color w:val="000000"/>
          <w:sz w:val="24"/>
          <w:szCs w:val="24"/>
        </w:rPr>
        <w:t>PMI</w:t>
      </w:r>
      <w:r>
        <w:rPr>
          <w:color w:val="000000"/>
          <w:sz w:val="24"/>
          <w:szCs w:val="24"/>
        </w:rPr>
        <w:t>显示内需相对低迷，经济增长动能仍较乏力，另一方面，受猪价下行和国际因素影响，</w:t>
      </w:r>
      <w:r>
        <w:rPr>
          <w:color w:val="000000"/>
          <w:sz w:val="24"/>
          <w:szCs w:val="24"/>
        </w:rPr>
        <w:t>CPI</w:t>
      </w:r>
      <w:r>
        <w:rPr>
          <w:color w:val="000000"/>
          <w:sz w:val="24"/>
          <w:szCs w:val="24"/>
        </w:rPr>
        <w:t>仍在继续回落，经济运行的</w:t>
      </w:r>
      <w:r>
        <w:rPr>
          <w:color w:val="000000"/>
          <w:sz w:val="24"/>
          <w:szCs w:val="24"/>
        </w:rPr>
        <w:t>“</w:t>
      </w:r>
      <w:r>
        <w:rPr>
          <w:color w:val="000000"/>
          <w:sz w:val="24"/>
          <w:szCs w:val="24"/>
        </w:rPr>
        <w:t>新常态</w:t>
      </w:r>
      <w:r>
        <w:rPr>
          <w:color w:val="000000"/>
          <w:sz w:val="24"/>
          <w:szCs w:val="24"/>
        </w:rPr>
        <w:t>”</w:t>
      </w:r>
      <w:r>
        <w:rPr>
          <w:color w:val="000000"/>
          <w:sz w:val="24"/>
          <w:szCs w:val="24"/>
        </w:rPr>
        <w:t>已逐步被市场广泛认可；投资者对改革充满预期与期待，而改革的层层推进和系列举措的相继出台并推进落实，又反过来进一步强化了投资的预期与期待，市场因此而出现</w:t>
      </w:r>
      <w:r>
        <w:rPr>
          <w:color w:val="000000"/>
          <w:sz w:val="24"/>
          <w:szCs w:val="24"/>
        </w:rPr>
        <w:t>“</w:t>
      </w:r>
      <w:r>
        <w:rPr>
          <w:color w:val="000000"/>
          <w:sz w:val="24"/>
          <w:szCs w:val="24"/>
        </w:rPr>
        <w:t>股债双牛</w:t>
      </w:r>
      <w:r>
        <w:rPr>
          <w:color w:val="000000"/>
          <w:sz w:val="24"/>
          <w:szCs w:val="24"/>
        </w:rPr>
        <w:t>”</w:t>
      </w:r>
      <w:r>
        <w:rPr>
          <w:color w:val="000000"/>
          <w:sz w:val="24"/>
          <w:szCs w:val="24"/>
        </w:rPr>
        <w:t>局面。</w:t>
      </w:r>
    </w:p>
    <w:p w:rsidR="00DF5465" w:rsidRDefault="007179CA">
      <w:pPr>
        <w:spacing w:before="29" w:line="288" w:lineRule="auto"/>
        <w:ind w:firstLineChars="200" w:firstLine="480"/>
        <w:rPr>
          <w:color w:val="000000"/>
          <w:sz w:val="24"/>
          <w:szCs w:val="24"/>
        </w:rPr>
      </w:pPr>
      <w:r>
        <w:rPr>
          <w:color w:val="000000"/>
          <w:sz w:val="24"/>
          <w:szCs w:val="24"/>
        </w:rPr>
        <w:t>就组合管理而言，本基金</w:t>
      </w:r>
      <w:proofErr w:type="gramStart"/>
      <w:r>
        <w:rPr>
          <w:color w:val="000000"/>
          <w:sz w:val="24"/>
          <w:szCs w:val="24"/>
        </w:rPr>
        <w:t>受处于</w:t>
      </w:r>
      <w:proofErr w:type="gramEnd"/>
      <w:r>
        <w:rPr>
          <w:color w:val="000000"/>
          <w:sz w:val="24"/>
          <w:szCs w:val="24"/>
        </w:rPr>
        <w:t>建仓期等因素的制约，管理过程并没有充分体现基金管理人对市场的预判，管理绩效有所影响。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展望四季度，经济有望实现</w:t>
      </w:r>
      <w:r w:rsidRPr="00414345">
        <w:rPr>
          <w:color w:val="000000"/>
          <w:sz w:val="24"/>
          <w:szCs w:val="24"/>
        </w:rPr>
        <w:t>8</w:t>
      </w:r>
      <w:r w:rsidRPr="00414345">
        <w:rPr>
          <w:color w:val="000000"/>
          <w:sz w:val="24"/>
          <w:szCs w:val="24"/>
        </w:rPr>
        <w:t>月触底后的温和反弹，通胀压力年内仍不明显。因此，比较而言，技术面可能对市场构成一定的约束。同时，美联储政策影响</w:t>
      </w:r>
      <w:proofErr w:type="gramStart"/>
      <w:r w:rsidRPr="00414345">
        <w:rPr>
          <w:color w:val="000000"/>
          <w:sz w:val="24"/>
          <w:szCs w:val="24"/>
        </w:rPr>
        <w:t>下美元</w:t>
      </w:r>
      <w:proofErr w:type="gramEnd"/>
      <w:r w:rsidRPr="00414345">
        <w:rPr>
          <w:color w:val="000000"/>
          <w:sz w:val="24"/>
          <w:szCs w:val="24"/>
        </w:rPr>
        <w:t>指数的走势和沪港通的实施，也可能在预期层面对市场产生一定的影响。不过，四季度也是估值切换、布局来年的时间点，就来年而言，我们仍充满期待。</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1.061</w:t>
      </w:r>
      <w:r w:rsidRPr="00414345">
        <w:rPr>
          <w:color w:val="000000"/>
          <w:sz w:val="24"/>
          <w:szCs w:val="24"/>
        </w:rPr>
        <w:t>元，本报告期份额净值增长率为</w:t>
      </w:r>
      <w:r w:rsidRPr="00414345">
        <w:rPr>
          <w:color w:val="000000"/>
          <w:sz w:val="24"/>
          <w:szCs w:val="24"/>
        </w:rPr>
        <w:t>5.36%</w:t>
      </w:r>
      <w:r w:rsidRPr="00414345">
        <w:rPr>
          <w:color w:val="000000"/>
          <w:sz w:val="24"/>
          <w:szCs w:val="24"/>
        </w:rPr>
        <w:t>，同期业绩比较基准增长率为</w:t>
      </w:r>
      <w:r w:rsidRPr="00414345">
        <w:rPr>
          <w:color w:val="000000"/>
          <w:sz w:val="24"/>
          <w:szCs w:val="24"/>
        </w:rPr>
        <w:t>6.84%</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061AC" w:rsidRPr="00414345" w:rsidRDefault="004061AC" w:rsidP="007179CA">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181,145,156.20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29.09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181,145,156.20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29.09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416,666,011.95</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66.92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416,666,011.95</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66.92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w:t>
            </w:r>
            <w:proofErr w:type="gramStart"/>
            <w:r w:rsidRPr="00414345">
              <w:rPr>
                <w:color w:val="000000"/>
                <w:sz w:val="24"/>
                <w:szCs w:val="24"/>
              </w:rPr>
              <w:t>品投资</w:t>
            </w:r>
            <w:proofErr w:type="gramEnd"/>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6,648,817.05</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1.07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18,166,684.04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2.92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622,626,669.24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979,200.00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0.21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7179CA">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7179CA">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106,536,684.05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22.42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5,828,430.66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7,748,000.00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2,960,000.00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3,135,313.50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7179CA">
            <w:pPr>
              <w:adjustRightInd w:val="0"/>
              <w:snapToGrid w:val="0"/>
              <w:spacing w:before="29" w:line="288" w:lineRule="auto"/>
              <w:jc w:val="left"/>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17,095,068.31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3,090,000.00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13,002,707.78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6,502,463.90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14,267,288.00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181,145,156.20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38.12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DF5465">
        <w:trPr>
          <w:jc w:val="center"/>
        </w:trPr>
        <w:tc>
          <w:tcPr>
            <w:tcW w:w="855" w:type="dxa"/>
            <w:vAlign w:val="center"/>
          </w:tcPr>
          <w:p w:rsidR="00DF5465" w:rsidRDefault="007179CA">
            <w:pPr>
              <w:jc w:val="center"/>
            </w:pPr>
            <w:r>
              <w:rPr>
                <w:color w:val="000000"/>
                <w:sz w:val="24"/>
                <w:szCs w:val="24"/>
              </w:rPr>
              <w:t>1</w:t>
            </w:r>
          </w:p>
        </w:tc>
        <w:tc>
          <w:tcPr>
            <w:tcW w:w="1334" w:type="dxa"/>
            <w:vAlign w:val="center"/>
          </w:tcPr>
          <w:p w:rsidR="00DF5465" w:rsidRDefault="007179CA">
            <w:pPr>
              <w:jc w:val="center"/>
            </w:pPr>
            <w:r>
              <w:rPr>
                <w:color w:val="000000"/>
                <w:sz w:val="24"/>
                <w:szCs w:val="24"/>
              </w:rPr>
              <w:t>600584</w:t>
            </w:r>
          </w:p>
        </w:tc>
        <w:tc>
          <w:tcPr>
            <w:tcW w:w="1777" w:type="dxa"/>
            <w:vAlign w:val="center"/>
          </w:tcPr>
          <w:p w:rsidR="00DF5465" w:rsidRDefault="007179CA">
            <w:pPr>
              <w:jc w:val="center"/>
            </w:pPr>
            <w:r>
              <w:rPr>
                <w:color w:val="000000"/>
                <w:sz w:val="24"/>
                <w:szCs w:val="24"/>
              </w:rPr>
              <w:t>长电科技</w:t>
            </w:r>
          </w:p>
        </w:tc>
        <w:tc>
          <w:tcPr>
            <w:tcW w:w="1334" w:type="dxa"/>
            <w:vAlign w:val="center"/>
          </w:tcPr>
          <w:p w:rsidR="00DF5465" w:rsidRDefault="007179CA">
            <w:pPr>
              <w:jc w:val="right"/>
            </w:pPr>
            <w:r>
              <w:rPr>
                <w:color w:val="000000"/>
                <w:sz w:val="24"/>
                <w:szCs w:val="24"/>
              </w:rPr>
              <w:t>1,117,527</w:t>
            </w:r>
          </w:p>
        </w:tc>
        <w:tc>
          <w:tcPr>
            <w:tcW w:w="1924" w:type="dxa"/>
            <w:vAlign w:val="center"/>
          </w:tcPr>
          <w:p w:rsidR="00DF5465" w:rsidRDefault="007179CA">
            <w:pPr>
              <w:jc w:val="right"/>
            </w:pPr>
            <w:r>
              <w:rPr>
                <w:color w:val="000000"/>
                <w:sz w:val="24"/>
                <w:szCs w:val="24"/>
              </w:rPr>
              <w:t>13,343,272.38</w:t>
            </w:r>
          </w:p>
        </w:tc>
        <w:tc>
          <w:tcPr>
            <w:tcW w:w="1644" w:type="dxa"/>
            <w:vAlign w:val="center"/>
          </w:tcPr>
          <w:p w:rsidR="00DF5465" w:rsidRDefault="007179CA">
            <w:pPr>
              <w:jc w:val="right"/>
            </w:pPr>
            <w:r>
              <w:rPr>
                <w:color w:val="000000"/>
                <w:sz w:val="24"/>
                <w:szCs w:val="24"/>
              </w:rPr>
              <w:t>2.81</w:t>
            </w:r>
          </w:p>
        </w:tc>
      </w:tr>
      <w:tr w:rsidR="00DF5465">
        <w:trPr>
          <w:jc w:val="center"/>
        </w:trPr>
        <w:tc>
          <w:tcPr>
            <w:tcW w:w="855" w:type="dxa"/>
            <w:vAlign w:val="center"/>
          </w:tcPr>
          <w:p w:rsidR="00DF5465" w:rsidRDefault="007179CA">
            <w:pPr>
              <w:jc w:val="center"/>
            </w:pPr>
            <w:r>
              <w:rPr>
                <w:color w:val="000000"/>
                <w:sz w:val="24"/>
                <w:szCs w:val="24"/>
              </w:rPr>
              <w:t>2</w:t>
            </w:r>
          </w:p>
        </w:tc>
        <w:tc>
          <w:tcPr>
            <w:tcW w:w="1334" w:type="dxa"/>
            <w:vAlign w:val="center"/>
          </w:tcPr>
          <w:p w:rsidR="00DF5465" w:rsidRDefault="007179CA">
            <w:pPr>
              <w:jc w:val="center"/>
            </w:pPr>
            <w:r>
              <w:rPr>
                <w:color w:val="000000"/>
                <w:sz w:val="24"/>
                <w:szCs w:val="24"/>
              </w:rPr>
              <w:t>601989</w:t>
            </w:r>
          </w:p>
        </w:tc>
        <w:tc>
          <w:tcPr>
            <w:tcW w:w="1777" w:type="dxa"/>
            <w:vAlign w:val="center"/>
          </w:tcPr>
          <w:p w:rsidR="00DF5465" w:rsidRDefault="007179CA">
            <w:pPr>
              <w:jc w:val="center"/>
            </w:pPr>
            <w:r>
              <w:rPr>
                <w:color w:val="000000"/>
                <w:sz w:val="24"/>
                <w:szCs w:val="24"/>
              </w:rPr>
              <w:t>中国重工</w:t>
            </w:r>
          </w:p>
        </w:tc>
        <w:tc>
          <w:tcPr>
            <w:tcW w:w="1334" w:type="dxa"/>
            <w:vAlign w:val="center"/>
          </w:tcPr>
          <w:p w:rsidR="00DF5465" w:rsidRDefault="007179CA">
            <w:pPr>
              <w:jc w:val="right"/>
            </w:pPr>
            <w:r>
              <w:rPr>
                <w:color w:val="000000"/>
                <w:sz w:val="24"/>
                <w:szCs w:val="24"/>
              </w:rPr>
              <w:t>2,000,000</w:t>
            </w:r>
          </w:p>
        </w:tc>
        <w:tc>
          <w:tcPr>
            <w:tcW w:w="1924" w:type="dxa"/>
            <w:vAlign w:val="center"/>
          </w:tcPr>
          <w:p w:rsidR="00DF5465" w:rsidRDefault="007179CA">
            <w:pPr>
              <w:jc w:val="right"/>
            </w:pPr>
            <w:r>
              <w:rPr>
                <w:color w:val="000000"/>
                <w:sz w:val="24"/>
                <w:szCs w:val="24"/>
              </w:rPr>
              <w:t>13,120,000.00</w:t>
            </w:r>
          </w:p>
        </w:tc>
        <w:tc>
          <w:tcPr>
            <w:tcW w:w="1644" w:type="dxa"/>
            <w:vAlign w:val="center"/>
          </w:tcPr>
          <w:p w:rsidR="00DF5465" w:rsidRDefault="007179CA">
            <w:pPr>
              <w:jc w:val="right"/>
            </w:pPr>
            <w:r>
              <w:rPr>
                <w:color w:val="000000"/>
                <w:sz w:val="24"/>
                <w:szCs w:val="24"/>
              </w:rPr>
              <w:t>2.76</w:t>
            </w:r>
          </w:p>
        </w:tc>
      </w:tr>
      <w:tr w:rsidR="00DF5465">
        <w:trPr>
          <w:jc w:val="center"/>
        </w:trPr>
        <w:tc>
          <w:tcPr>
            <w:tcW w:w="855" w:type="dxa"/>
            <w:vAlign w:val="center"/>
          </w:tcPr>
          <w:p w:rsidR="00DF5465" w:rsidRDefault="007179CA">
            <w:pPr>
              <w:jc w:val="center"/>
            </w:pPr>
            <w:r>
              <w:rPr>
                <w:color w:val="000000"/>
                <w:sz w:val="24"/>
                <w:szCs w:val="24"/>
              </w:rPr>
              <w:t>3</w:t>
            </w:r>
          </w:p>
        </w:tc>
        <w:tc>
          <w:tcPr>
            <w:tcW w:w="1334" w:type="dxa"/>
            <w:vAlign w:val="center"/>
          </w:tcPr>
          <w:p w:rsidR="00DF5465" w:rsidRDefault="007179CA">
            <w:pPr>
              <w:jc w:val="center"/>
            </w:pPr>
            <w:r>
              <w:rPr>
                <w:color w:val="000000"/>
                <w:sz w:val="24"/>
                <w:szCs w:val="24"/>
              </w:rPr>
              <w:t>300291</w:t>
            </w:r>
          </w:p>
        </w:tc>
        <w:tc>
          <w:tcPr>
            <w:tcW w:w="1777" w:type="dxa"/>
            <w:vAlign w:val="center"/>
          </w:tcPr>
          <w:p w:rsidR="00DF5465" w:rsidRDefault="007179CA">
            <w:pPr>
              <w:jc w:val="center"/>
            </w:pPr>
            <w:proofErr w:type="gramStart"/>
            <w:r>
              <w:rPr>
                <w:color w:val="000000"/>
                <w:sz w:val="24"/>
                <w:szCs w:val="24"/>
              </w:rPr>
              <w:t>华录百纳</w:t>
            </w:r>
            <w:proofErr w:type="gramEnd"/>
          </w:p>
        </w:tc>
        <w:tc>
          <w:tcPr>
            <w:tcW w:w="1334" w:type="dxa"/>
            <w:vAlign w:val="center"/>
          </w:tcPr>
          <w:p w:rsidR="00DF5465" w:rsidRDefault="007179CA">
            <w:pPr>
              <w:jc w:val="right"/>
            </w:pPr>
            <w:r>
              <w:rPr>
                <w:color w:val="000000"/>
                <w:sz w:val="24"/>
                <w:szCs w:val="24"/>
              </w:rPr>
              <w:t>282,060</w:t>
            </w:r>
          </w:p>
        </w:tc>
        <w:tc>
          <w:tcPr>
            <w:tcW w:w="1924" w:type="dxa"/>
            <w:vAlign w:val="center"/>
          </w:tcPr>
          <w:p w:rsidR="00DF5465" w:rsidRDefault="007179CA">
            <w:pPr>
              <w:jc w:val="right"/>
            </w:pPr>
            <w:r>
              <w:rPr>
                <w:color w:val="000000"/>
                <w:sz w:val="24"/>
                <w:szCs w:val="24"/>
              </w:rPr>
              <w:t>11,225,988.00</w:t>
            </w:r>
          </w:p>
        </w:tc>
        <w:tc>
          <w:tcPr>
            <w:tcW w:w="1644" w:type="dxa"/>
            <w:vAlign w:val="center"/>
          </w:tcPr>
          <w:p w:rsidR="00DF5465" w:rsidRDefault="007179CA">
            <w:pPr>
              <w:jc w:val="right"/>
            </w:pPr>
            <w:r>
              <w:rPr>
                <w:color w:val="000000"/>
                <w:sz w:val="24"/>
                <w:szCs w:val="24"/>
              </w:rPr>
              <w:t>2.36</w:t>
            </w:r>
          </w:p>
        </w:tc>
      </w:tr>
      <w:tr w:rsidR="00DF5465">
        <w:trPr>
          <w:jc w:val="center"/>
        </w:trPr>
        <w:tc>
          <w:tcPr>
            <w:tcW w:w="855" w:type="dxa"/>
            <w:vAlign w:val="center"/>
          </w:tcPr>
          <w:p w:rsidR="00DF5465" w:rsidRDefault="007179CA">
            <w:pPr>
              <w:jc w:val="center"/>
            </w:pPr>
            <w:r>
              <w:rPr>
                <w:color w:val="000000"/>
                <w:sz w:val="24"/>
                <w:szCs w:val="24"/>
              </w:rPr>
              <w:t>4</w:t>
            </w:r>
          </w:p>
        </w:tc>
        <w:tc>
          <w:tcPr>
            <w:tcW w:w="1334" w:type="dxa"/>
            <w:vAlign w:val="center"/>
          </w:tcPr>
          <w:p w:rsidR="00DF5465" w:rsidRDefault="007179CA">
            <w:pPr>
              <w:jc w:val="center"/>
            </w:pPr>
            <w:r>
              <w:rPr>
                <w:color w:val="000000"/>
                <w:sz w:val="24"/>
                <w:szCs w:val="24"/>
              </w:rPr>
              <w:t>603328</w:t>
            </w:r>
          </w:p>
        </w:tc>
        <w:tc>
          <w:tcPr>
            <w:tcW w:w="1777" w:type="dxa"/>
            <w:vAlign w:val="center"/>
          </w:tcPr>
          <w:p w:rsidR="00DF5465" w:rsidRDefault="007179CA">
            <w:pPr>
              <w:jc w:val="center"/>
            </w:pPr>
            <w:r>
              <w:rPr>
                <w:color w:val="000000"/>
                <w:sz w:val="24"/>
                <w:szCs w:val="24"/>
              </w:rPr>
              <w:t>依顿电子</w:t>
            </w:r>
          </w:p>
        </w:tc>
        <w:tc>
          <w:tcPr>
            <w:tcW w:w="1334" w:type="dxa"/>
            <w:vAlign w:val="center"/>
          </w:tcPr>
          <w:p w:rsidR="00DF5465" w:rsidRDefault="007179CA">
            <w:pPr>
              <w:jc w:val="right"/>
            </w:pPr>
            <w:r>
              <w:rPr>
                <w:color w:val="000000"/>
                <w:sz w:val="24"/>
                <w:szCs w:val="24"/>
              </w:rPr>
              <w:t>407,749</w:t>
            </w:r>
          </w:p>
        </w:tc>
        <w:tc>
          <w:tcPr>
            <w:tcW w:w="1924" w:type="dxa"/>
            <w:vAlign w:val="center"/>
          </w:tcPr>
          <w:p w:rsidR="00DF5465" w:rsidRDefault="007179CA">
            <w:pPr>
              <w:jc w:val="right"/>
            </w:pPr>
            <w:r>
              <w:rPr>
                <w:color w:val="000000"/>
                <w:sz w:val="24"/>
                <w:szCs w:val="24"/>
              </w:rPr>
              <w:t>10,621,861.45</w:t>
            </w:r>
          </w:p>
        </w:tc>
        <w:tc>
          <w:tcPr>
            <w:tcW w:w="1644" w:type="dxa"/>
            <w:vAlign w:val="center"/>
          </w:tcPr>
          <w:p w:rsidR="00DF5465" w:rsidRDefault="007179CA">
            <w:pPr>
              <w:jc w:val="right"/>
            </w:pPr>
            <w:r>
              <w:rPr>
                <w:color w:val="000000"/>
                <w:sz w:val="24"/>
                <w:szCs w:val="24"/>
              </w:rPr>
              <w:t>2.24</w:t>
            </w:r>
          </w:p>
        </w:tc>
      </w:tr>
      <w:tr w:rsidR="00DF5465">
        <w:trPr>
          <w:jc w:val="center"/>
        </w:trPr>
        <w:tc>
          <w:tcPr>
            <w:tcW w:w="855" w:type="dxa"/>
            <w:vAlign w:val="center"/>
          </w:tcPr>
          <w:p w:rsidR="00DF5465" w:rsidRDefault="007179CA">
            <w:pPr>
              <w:jc w:val="center"/>
            </w:pPr>
            <w:r>
              <w:rPr>
                <w:color w:val="000000"/>
                <w:sz w:val="24"/>
                <w:szCs w:val="24"/>
              </w:rPr>
              <w:t>5</w:t>
            </w:r>
          </w:p>
        </w:tc>
        <w:tc>
          <w:tcPr>
            <w:tcW w:w="1334" w:type="dxa"/>
            <w:vAlign w:val="center"/>
          </w:tcPr>
          <w:p w:rsidR="00DF5465" w:rsidRDefault="007179CA">
            <w:pPr>
              <w:jc w:val="center"/>
            </w:pPr>
            <w:r>
              <w:rPr>
                <w:color w:val="000000"/>
                <w:sz w:val="24"/>
                <w:szCs w:val="24"/>
              </w:rPr>
              <w:t>300074</w:t>
            </w:r>
          </w:p>
        </w:tc>
        <w:tc>
          <w:tcPr>
            <w:tcW w:w="1777" w:type="dxa"/>
            <w:vAlign w:val="center"/>
          </w:tcPr>
          <w:p w:rsidR="00DF5465" w:rsidRDefault="007179CA">
            <w:pPr>
              <w:jc w:val="center"/>
            </w:pPr>
            <w:r>
              <w:rPr>
                <w:color w:val="000000"/>
                <w:sz w:val="24"/>
                <w:szCs w:val="24"/>
              </w:rPr>
              <w:t>华平股份</w:t>
            </w:r>
          </w:p>
        </w:tc>
        <w:tc>
          <w:tcPr>
            <w:tcW w:w="1334" w:type="dxa"/>
            <w:vAlign w:val="center"/>
          </w:tcPr>
          <w:p w:rsidR="00DF5465" w:rsidRDefault="007179CA">
            <w:pPr>
              <w:jc w:val="right"/>
            </w:pPr>
            <w:r>
              <w:rPr>
                <w:color w:val="000000"/>
                <w:sz w:val="24"/>
                <w:szCs w:val="24"/>
              </w:rPr>
              <w:t>502,771</w:t>
            </w:r>
          </w:p>
        </w:tc>
        <w:tc>
          <w:tcPr>
            <w:tcW w:w="1924" w:type="dxa"/>
            <w:vAlign w:val="center"/>
          </w:tcPr>
          <w:p w:rsidR="00DF5465" w:rsidRDefault="007179CA">
            <w:pPr>
              <w:jc w:val="right"/>
            </w:pPr>
            <w:r>
              <w:rPr>
                <w:color w:val="000000"/>
                <w:sz w:val="24"/>
                <w:szCs w:val="24"/>
              </w:rPr>
              <w:t>9,356,568.31</w:t>
            </w:r>
          </w:p>
        </w:tc>
        <w:tc>
          <w:tcPr>
            <w:tcW w:w="1644" w:type="dxa"/>
            <w:vAlign w:val="center"/>
          </w:tcPr>
          <w:p w:rsidR="00DF5465" w:rsidRDefault="007179CA">
            <w:pPr>
              <w:jc w:val="right"/>
            </w:pPr>
            <w:r>
              <w:rPr>
                <w:color w:val="000000"/>
                <w:sz w:val="24"/>
                <w:szCs w:val="24"/>
              </w:rPr>
              <w:t>1.97</w:t>
            </w:r>
          </w:p>
        </w:tc>
      </w:tr>
      <w:tr w:rsidR="00DF5465">
        <w:trPr>
          <w:jc w:val="center"/>
        </w:trPr>
        <w:tc>
          <w:tcPr>
            <w:tcW w:w="855" w:type="dxa"/>
            <w:vAlign w:val="center"/>
          </w:tcPr>
          <w:p w:rsidR="00DF5465" w:rsidRDefault="007179CA">
            <w:pPr>
              <w:jc w:val="center"/>
            </w:pPr>
            <w:r>
              <w:rPr>
                <w:color w:val="000000"/>
                <w:sz w:val="24"/>
                <w:szCs w:val="24"/>
              </w:rPr>
              <w:t>6</w:t>
            </w:r>
          </w:p>
        </w:tc>
        <w:tc>
          <w:tcPr>
            <w:tcW w:w="1334" w:type="dxa"/>
            <w:vAlign w:val="center"/>
          </w:tcPr>
          <w:p w:rsidR="00DF5465" w:rsidRDefault="007179CA">
            <w:pPr>
              <w:jc w:val="center"/>
            </w:pPr>
            <w:r>
              <w:rPr>
                <w:color w:val="000000"/>
                <w:sz w:val="24"/>
                <w:szCs w:val="24"/>
              </w:rPr>
              <w:t>002568</w:t>
            </w:r>
          </w:p>
        </w:tc>
        <w:tc>
          <w:tcPr>
            <w:tcW w:w="1777" w:type="dxa"/>
            <w:vAlign w:val="center"/>
          </w:tcPr>
          <w:p w:rsidR="00DF5465" w:rsidRDefault="007179CA">
            <w:pPr>
              <w:jc w:val="center"/>
            </w:pPr>
            <w:proofErr w:type="gramStart"/>
            <w:r>
              <w:rPr>
                <w:color w:val="000000"/>
                <w:sz w:val="24"/>
                <w:szCs w:val="24"/>
              </w:rPr>
              <w:t>百润股份</w:t>
            </w:r>
            <w:proofErr w:type="gramEnd"/>
          </w:p>
        </w:tc>
        <w:tc>
          <w:tcPr>
            <w:tcW w:w="1334" w:type="dxa"/>
            <w:vAlign w:val="center"/>
          </w:tcPr>
          <w:p w:rsidR="00DF5465" w:rsidRDefault="007179CA">
            <w:pPr>
              <w:jc w:val="right"/>
            </w:pPr>
            <w:r>
              <w:rPr>
                <w:color w:val="000000"/>
                <w:sz w:val="24"/>
                <w:szCs w:val="24"/>
              </w:rPr>
              <w:t>226,100</w:t>
            </w:r>
          </w:p>
        </w:tc>
        <w:tc>
          <w:tcPr>
            <w:tcW w:w="1924" w:type="dxa"/>
            <w:vAlign w:val="center"/>
          </w:tcPr>
          <w:p w:rsidR="00DF5465" w:rsidRDefault="007179CA">
            <w:pPr>
              <w:jc w:val="right"/>
            </w:pPr>
            <w:r>
              <w:rPr>
                <w:color w:val="000000"/>
                <w:sz w:val="24"/>
                <w:szCs w:val="24"/>
              </w:rPr>
              <w:t>9,202,270.00</w:t>
            </w:r>
          </w:p>
        </w:tc>
        <w:tc>
          <w:tcPr>
            <w:tcW w:w="1644" w:type="dxa"/>
            <w:vAlign w:val="center"/>
          </w:tcPr>
          <w:p w:rsidR="00DF5465" w:rsidRDefault="007179CA">
            <w:pPr>
              <w:jc w:val="right"/>
            </w:pPr>
            <w:r>
              <w:rPr>
                <w:color w:val="000000"/>
                <w:sz w:val="24"/>
                <w:szCs w:val="24"/>
              </w:rPr>
              <w:t>1.94</w:t>
            </w:r>
          </w:p>
        </w:tc>
      </w:tr>
      <w:tr w:rsidR="00DF5465">
        <w:trPr>
          <w:jc w:val="center"/>
        </w:trPr>
        <w:tc>
          <w:tcPr>
            <w:tcW w:w="855" w:type="dxa"/>
            <w:vAlign w:val="center"/>
          </w:tcPr>
          <w:p w:rsidR="00DF5465" w:rsidRDefault="007179CA">
            <w:pPr>
              <w:jc w:val="center"/>
            </w:pPr>
            <w:r>
              <w:rPr>
                <w:color w:val="000000"/>
                <w:sz w:val="24"/>
                <w:szCs w:val="24"/>
              </w:rPr>
              <w:t>7</w:t>
            </w:r>
          </w:p>
        </w:tc>
        <w:tc>
          <w:tcPr>
            <w:tcW w:w="1334" w:type="dxa"/>
            <w:vAlign w:val="center"/>
          </w:tcPr>
          <w:p w:rsidR="00DF5465" w:rsidRDefault="007179CA">
            <w:pPr>
              <w:jc w:val="center"/>
            </w:pPr>
            <w:r>
              <w:rPr>
                <w:color w:val="000000"/>
                <w:sz w:val="24"/>
                <w:szCs w:val="24"/>
              </w:rPr>
              <w:t>002008</w:t>
            </w:r>
          </w:p>
        </w:tc>
        <w:tc>
          <w:tcPr>
            <w:tcW w:w="1777" w:type="dxa"/>
            <w:vAlign w:val="center"/>
          </w:tcPr>
          <w:p w:rsidR="00DF5465" w:rsidRDefault="007179CA">
            <w:pPr>
              <w:jc w:val="center"/>
            </w:pPr>
            <w:r>
              <w:rPr>
                <w:color w:val="000000"/>
                <w:sz w:val="24"/>
                <w:szCs w:val="24"/>
              </w:rPr>
              <w:t>大族激光</w:t>
            </w:r>
          </w:p>
        </w:tc>
        <w:tc>
          <w:tcPr>
            <w:tcW w:w="1334" w:type="dxa"/>
            <w:vAlign w:val="center"/>
          </w:tcPr>
          <w:p w:rsidR="00DF5465" w:rsidRDefault="007179CA">
            <w:pPr>
              <w:jc w:val="right"/>
            </w:pPr>
            <w:r>
              <w:rPr>
                <w:color w:val="000000"/>
                <w:sz w:val="24"/>
                <w:szCs w:val="24"/>
              </w:rPr>
              <w:t>466,061</w:t>
            </w:r>
          </w:p>
        </w:tc>
        <w:tc>
          <w:tcPr>
            <w:tcW w:w="1924" w:type="dxa"/>
            <w:vAlign w:val="center"/>
          </w:tcPr>
          <w:p w:rsidR="00DF5465" w:rsidRDefault="007179CA">
            <w:pPr>
              <w:jc w:val="right"/>
            </w:pPr>
            <w:r>
              <w:rPr>
                <w:color w:val="000000"/>
                <w:sz w:val="24"/>
                <w:szCs w:val="24"/>
              </w:rPr>
              <w:t>9,111,492.55</w:t>
            </w:r>
          </w:p>
        </w:tc>
        <w:tc>
          <w:tcPr>
            <w:tcW w:w="1644" w:type="dxa"/>
            <w:vAlign w:val="center"/>
          </w:tcPr>
          <w:p w:rsidR="00DF5465" w:rsidRDefault="007179CA">
            <w:pPr>
              <w:jc w:val="right"/>
            </w:pPr>
            <w:r>
              <w:rPr>
                <w:color w:val="000000"/>
                <w:sz w:val="24"/>
                <w:szCs w:val="24"/>
              </w:rPr>
              <w:t>1.92</w:t>
            </w:r>
          </w:p>
        </w:tc>
      </w:tr>
      <w:tr w:rsidR="00DF5465">
        <w:trPr>
          <w:jc w:val="center"/>
        </w:trPr>
        <w:tc>
          <w:tcPr>
            <w:tcW w:w="855" w:type="dxa"/>
            <w:vAlign w:val="center"/>
          </w:tcPr>
          <w:p w:rsidR="00DF5465" w:rsidRDefault="007179CA">
            <w:pPr>
              <w:jc w:val="center"/>
            </w:pPr>
            <w:r>
              <w:rPr>
                <w:color w:val="000000"/>
                <w:sz w:val="24"/>
                <w:szCs w:val="24"/>
              </w:rPr>
              <w:t>8</w:t>
            </w:r>
          </w:p>
        </w:tc>
        <w:tc>
          <w:tcPr>
            <w:tcW w:w="1334" w:type="dxa"/>
            <w:vAlign w:val="center"/>
          </w:tcPr>
          <w:p w:rsidR="00DF5465" w:rsidRDefault="007179CA">
            <w:pPr>
              <w:jc w:val="center"/>
            </w:pPr>
            <w:r>
              <w:rPr>
                <w:color w:val="000000"/>
                <w:sz w:val="24"/>
                <w:szCs w:val="24"/>
              </w:rPr>
              <w:t>002081</w:t>
            </w:r>
          </w:p>
        </w:tc>
        <w:tc>
          <w:tcPr>
            <w:tcW w:w="1777" w:type="dxa"/>
            <w:vAlign w:val="center"/>
          </w:tcPr>
          <w:p w:rsidR="00DF5465" w:rsidRDefault="007179CA">
            <w:pPr>
              <w:jc w:val="center"/>
            </w:pPr>
            <w:r>
              <w:rPr>
                <w:color w:val="000000"/>
                <w:sz w:val="24"/>
                <w:szCs w:val="24"/>
              </w:rPr>
              <w:t>金</w:t>
            </w:r>
            <w:r>
              <w:rPr>
                <w:color w:val="000000"/>
                <w:sz w:val="24"/>
                <w:szCs w:val="24"/>
              </w:rPr>
              <w:t xml:space="preserve"> </w:t>
            </w:r>
            <w:proofErr w:type="gramStart"/>
            <w:r>
              <w:rPr>
                <w:color w:val="000000"/>
                <w:sz w:val="24"/>
                <w:szCs w:val="24"/>
              </w:rPr>
              <w:t>螳</w:t>
            </w:r>
            <w:proofErr w:type="gramEnd"/>
            <w:r>
              <w:rPr>
                <w:color w:val="000000"/>
                <w:sz w:val="24"/>
                <w:szCs w:val="24"/>
              </w:rPr>
              <w:t xml:space="preserve"> </w:t>
            </w:r>
            <w:proofErr w:type="gramStart"/>
            <w:r>
              <w:rPr>
                <w:color w:val="000000"/>
                <w:sz w:val="24"/>
                <w:szCs w:val="24"/>
              </w:rPr>
              <w:t>螂</w:t>
            </w:r>
            <w:proofErr w:type="gramEnd"/>
          </w:p>
        </w:tc>
        <w:tc>
          <w:tcPr>
            <w:tcW w:w="1334" w:type="dxa"/>
            <w:vAlign w:val="center"/>
          </w:tcPr>
          <w:p w:rsidR="00DF5465" w:rsidRDefault="007179CA">
            <w:pPr>
              <w:jc w:val="right"/>
            </w:pPr>
            <w:r>
              <w:rPr>
                <w:color w:val="000000"/>
                <w:sz w:val="24"/>
                <w:szCs w:val="24"/>
              </w:rPr>
              <w:t>400,000</w:t>
            </w:r>
          </w:p>
        </w:tc>
        <w:tc>
          <w:tcPr>
            <w:tcW w:w="1924" w:type="dxa"/>
            <w:vAlign w:val="center"/>
          </w:tcPr>
          <w:p w:rsidR="00DF5465" w:rsidRDefault="007179CA">
            <w:pPr>
              <w:jc w:val="right"/>
            </w:pPr>
            <w:r>
              <w:rPr>
                <w:color w:val="000000"/>
                <w:sz w:val="24"/>
                <w:szCs w:val="24"/>
              </w:rPr>
              <w:t>7,748,000.00</w:t>
            </w:r>
          </w:p>
        </w:tc>
        <w:tc>
          <w:tcPr>
            <w:tcW w:w="1644" w:type="dxa"/>
            <w:vAlign w:val="center"/>
          </w:tcPr>
          <w:p w:rsidR="00DF5465" w:rsidRDefault="007179CA">
            <w:pPr>
              <w:jc w:val="right"/>
            </w:pPr>
            <w:r>
              <w:rPr>
                <w:color w:val="000000"/>
                <w:sz w:val="24"/>
                <w:szCs w:val="24"/>
              </w:rPr>
              <w:t>1.63</w:t>
            </w:r>
          </w:p>
        </w:tc>
      </w:tr>
      <w:tr w:rsidR="00DF5465">
        <w:trPr>
          <w:jc w:val="center"/>
        </w:trPr>
        <w:tc>
          <w:tcPr>
            <w:tcW w:w="855" w:type="dxa"/>
            <w:vAlign w:val="center"/>
          </w:tcPr>
          <w:p w:rsidR="00DF5465" w:rsidRDefault="007179CA">
            <w:pPr>
              <w:jc w:val="center"/>
            </w:pPr>
            <w:r>
              <w:rPr>
                <w:color w:val="000000"/>
                <w:sz w:val="24"/>
                <w:szCs w:val="24"/>
              </w:rPr>
              <w:t>9</w:t>
            </w:r>
          </w:p>
        </w:tc>
        <w:tc>
          <w:tcPr>
            <w:tcW w:w="1334" w:type="dxa"/>
            <w:vAlign w:val="center"/>
          </w:tcPr>
          <w:p w:rsidR="00DF5465" w:rsidRDefault="007179CA">
            <w:pPr>
              <w:jc w:val="center"/>
            </w:pPr>
            <w:r>
              <w:rPr>
                <w:color w:val="000000"/>
                <w:sz w:val="24"/>
                <w:szCs w:val="24"/>
              </w:rPr>
              <w:t>000927</w:t>
            </w:r>
          </w:p>
        </w:tc>
        <w:tc>
          <w:tcPr>
            <w:tcW w:w="1777" w:type="dxa"/>
            <w:vAlign w:val="center"/>
          </w:tcPr>
          <w:p w:rsidR="00DF5465" w:rsidRDefault="007179CA">
            <w:pPr>
              <w:jc w:val="center"/>
            </w:pPr>
            <w:proofErr w:type="gramStart"/>
            <w:r>
              <w:rPr>
                <w:color w:val="000000"/>
                <w:sz w:val="24"/>
                <w:szCs w:val="24"/>
              </w:rPr>
              <w:t>一</w:t>
            </w:r>
            <w:proofErr w:type="gramEnd"/>
            <w:r>
              <w:rPr>
                <w:color w:val="000000"/>
                <w:sz w:val="24"/>
                <w:szCs w:val="24"/>
              </w:rPr>
              <w:t>汽夏利</w:t>
            </w:r>
          </w:p>
        </w:tc>
        <w:tc>
          <w:tcPr>
            <w:tcW w:w="1334" w:type="dxa"/>
            <w:vAlign w:val="center"/>
          </w:tcPr>
          <w:p w:rsidR="00DF5465" w:rsidRDefault="007179CA">
            <w:pPr>
              <w:jc w:val="right"/>
            </w:pPr>
            <w:r>
              <w:rPr>
                <w:color w:val="000000"/>
                <w:sz w:val="24"/>
                <w:szCs w:val="24"/>
              </w:rPr>
              <w:t>1,574,200</w:t>
            </w:r>
          </w:p>
        </w:tc>
        <w:tc>
          <w:tcPr>
            <w:tcW w:w="1924" w:type="dxa"/>
            <w:vAlign w:val="center"/>
          </w:tcPr>
          <w:p w:rsidR="00DF5465" w:rsidRDefault="007179CA">
            <w:pPr>
              <w:jc w:val="right"/>
            </w:pPr>
            <w:r>
              <w:rPr>
                <w:color w:val="000000"/>
                <w:sz w:val="24"/>
                <w:szCs w:val="24"/>
              </w:rPr>
              <w:t>7,634,870.00</w:t>
            </w:r>
          </w:p>
        </w:tc>
        <w:tc>
          <w:tcPr>
            <w:tcW w:w="1644" w:type="dxa"/>
            <w:vAlign w:val="center"/>
          </w:tcPr>
          <w:p w:rsidR="00DF5465" w:rsidRDefault="007179CA">
            <w:pPr>
              <w:jc w:val="right"/>
            </w:pPr>
            <w:r>
              <w:rPr>
                <w:color w:val="000000"/>
                <w:sz w:val="24"/>
                <w:szCs w:val="24"/>
              </w:rPr>
              <w:t>1.61</w:t>
            </w:r>
          </w:p>
        </w:tc>
      </w:tr>
      <w:tr w:rsidR="00DF5465">
        <w:trPr>
          <w:jc w:val="center"/>
        </w:trPr>
        <w:tc>
          <w:tcPr>
            <w:tcW w:w="855" w:type="dxa"/>
            <w:vAlign w:val="center"/>
          </w:tcPr>
          <w:p w:rsidR="00DF5465" w:rsidRDefault="007179CA">
            <w:pPr>
              <w:jc w:val="center"/>
            </w:pPr>
            <w:r>
              <w:rPr>
                <w:color w:val="000000"/>
                <w:sz w:val="24"/>
                <w:szCs w:val="24"/>
              </w:rPr>
              <w:t>10</w:t>
            </w:r>
          </w:p>
        </w:tc>
        <w:tc>
          <w:tcPr>
            <w:tcW w:w="1334" w:type="dxa"/>
            <w:vAlign w:val="center"/>
          </w:tcPr>
          <w:p w:rsidR="00DF5465" w:rsidRDefault="007179CA">
            <w:pPr>
              <w:jc w:val="center"/>
            </w:pPr>
            <w:r>
              <w:rPr>
                <w:color w:val="000000"/>
                <w:sz w:val="24"/>
                <w:szCs w:val="24"/>
              </w:rPr>
              <w:t>002665</w:t>
            </w:r>
          </w:p>
        </w:tc>
        <w:tc>
          <w:tcPr>
            <w:tcW w:w="1777" w:type="dxa"/>
            <w:vAlign w:val="center"/>
          </w:tcPr>
          <w:p w:rsidR="00DF5465" w:rsidRDefault="007179CA">
            <w:pPr>
              <w:jc w:val="center"/>
            </w:pPr>
            <w:r>
              <w:rPr>
                <w:color w:val="000000"/>
                <w:sz w:val="24"/>
                <w:szCs w:val="24"/>
              </w:rPr>
              <w:t>首航节能</w:t>
            </w:r>
          </w:p>
        </w:tc>
        <w:tc>
          <w:tcPr>
            <w:tcW w:w="1334" w:type="dxa"/>
            <w:vAlign w:val="center"/>
          </w:tcPr>
          <w:p w:rsidR="00DF5465" w:rsidRDefault="007179CA">
            <w:pPr>
              <w:jc w:val="right"/>
            </w:pPr>
            <w:r>
              <w:rPr>
                <w:color w:val="000000"/>
                <w:sz w:val="24"/>
                <w:szCs w:val="24"/>
              </w:rPr>
              <w:t>150,000</w:t>
            </w:r>
          </w:p>
        </w:tc>
        <w:tc>
          <w:tcPr>
            <w:tcW w:w="1924" w:type="dxa"/>
            <w:vAlign w:val="center"/>
          </w:tcPr>
          <w:p w:rsidR="00DF5465" w:rsidRDefault="007179CA">
            <w:pPr>
              <w:jc w:val="right"/>
            </w:pPr>
            <w:r>
              <w:rPr>
                <w:color w:val="000000"/>
                <w:sz w:val="24"/>
                <w:szCs w:val="24"/>
              </w:rPr>
              <w:t>6,604,500.00</w:t>
            </w:r>
          </w:p>
        </w:tc>
        <w:tc>
          <w:tcPr>
            <w:tcW w:w="1644" w:type="dxa"/>
            <w:vAlign w:val="center"/>
          </w:tcPr>
          <w:p w:rsidR="00DF5465" w:rsidRDefault="007179CA">
            <w:pPr>
              <w:jc w:val="right"/>
            </w:pPr>
            <w:r>
              <w:rPr>
                <w:color w:val="000000"/>
                <w:sz w:val="24"/>
                <w:szCs w:val="24"/>
              </w:rPr>
              <w:t>1.39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10,180,000.00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2.14</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30,072,000.00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6.33</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30,072,000.00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6.33</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376,027,547.95</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79.13</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proofErr w:type="gramStart"/>
            <w:r w:rsidR="00963F40" w:rsidRPr="00414345">
              <w:rPr>
                <w:color w:val="000000"/>
                <w:sz w:val="24"/>
                <w:szCs w:val="24"/>
              </w:rPr>
              <w:t>券</w:t>
            </w:r>
            <w:proofErr w:type="gramEnd"/>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386,464.00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0.08</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416,666,011.95</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87.68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DF5465">
        <w:trPr>
          <w:jc w:val="center"/>
        </w:trPr>
        <w:tc>
          <w:tcPr>
            <w:tcW w:w="850" w:type="dxa"/>
            <w:vAlign w:val="center"/>
          </w:tcPr>
          <w:p w:rsidR="00DF5465" w:rsidRDefault="007179CA">
            <w:pPr>
              <w:jc w:val="center"/>
            </w:pPr>
            <w:r>
              <w:rPr>
                <w:color w:val="000000"/>
                <w:sz w:val="24"/>
                <w:szCs w:val="24"/>
              </w:rPr>
              <w:t>1</w:t>
            </w:r>
          </w:p>
        </w:tc>
        <w:tc>
          <w:tcPr>
            <w:tcW w:w="1475" w:type="dxa"/>
            <w:vAlign w:val="center"/>
          </w:tcPr>
          <w:p w:rsidR="00DF5465" w:rsidRDefault="007179CA">
            <w:pPr>
              <w:jc w:val="center"/>
            </w:pPr>
            <w:r>
              <w:rPr>
                <w:color w:val="000000"/>
                <w:sz w:val="24"/>
                <w:szCs w:val="24"/>
              </w:rPr>
              <w:t>1380299</w:t>
            </w:r>
          </w:p>
        </w:tc>
        <w:tc>
          <w:tcPr>
            <w:tcW w:w="1769" w:type="dxa"/>
            <w:vAlign w:val="center"/>
          </w:tcPr>
          <w:p w:rsidR="00DF5465" w:rsidRDefault="007179CA">
            <w:pPr>
              <w:jc w:val="center"/>
            </w:pPr>
            <w:r>
              <w:rPr>
                <w:color w:val="000000"/>
                <w:sz w:val="24"/>
                <w:szCs w:val="24"/>
              </w:rPr>
              <w:t>13</w:t>
            </w:r>
            <w:r>
              <w:rPr>
                <w:color w:val="000000"/>
                <w:sz w:val="24"/>
                <w:szCs w:val="24"/>
              </w:rPr>
              <w:t>锡城发债</w:t>
            </w:r>
          </w:p>
        </w:tc>
        <w:tc>
          <w:tcPr>
            <w:tcW w:w="1387" w:type="dxa"/>
            <w:vAlign w:val="center"/>
          </w:tcPr>
          <w:p w:rsidR="00DF5465" w:rsidRDefault="007179CA">
            <w:pPr>
              <w:jc w:val="right"/>
            </w:pPr>
            <w:r>
              <w:rPr>
                <w:color w:val="000000"/>
                <w:sz w:val="24"/>
                <w:szCs w:val="24"/>
              </w:rPr>
              <w:t>500,000</w:t>
            </w:r>
          </w:p>
        </w:tc>
        <w:tc>
          <w:tcPr>
            <w:tcW w:w="2150" w:type="dxa"/>
            <w:vAlign w:val="center"/>
          </w:tcPr>
          <w:p w:rsidR="00DF5465" w:rsidRDefault="007179CA">
            <w:pPr>
              <w:jc w:val="right"/>
            </w:pPr>
            <w:r>
              <w:rPr>
                <w:color w:val="000000"/>
                <w:sz w:val="24"/>
                <w:szCs w:val="24"/>
              </w:rPr>
              <w:t>51,450,000.00</w:t>
            </w:r>
          </w:p>
        </w:tc>
        <w:tc>
          <w:tcPr>
            <w:tcW w:w="1237" w:type="dxa"/>
            <w:vAlign w:val="center"/>
          </w:tcPr>
          <w:p w:rsidR="00DF5465" w:rsidRDefault="007179CA">
            <w:pPr>
              <w:jc w:val="right"/>
            </w:pPr>
            <w:r>
              <w:rPr>
                <w:color w:val="000000"/>
                <w:sz w:val="24"/>
                <w:szCs w:val="24"/>
              </w:rPr>
              <w:t>10.83</w:t>
            </w:r>
          </w:p>
        </w:tc>
      </w:tr>
      <w:tr w:rsidR="00DF5465">
        <w:trPr>
          <w:jc w:val="center"/>
        </w:trPr>
        <w:tc>
          <w:tcPr>
            <w:tcW w:w="850" w:type="dxa"/>
            <w:vAlign w:val="center"/>
          </w:tcPr>
          <w:p w:rsidR="00DF5465" w:rsidRDefault="007179CA">
            <w:pPr>
              <w:jc w:val="center"/>
            </w:pPr>
            <w:r>
              <w:rPr>
                <w:color w:val="000000"/>
                <w:sz w:val="24"/>
                <w:szCs w:val="24"/>
              </w:rPr>
              <w:t>2</w:t>
            </w:r>
          </w:p>
        </w:tc>
        <w:tc>
          <w:tcPr>
            <w:tcW w:w="1475" w:type="dxa"/>
            <w:vAlign w:val="center"/>
          </w:tcPr>
          <w:p w:rsidR="00DF5465" w:rsidRDefault="007179CA">
            <w:pPr>
              <w:jc w:val="center"/>
            </w:pPr>
            <w:r>
              <w:rPr>
                <w:color w:val="000000"/>
                <w:sz w:val="24"/>
                <w:szCs w:val="24"/>
              </w:rPr>
              <w:t>1480338</w:t>
            </w:r>
          </w:p>
        </w:tc>
        <w:tc>
          <w:tcPr>
            <w:tcW w:w="1769" w:type="dxa"/>
            <w:vAlign w:val="center"/>
          </w:tcPr>
          <w:p w:rsidR="00DF5465" w:rsidRDefault="007179CA">
            <w:pPr>
              <w:jc w:val="center"/>
            </w:pPr>
            <w:r>
              <w:rPr>
                <w:color w:val="000000"/>
                <w:sz w:val="24"/>
                <w:szCs w:val="24"/>
              </w:rPr>
              <w:t>14</w:t>
            </w:r>
            <w:proofErr w:type="gramStart"/>
            <w:r>
              <w:rPr>
                <w:color w:val="000000"/>
                <w:sz w:val="24"/>
                <w:szCs w:val="24"/>
              </w:rPr>
              <w:t>苏海债</w:t>
            </w:r>
            <w:proofErr w:type="gramEnd"/>
          </w:p>
        </w:tc>
        <w:tc>
          <w:tcPr>
            <w:tcW w:w="1387" w:type="dxa"/>
            <w:vAlign w:val="center"/>
          </w:tcPr>
          <w:p w:rsidR="00DF5465" w:rsidRDefault="007179CA">
            <w:pPr>
              <w:jc w:val="right"/>
            </w:pPr>
            <w:r>
              <w:rPr>
                <w:color w:val="000000"/>
                <w:sz w:val="24"/>
                <w:szCs w:val="24"/>
              </w:rPr>
              <w:t>500,000</w:t>
            </w:r>
          </w:p>
        </w:tc>
        <w:tc>
          <w:tcPr>
            <w:tcW w:w="2150" w:type="dxa"/>
            <w:vAlign w:val="center"/>
          </w:tcPr>
          <w:p w:rsidR="00DF5465" w:rsidRDefault="007179CA">
            <w:pPr>
              <w:jc w:val="right"/>
            </w:pPr>
            <w:r>
              <w:rPr>
                <w:color w:val="000000"/>
                <w:sz w:val="24"/>
                <w:szCs w:val="24"/>
              </w:rPr>
              <w:t>51,400,000.00</w:t>
            </w:r>
          </w:p>
        </w:tc>
        <w:tc>
          <w:tcPr>
            <w:tcW w:w="1237" w:type="dxa"/>
            <w:vAlign w:val="center"/>
          </w:tcPr>
          <w:p w:rsidR="00DF5465" w:rsidRDefault="007179CA">
            <w:pPr>
              <w:jc w:val="right"/>
            </w:pPr>
            <w:r>
              <w:rPr>
                <w:color w:val="000000"/>
                <w:sz w:val="24"/>
                <w:szCs w:val="24"/>
              </w:rPr>
              <w:t>10.82</w:t>
            </w:r>
          </w:p>
        </w:tc>
      </w:tr>
      <w:tr w:rsidR="00DF5465">
        <w:trPr>
          <w:jc w:val="center"/>
        </w:trPr>
        <w:tc>
          <w:tcPr>
            <w:tcW w:w="850" w:type="dxa"/>
            <w:vAlign w:val="center"/>
          </w:tcPr>
          <w:p w:rsidR="00DF5465" w:rsidRDefault="007179CA">
            <w:pPr>
              <w:jc w:val="center"/>
            </w:pPr>
            <w:r>
              <w:rPr>
                <w:color w:val="000000"/>
                <w:sz w:val="24"/>
                <w:szCs w:val="24"/>
              </w:rPr>
              <w:t>3</w:t>
            </w:r>
          </w:p>
        </w:tc>
        <w:tc>
          <w:tcPr>
            <w:tcW w:w="1475" w:type="dxa"/>
            <w:vAlign w:val="center"/>
          </w:tcPr>
          <w:p w:rsidR="00DF5465" w:rsidRDefault="007179CA">
            <w:pPr>
              <w:jc w:val="center"/>
            </w:pPr>
            <w:r>
              <w:rPr>
                <w:color w:val="000000"/>
                <w:sz w:val="24"/>
                <w:szCs w:val="24"/>
              </w:rPr>
              <w:t>124785</w:t>
            </w:r>
          </w:p>
        </w:tc>
        <w:tc>
          <w:tcPr>
            <w:tcW w:w="1769" w:type="dxa"/>
            <w:vAlign w:val="center"/>
          </w:tcPr>
          <w:p w:rsidR="00DF5465" w:rsidRDefault="007179CA">
            <w:pPr>
              <w:jc w:val="center"/>
            </w:pPr>
            <w:r>
              <w:rPr>
                <w:color w:val="000000"/>
                <w:sz w:val="24"/>
                <w:szCs w:val="24"/>
              </w:rPr>
              <w:t>14</w:t>
            </w:r>
            <w:r>
              <w:rPr>
                <w:color w:val="000000"/>
                <w:sz w:val="24"/>
                <w:szCs w:val="24"/>
              </w:rPr>
              <w:t>青州债</w:t>
            </w:r>
          </w:p>
        </w:tc>
        <w:tc>
          <w:tcPr>
            <w:tcW w:w="1387" w:type="dxa"/>
            <w:vAlign w:val="center"/>
          </w:tcPr>
          <w:p w:rsidR="00DF5465" w:rsidRDefault="007179CA">
            <w:pPr>
              <w:jc w:val="right"/>
            </w:pPr>
            <w:r>
              <w:rPr>
                <w:color w:val="000000"/>
                <w:sz w:val="24"/>
                <w:szCs w:val="24"/>
              </w:rPr>
              <w:t>500,000</w:t>
            </w:r>
          </w:p>
        </w:tc>
        <w:tc>
          <w:tcPr>
            <w:tcW w:w="2150" w:type="dxa"/>
            <w:vAlign w:val="center"/>
          </w:tcPr>
          <w:p w:rsidR="00DF5465" w:rsidRDefault="007179CA">
            <w:pPr>
              <w:jc w:val="right"/>
            </w:pPr>
            <w:r>
              <w:rPr>
                <w:color w:val="000000"/>
                <w:sz w:val="24"/>
                <w:szCs w:val="24"/>
              </w:rPr>
              <w:t>51,300,000.00</w:t>
            </w:r>
          </w:p>
        </w:tc>
        <w:tc>
          <w:tcPr>
            <w:tcW w:w="1237" w:type="dxa"/>
            <w:vAlign w:val="center"/>
          </w:tcPr>
          <w:p w:rsidR="00DF5465" w:rsidRDefault="007179CA">
            <w:pPr>
              <w:jc w:val="right"/>
            </w:pPr>
            <w:r>
              <w:rPr>
                <w:color w:val="000000"/>
                <w:sz w:val="24"/>
                <w:szCs w:val="24"/>
              </w:rPr>
              <w:t>10.80</w:t>
            </w:r>
          </w:p>
        </w:tc>
      </w:tr>
      <w:tr w:rsidR="00DF5465">
        <w:trPr>
          <w:jc w:val="center"/>
        </w:trPr>
        <w:tc>
          <w:tcPr>
            <w:tcW w:w="850" w:type="dxa"/>
            <w:vAlign w:val="center"/>
          </w:tcPr>
          <w:p w:rsidR="00DF5465" w:rsidRDefault="007179CA">
            <w:pPr>
              <w:jc w:val="center"/>
            </w:pPr>
            <w:r>
              <w:rPr>
                <w:color w:val="000000"/>
                <w:sz w:val="24"/>
                <w:szCs w:val="24"/>
              </w:rPr>
              <w:t>4</w:t>
            </w:r>
          </w:p>
        </w:tc>
        <w:tc>
          <w:tcPr>
            <w:tcW w:w="1475" w:type="dxa"/>
            <w:vAlign w:val="center"/>
          </w:tcPr>
          <w:p w:rsidR="00DF5465" w:rsidRDefault="007179CA">
            <w:pPr>
              <w:jc w:val="center"/>
            </w:pPr>
            <w:r>
              <w:rPr>
                <w:color w:val="000000"/>
                <w:sz w:val="24"/>
                <w:szCs w:val="24"/>
              </w:rPr>
              <w:t>1480316</w:t>
            </w:r>
          </w:p>
        </w:tc>
        <w:tc>
          <w:tcPr>
            <w:tcW w:w="1769" w:type="dxa"/>
            <w:vAlign w:val="center"/>
          </w:tcPr>
          <w:p w:rsidR="00DF5465" w:rsidRDefault="007179CA">
            <w:pPr>
              <w:jc w:val="center"/>
            </w:pPr>
            <w:r>
              <w:rPr>
                <w:color w:val="000000"/>
                <w:sz w:val="24"/>
                <w:szCs w:val="24"/>
              </w:rPr>
              <w:t>14</w:t>
            </w:r>
            <w:proofErr w:type="gramStart"/>
            <w:r>
              <w:rPr>
                <w:color w:val="000000"/>
                <w:sz w:val="24"/>
                <w:szCs w:val="24"/>
              </w:rPr>
              <w:t>一</w:t>
            </w:r>
            <w:proofErr w:type="gramEnd"/>
            <w:r>
              <w:rPr>
                <w:color w:val="000000"/>
                <w:sz w:val="24"/>
                <w:szCs w:val="24"/>
              </w:rPr>
              <w:t>师新鑫债</w:t>
            </w:r>
          </w:p>
        </w:tc>
        <w:tc>
          <w:tcPr>
            <w:tcW w:w="1387" w:type="dxa"/>
            <w:vAlign w:val="center"/>
          </w:tcPr>
          <w:p w:rsidR="00DF5465" w:rsidRDefault="007179CA">
            <w:pPr>
              <w:jc w:val="right"/>
            </w:pPr>
            <w:r>
              <w:rPr>
                <w:color w:val="000000"/>
                <w:sz w:val="24"/>
                <w:szCs w:val="24"/>
              </w:rPr>
              <w:t>500,000</w:t>
            </w:r>
          </w:p>
        </w:tc>
        <w:tc>
          <w:tcPr>
            <w:tcW w:w="2150" w:type="dxa"/>
            <w:vAlign w:val="center"/>
          </w:tcPr>
          <w:p w:rsidR="00DF5465" w:rsidRDefault="007179CA">
            <w:pPr>
              <w:jc w:val="right"/>
            </w:pPr>
            <w:r>
              <w:rPr>
                <w:color w:val="000000"/>
                <w:sz w:val="24"/>
                <w:szCs w:val="24"/>
              </w:rPr>
              <w:t>51,110,000.00</w:t>
            </w:r>
          </w:p>
        </w:tc>
        <w:tc>
          <w:tcPr>
            <w:tcW w:w="1237" w:type="dxa"/>
            <w:vAlign w:val="center"/>
          </w:tcPr>
          <w:p w:rsidR="00DF5465" w:rsidRDefault="007179CA">
            <w:pPr>
              <w:jc w:val="right"/>
            </w:pPr>
            <w:r>
              <w:rPr>
                <w:color w:val="000000"/>
                <w:sz w:val="24"/>
                <w:szCs w:val="24"/>
              </w:rPr>
              <w:t>10.76</w:t>
            </w:r>
          </w:p>
        </w:tc>
      </w:tr>
      <w:tr w:rsidR="00DF5465">
        <w:trPr>
          <w:jc w:val="center"/>
        </w:trPr>
        <w:tc>
          <w:tcPr>
            <w:tcW w:w="850" w:type="dxa"/>
            <w:vAlign w:val="center"/>
          </w:tcPr>
          <w:p w:rsidR="00DF5465" w:rsidRDefault="007179CA">
            <w:pPr>
              <w:jc w:val="center"/>
            </w:pPr>
            <w:r>
              <w:rPr>
                <w:color w:val="000000"/>
                <w:sz w:val="24"/>
                <w:szCs w:val="24"/>
              </w:rPr>
              <w:t>5</w:t>
            </w:r>
          </w:p>
        </w:tc>
        <w:tc>
          <w:tcPr>
            <w:tcW w:w="1475" w:type="dxa"/>
            <w:vAlign w:val="center"/>
          </w:tcPr>
          <w:p w:rsidR="00DF5465" w:rsidRDefault="007179CA">
            <w:pPr>
              <w:jc w:val="center"/>
            </w:pPr>
            <w:r>
              <w:rPr>
                <w:color w:val="000000"/>
                <w:sz w:val="24"/>
                <w:szCs w:val="24"/>
              </w:rPr>
              <w:t>124807</w:t>
            </w:r>
          </w:p>
        </w:tc>
        <w:tc>
          <w:tcPr>
            <w:tcW w:w="1769" w:type="dxa"/>
            <w:vAlign w:val="center"/>
          </w:tcPr>
          <w:p w:rsidR="00DF5465" w:rsidRDefault="007179CA">
            <w:pPr>
              <w:jc w:val="center"/>
            </w:pPr>
            <w:r>
              <w:rPr>
                <w:color w:val="000000"/>
                <w:sz w:val="24"/>
                <w:szCs w:val="24"/>
              </w:rPr>
              <w:t>14</w:t>
            </w:r>
            <w:r>
              <w:rPr>
                <w:color w:val="000000"/>
                <w:sz w:val="24"/>
                <w:szCs w:val="24"/>
              </w:rPr>
              <w:t>金国发</w:t>
            </w:r>
          </w:p>
        </w:tc>
        <w:tc>
          <w:tcPr>
            <w:tcW w:w="1387" w:type="dxa"/>
            <w:vAlign w:val="center"/>
          </w:tcPr>
          <w:p w:rsidR="00DF5465" w:rsidRDefault="007179CA">
            <w:pPr>
              <w:jc w:val="right"/>
            </w:pPr>
            <w:r>
              <w:rPr>
                <w:color w:val="000000"/>
                <w:sz w:val="24"/>
                <w:szCs w:val="24"/>
              </w:rPr>
              <w:t>500,000</w:t>
            </w:r>
          </w:p>
        </w:tc>
        <w:tc>
          <w:tcPr>
            <w:tcW w:w="2150" w:type="dxa"/>
            <w:vAlign w:val="center"/>
          </w:tcPr>
          <w:p w:rsidR="00DF5465" w:rsidRDefault="007179CA">
            <w:pPr>
              <w:jc w:val="right"/>
            </w:pPr>
            <w:r>
              <w:rPr>
                <w:color w:val="000000"/>
                <w:sz w:val="24"/>
                <w:szCs w:val="24"/>
              </w:rPr>
              <w:t>50,052,547.95</w:t>
            </w:r>
          </w:p>
        </w:tc>
        <w:tc>
          <w:tcPr>
            <w:tcW w:w="1237" w:type="dxa"/>
            <w:vAlign w:val="center"/>
          </w:tcPr>
          <w:p w:rsidR="00DF5465" w:rsidRDefault="007179CA">
            <w:pPr>
              <w:jc w:val="right"/>
            </w:pPr>
            <w:r>
              <w:rPr>
                <w:color w:val="000000"/>
                <w:sz w:val="24"/>
                <w:szCs w:val="24"/>
              </w:rPr>
              <w:t>10.53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78,117.02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8,582,390.94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9,407,653.91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98,522.17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18,166,684.04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w:t>
      </w:r>
      <w:proofErr w:type="gramStart"/>
      <w:r w:rsidR="004061AC" w:rsidRPr="00414345">
        <w:rPr>
          <w:bCs/>
          <w:color w:val="000000"/>
          <w:kern w:val="0"/>
          <w:sz w:val="24"/>
          <w:szCs w:val="24"/>
        </w:rPr>
        <w:t>期末前</w:t>
      </w:r>
      <w:proofErr w:type="gramEnd"/>
      <w:r w:rsidR="004061AC" w:rsidRPr="00414345">
        <w:rPr>
          <w:bCs/>
          <w:color w:val="000000"/>
          <w:kern w:val="0"/>
          <w:sz w:val="24"/>
          <w:szCs w:val="24"/>
        </w:rPr>
        <w:t>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DF5465">
        <w:trPr>
          <w:jc w:val="center"/>
        </w:trPr>
        <w:tc>
          <w:tcPr>
            <w:tcW w:w="1129" w:type="dxa"/>
            <w:vAlign w:val="center"/>
          </w:tcPr>
          <w:p w:rsidR="00DF5465" w:rsidRDefault="007179CA">
            <w:pPr>
              <w:jc w:val="center"/>
            </w:pPr>
            <w:r>
              <w:rPr>
                <w:color w:val="000000"/>
                <w:sz w:val="24"/>
                <w:szCs w:val="24"/>
              </w:rPr>
              <w:t>1</w:t>
            </w:r>
          </w:p>
        </w:tc>
        <w:tc>
          <w:tcPr>
            <w:tcW w:w="1356" w:type="dxa"/>
            <w:vAlign w:val="center"/>
          </w:tcPr>
          <w:p w:rsidR="00DF5465" w:rsidRDefault="007179CA">
            <w:pPr>
              <w:jc w:val="center"/>
            </w:pPr>
            <w:r>
              <w:rPr>
                <w:color w:val="000000"/>
                <w:sz w:val="24"/>
                <w:szCs w:val="24"/>
              </w:rPr>
              <w:t>300074</w:t>
            </w:r>
          </w:p>
        </w:tc>
        <w:tc>
          <w:tcPr>
            <w:tcW w:w="1355" w:type="dxa"/>
            <w:vAlign w:val="center"/>
          </w:tcPr>
          <w:p w:rsidR="00DF5465" w:rsidRDefault="007179CA">
            <w:pPr>
              <w:jc w:val="center"/>
            </w:pPr>
            <w:r>
              <w:rPr>
                <w:color w:val="000000"/>
                <w:sz w:val="24"/>
                <w:szCs w:val="24"/>
              </w:rPr>
              <w:t>华平股份</w:t>
            </w:r>
          </w:p>
        </w:tc>
        <w:tc>
          <w:tcPr>
            <w:tcW w:w="1880" w:type="dxa"/>
            <w:vAlign w:val="center"/>
          </w:tcPr>
          <w:p w:rsidR="00DF5465" w:rsidRDefault="007179CA">
            <w:pPr>
              <w:jc w:val="right"/>
            </w:pPr>
            <w:r>
              <w:rPr>
                <w:color w:val="000000"/>
                <w:sz w:val="24"/>
                <w:szCs w:val="24"/>
              </w:rPr>
              <w:t>9,356,568.31</w:t>
            </w:r>
          </w:p>
        </w:tc>
        <w:tc>
          <w:tcPr>
            <w:tcW w:w="1724" w:type="dxa"/>
            <w:vAlign w:val="center"/>
          </w:tcPr>
          <w:p w:rsidR="00DF5465" w:rsidRDefault="007179CA">
            <w:pPr>
              <w:jc w:val="right"/>
            </w:pPr>
            <w:r>
              <w:rPr>
                <w:color w:val="000000"/>
                <w:sz w:val="24"/>
                <w:szCs w:val="24"/>
              </w:rPr>
              <w:t>1.97</w:t>
            </w:r>
          </w:p>
        </w:tc>
        <w:tc>
          <w:tcPr>
            <w:tcW w:w="1424" w:type="dxa"/>
            <w:vAlign w:val="center"/>
          </w:tcPr>
          <w:p w:rsidR="00DF5465" w:rsidRDefault="007179CA">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553,411,391.55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w:t>
            </w:r>
            <w:proofErr w:type="gramStart"/>
            <w:r w:rsidRPr="00414345">
              <w:rPr>
                <w:color w:val="000000"/>
                <w:kern w:val="0"/>
                <w:sz w:val="24"/>
                <w:szCs w:val="24"/>
              </w:rPr>
              <w:t>期</w:t>
            </w:r>
            <w:r w:rsidR="004061AC" w:rsidRPr="00414345">
              <w:rPr>
                <w:color w:val="000000"/>
                <w:kern w:val="0"/>
                <w:sz w:val="24"/>
                <w:szCs w:val="24"/>
              </w:rPr>
              <w:t>基金</w:t>
            </w:r>
            <w:proofErr w:type="gramEnd"/>
            <w:r w:rsidR="004061AC" w:rsidRPr="00414345">
              <w:rPr>
                <w:color w:val="000000"/>
                <w:kern w:val="0"/>
                <w:sz w:val="24"/>
                <w:szCs w:val="24"/>
              </w:rPr>
              <w:t>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53,234,789.71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w:t>
            </w:r>
            <w:proofErr w:type="gramStart"/>
            <w:r w:rsidR="00FE179F" w:rsidRPr="00414345">
              <w:rPr>
                <w:color w:val="000000"/>
                <w:kern w:val="0"/>
                <w:sz w:val="24"/>
                <w:szCs w:val="24"/>
              </w:rPr>
              <w:t>期</w:t>
            </w:r>
            <w:r w:rsidRPr="00414345">
              <w:rPr>
                <w:color w:val="000000"/>
                <w:kern w:val="0"/>
                <w:sz w:val="24"/>
                <w:szCs w:val="24"/>
              </w:rPr>
              <w:t>基金</w:t>
            </w:r>
            <w:proofErr w:type="gramEnd"/>
            <w:r w:rsidRPr="00414345">
              <w:rPr>
                <w:color w:val="000000"/>
                <w:kern w:val="0"/>
                <w:sz w:val="24"/>
                <w:szCs w:val="24"/>
              </w:rPr>
              <w:t>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158,792,204.12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w:t>
            </w:r>
            <w:proofErr w:type="gramStart"/>
            <w:r w:rsidRPr="00414345">
              <w:rPr>
                <w:color w:val="000000"/>
                <w:kern w:val="0"/>
                <w:sz w:val="24"/>
                <w:szCs w:val="24"/>
              </w:rPr>
              <w:t>期</w:t>
            </w:r>
            <w:r w:rsidR="004061AC" w:rsidRPr="00414345">
              <w:rPr>
                <w:color w:val="000000"/>
                <w:kern w:val="0"/>
                <w:sz w:val="24"/>
                <w:szCs w:val="24"/>
              </w:rPr>
              <w:t>基金</w:t>
            </w:r>
            <w:proofErr w:type="gramEnd"/>
            <w:r w:rsidR="004061AC" w:rsidRPr="00414345">
              <w:rPr>
                <w:color w:val="000000"/>
                <w:kern w:val="0"/>
                <w:sz w:val="24"/>
                <w:szCs w:val="24"/>
              </w:rPr>
              <w:t>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447,853,977.14</w:t>
            </w:r>
          </w:p>
        </w:tc>
      </w:tr>
    </w:tbl>
    <w:p w:rsidR="00DF5465" w:rsidRDefault="007179CA">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179CA">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w:t>
      </w:r>
      <w:proofErr w:type="gramStart"/>
      <w:r w:rsidRPr="00ED2620">
        <w:rPr>
          <w:rFonts w:eastAsiaTheme="minorEastAsia"/>
          <w:color w:val="000000"/>
          <w:sz w:val="24"/>
        </w:rPr>
        <w:t>固有资金</w:t>
      </w:r>
      <w:proofErr w:type="gramEnd"/>
      <w:r w:rsidRPr="00ED2620">
        <w:rPr>
          <w:rFonts w:eastAsiaTheme="minorEastAsia"/>
          <w:color w:val="000000"/>
          <w:sz w:val="24"/>
        </w:rPr>
        <w:t>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7179CA">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依据中国证监会《关于进一步规范证券投资基金估值业务的指导意见》（证监会公告</w:t>
      </w:r>
      <w:r w:rsidRPr="00414345">
        <w:rPr>
          <w:color w:val="000000"/>
          <w:sz w:val="24"/>
          <w:szCs w:val="24"/>
        </w:rPr>
        <w:t>[2008]38</w:t>
      </w:r>
      <w:r w:rsidRPr="00414345">
        <w:rPr>
          <w:color w:val="000000"/>
          <w:sz w:val="24"/>
          <w:szCs w:val="24"/>
        </w:rPr>
        <w:t>号）的有关规定和《关于发布中基协（</w:t>
      </w:r>
      <w:r w:rsidRPr="00414345">
        <w:rPr>
          <w:color w:val="000000"/>
          <w:sz w:val="24"/>
          <w:szCs w:val="24"/>
        </w:rPr>
        <w:t>AMAC</w:t>
      </w:r>
      <w:r w:rsidRPr="00414345">
        <w:rPr>
          <w:color w:val="000000"/>
          <w:sz w:val="24"/>
          <w:szCs w:val="24"/>
        </w:rPr>
        <w:t>）基金行业股票估值指数的通知》的指导意见，经与基金托管人协商一致，本基金对其所对其所持有的华策影视（证券代码：</w:t>
      </w:r>
      <w:r w:rsidRPr="00414345">
        <w:rPr>
          <w:color w:val="000000"/>
          <w:sz w:val="24"/>
          <w:szCs w:val="24"/>
        </w:rPr>
        <w:t>300133</w:t>
      </w:r>
      <w:r w:rsidRPr="00414345">
        <w:rPr>
          <w:color w:val="000000"/>
          <w:sz w:val="24"/>
          <w:szCs w:val="24"/>
        </w:rPr>
        <w:t>）股票自</w:t>
      </w:r>
      <w:r w:rsidRPr="00414345">
        <w:rPr>
          <w:color w:val="000000"/>
          <w:sz w:val="24"/>
          <w:szCs w:val="24"/>
        </w:rPr>
        <w:t>2014</w:t>
      </w:r>
      <w:r w:rsidRPr="00414345">
        <w:rPr>
          <w:color w:val="000000"/>
          <w:sz w:val="24"/>
          <w:szCs w:val="24"/>
        </w:rPr>
        <w:t>年</w:t>
      </w:r>
      <w:r w:rsidRPr="00414345">
        <w:rPr>
          <w:color w:val="000000"/>
          <w:sz w:val="24"/>
          <w:szCs w:val="24"/>
        </w:rPr>
        <w:t>8</w:t>
      </w:r>
      <w:r w:rsidRPr="00414345">
        <w:rPr>
          <w:color w:val="000000"/>
          <w:sz w:val="24"/>
          <w:szCs w:val="24"/>
        </w:rPr>
        <w:t>月</w:t>
      </w:r>
      <w:r w:rsidRPr="00414345">
        <w:rPr>
          <w:color w:val="000000"/>
          <w:sz w:val="24"/>
          <w:szCs w:val="24"/>
        </w:rPr>
        <w:t>21</w:t>
      </w:r>
      <w:r w:rsidRPr="00414345">
        <w:rPr>
          <w:color w:val="000000"/>
          <w:sz w:val="24"/>
          <w:szCs w:val="24"/>
        </w:rPr>
        <w:t>日起按照指数收益法进行估值，并已于</w:t>
      </w:r>
      <w:r w:rsidRPr="00414345">
        <w:rPr>
          <w:color w:val="000000"/>
          <w:sz w:val="24"/>
          <w:szCs w:val="24"/>
        </w:rPr>
        <w:t>2014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10</w:t>
      </w:r>
      <w:r w:rsidRPr="00414345">
        <w:rPr>
          <w:color w:val="000000"/>
          <w:sz w:val="24"/>
          <w:szCs w:val="24"/>
        </w:rPr>
        <w:t>日起恢复按市场价格进行估值。</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7179CA">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DF5465" w:rsidRDefault="007179CA">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、中国证监会核准交银施罗德周期回报灵活配置混合型证券投资基金募集的文件；</w:t>
      </w:r>
      <w:r>
        <w:rPr>
          <w:color w:val="000000"/>
          <w:sz w:val="24"/>
          <w:szCs w:val="24"/>
        </w:rPr>
        <w:t xml:space="preserve"> </w:t>
      </w:r>
    </w:p>
    <w:p w:rsidR="00DF5465" w:rsidRDefault="007179CA">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、《交银施罗德周期回报灵活配置混合型证券投资基金基金合同》；</w:t>
      </w:r>
    </w:p>
    <w:p w:rsidR="00DF5465" w:rsidRDefault="007179CA">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、《交银施罗德周期回报灵活配置混合型证券投资基金招募说明书》；</w:t>
      </w:r>
    </w:p>
    <w:p w:rsidR="00DF5465" w:rsidRDefault="007179CA">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、《交银施罗德周期回报灵活配置混合型证券投资基金托管协议》；</w:t>
      </w:r>
    </w:p>
    <w:p w:rsidR="00DF5465" w:rsidRDefault="007179CA">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、关于申请募集交银施罗德周期回报灵活配置混合型证券投资基金之法律意见书；</w:t>
      </w:r>
    </w:p>
    <w:p w:rsidR="00DF5465" w:rsidRDefault="007179CA">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DF5465" w:rsidRDefault="007179CA">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、报告期内交银施罗德周期回报灵活配置混合型证券投资基金在指定报刊上各项公告的原稿。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DF5465" w:rsidRDefault="007179CA">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20B" w:rsidRDefault="00B4120B" w:rsidP="00876D65">
      <w:r>
        <w:separator/>
      </w:r>
    </w:p>
  </w:endnote>
  <w:endnote w:type="continuationSeparator" w:id="0">
    <w:p w:rsidR="00B4120B" w:rsidRDefault="00B4120B"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DF5465">
      <w:rPr>
        <w:kern w:val="0"/>
        <w:szCs w:val="21"/>
      </w:rPr>
      <w:fldChar w:fldCharType="begin"/>
    </w:r>
    <w:r>
      <w:rPr>
        <w:kern w:val="0"/>
        <w:szCs w:val="21"/>
      </w:rPr>
      <w:instrText xml:space="preserve"> PAGE </w:instrText>
    </w:r>
    <w:r w:rsidR="00DF5465">
      <w:rPr>
        <w:kern w:val="0"/>
        <w:szCs w:val="21"/>
      </w:rPr>
      <w:fldChar w:fldCharType="separate"/>
    </w:r>
    <w:r w:rsidR="00813219">
      <w:rPr>
        <w:noProof/>
        <w:kern w:val="0"/>
        <w:szCs w:val="21"/>
      </w:rPr>
      <w:t>4</w:t>
    </w:r>
    <w:r w:rsidR="00DF5465">
      <w:rPr>
        <w:kern w:val="0"/>
        <w:szCs w:val="21"/>
      </w:rPr>
      <w:fldChar w:fldCharType="end"/>
    </w:r>
    <w:proofErr w:type="gramStart"/>
    <w:r>
      <w:rPr>
        <w:rFonts w:hint="eastAsia"/>
        <w:kern w:val="0"/>
        <w:szCs w:val="21"/>
      </w:rPr>
      <w:t>页共</w:t>
    </w:r>
    <w:proofErr w:type="gramEnd"/>
    <w:r w:rsidR="00DF5465">
      <w:rPr>
        <w:kern w:val="0"/>
        <w:szCs w:val="21"/>
      </w:rPr>
      <w:fldChar w:fldCharType="begin"/>
    </w:r>
    <w:r>
      <w:rPr>
        <w:kern w:val="0"/>
        <w:szCs w:val="21"/>
      </w:rPr>
      <w:instrText xml:space="preserve"> NUMPAGES </w:instrText>
    </w:r>
    <w:r w:rsidR="00DF5465">
      <w:rPr>
        <w:kern w:val="0"/>
        <w:szCs w:val="21"/>
      </w:rPr>
      <w:fldChar w:fldCharType="separate"/>
    </w:r>
    <w:r w:rsidR="00813219">
      <w:rPr>
        <w:noProof/>
        <w:kern w:val="0"/>
        <w:szCs w:val="21"/>
      </w:rPr>
      <w:t>12</w:t>
    </w:r>
    <w:r w:rsidR="00DF5465">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20B" w:rsidRDefault="00B4120B" w:rsidP="00876D65">
      <w:r>
        <w:separator/>
      </w:r>
    </w:p>
  </w:footnote>
  <w:footnote w:type="continuationSeparator" w:id="0">
    <w:p w:rsidR="00B4120B" w:rsidRDefault="00B4120B"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25ED"/>
    <w:rsid w:val="00064D40"/>
    <w:rsid w:val="000815C0"/>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C0993"/>
    <w:rsid w:val="001C79F2"/>
    <w:rsid w:val="001D6A4B"/>
    <w:rsid w:val="001E4630"/>
    <w:rsid w:val="001F0964"/>
    <w:rsid w:val="001F30DA"/>
    <w:rsid w:val="001F5DC5"/>
    <w:rsid w:val="00200FAB"/>
    <w:rsid w:val="00213821"/>
    <w:rsid w:val="00213DFB"/>
    <w:rsid w:val="00217B92"/>
    <w:rsid w:val="002213D1"/>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6096"/>
    <w:rsid w:val="00427F58"/>
    <w:rsid w:val="00433805"/>
    <w:rsid w:val="00443869"/>
    <w:rsid w:val="00460575"/>
    <w:rsid w:val="00463EC0"/>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06A3F"/>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B0F"/>
    <w:rsid w:val="00636DB7"/>
    <w:rsid w:val="0063783A"/>
    <w:rsid w:val="006423B9"/>
    <w:rsid w:val="00642FA0"/>
    <w:rsid w:val="00654B0D"/>
    <w:rsid w:val="0065599B"/>
    <w:rsid w:val="00655CD8"/>
    <w:rsid w:val="00655E1C"/>
    <w:rsid w:val="006571DC"/>
    <w:rsid w:val="00660D4B"/>
    <w:rsid w:val="00664ECC"/>
    <w:rsid w:val="00670547"/>
    <w:rsid w:val="00670989"/>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5E68"/>
    <w:rsid w:val="00706D60"/>
    <w:rsid w:val="007075E3"/>
    <w:rsid w:val="00707F66"/>
    <w:rsid w:val="00710AE0"/>
    <w:rsid w:val="00713A1A"/>
    <w:rsid w:val="00713B5F"/>
    <w:rsid w:val="007179CA"/>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305"/>
    <w:rsid w:val="007B035B"/>
    <w:rsid w:val="007B4C04"/>
    <w:rsid w:val="007B5AFB"/>
    <w:rsid w:val="007C395A"/>
    <w:rsid w:val="007C5862"/>
    <w:rsid w:val="007D0922"/>
    <w:rsid w:val="007D100C"/>
    <w:rsid w:val="007E2686"/>
    <w:rsid w:val="007E57C0"/>
    <w:rsid w:val="007F29B1"/>
    <w:rsid w:val="008014F9"/>
    <w:rsid w:val="0080358B"/>
    <w:rsid w:val="008059BD"/>
    <w:rsid w:val="0081286B"/>
    <w:rsid w:val="00812D46"/>
    <w:rsid w:val="00813219"/>
    <w:rsid w:val="008148E0"/>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BE5"/>
    <w:rsid w:val="00B12B7D"/>
    <w:rsid w:val="00B16985"/>
    <w:rsid w:val="00B22DEE"/>
    <w:rsid w:val="00B27479"/>
    <w:rsid w:val="00B32AA7"/>
    <w:rsid w:val="00B34678"/>
    <w:rsid w:val="00B35024"/>
    <w:rsid w:val="00B371B4"/>
    <w:rsid w:val="00B40F64"/>
    <w:rsid w:val="00B4120B"/>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473"/>
    <w:rsid w:val="00BD7703"/>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0131"/>
    <w:rsid w:val="00C91E1B"/>
    <w:rsid w:val="00C9690F"/>
    <w:rsid w:val="00CA574C"/>
    <w:rsid w:val="00CA5FD5"/>
    <w:rsid w:val="00CA7703"/>
    <w:rsid w:val="00CB0F92"/>
    <w:rsid w:val="00CD4E6D"/>
    <w:rsid w:val="00CD4F19"/>
    <w:rsid w:val="00CD5707"/>
    <w:rsid w:val="00CD7702"/>
    <w:rsid w:val="00CE29EA"/>
    <w:rsid w:val="00CF04CF"/>
    <w:rsid w:val="00CF2D3E"/>
    <w:rsid w:val="00CF6572"/>
    <w:rsid w:val="00D01FE6"/>
    <w:rsid w:val="00D02347"/>
    <w:rsid w:val="00D046DB"/>
    <w:rsid w:val="00D04755"/>
    <w:rsid w:val="00D13737"/>
    <w:rsid w:val="00D1638E"/>
    <w:rsid w:val="00D2061C"/>
    <w:rsid w:val="00D21FFF"/>
    <w:rsid w:val="00D272A5"/>
    <w:rsid w:val="00D346D9"/>
    <w:rsid w:val="00D43AFB"/>
    <w:rsid w:val="00D44EE8"/>
    <w:rsid w:val="00D57B7C"/>
    <w:rsid w:val="00D65B44"/>
    <w:rsid w:val="00D75E69"/>
    <w:rsid w:val="00D8099B"/>
    <w:rsid w:val="00D866A8"/>
    <w:rsid w:val="00D94B8D"/>
    <w:rsid w:val="00D96C8D"/>
    <w:rsid w:val="00D974EF"/>
    <w:rsid w:val="00DA0C61"/>
    <w:rsid w:val="00DA14B0"/>
    <w:rsid w:val="00DA2876"/>
    <w:rsid w:val="00DC0B51"/>
    <w:rsid w:val="00DC6B55"/>
    <w:rsid w:val="00DE27F7"/>
    <w:rsid w:val="00DE4B43"/>
    <w:rsid w:val="00DF5465"/>
    <w:rsid w:val="00E02660"/>
    <w:rsid w:val="00E215BA"/>
    <w:rsid w:val="00E36549"/>
    <w:rsid w:val="00E40D31"/>
    <w:rsid w:val="00E41260"/>
    <w:rsid w:val="00E44E18"/>
    <w:rsid w:val="00E52DBC"/>
    <w:rsid w:val="00E54301"/>
    <w:rsid w:val="00E54BF5"/>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2499"/>
    <w:rsid w:val="00F22B0F"/>
    <w:rsid w:val="00F24B42"/>
    <w:rsid w:val="00F24F73"/>
    <w:rsid w:val="00F27299"/>
    <w:rsid w:val="00F31F6E"/>
    <w:rsid w:val="00F3389C"/>
    <w:rsid w:val="00F375F2"/>
    <w:rsid w:val="00F45C47"/>
    <w:rsid w:val="00F54EAE"/>
    <w:rsid w:val="00F66A51"/>
    <w:rsid w:val="00F71057"/>
    <w:rsid w:val="00F71A4B"/>
    <w:rsid w:val="00F728CF"/>
    <w:rsid w:val="00F743D4"/>
    <w:rsid w:val="00F80AC3"/>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D2A22AC-C5B4-47CB-B787-D0B44E6B0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8EB03-7C6A-44AF-8E5F-80C3291D6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1782</TotalTime>
  <Pages>12</Pages>
  <Words>1063</Words>
  <Characters>6062</Characters>
  <Application>Microsoft Office Word</Application>
  <DocSecurity>0</DocSecurity>
  <Lines>50</Lines>
  <Paragraphs>14</Paragraphs>
  <ScaleCrop>false</ScaleCrop>
  <Company/>
  <LinksUpToDate>false</LinksUpToDate>
  <CharactersWithSpaces>7111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540</cp:revision>
  <dcterms:created xsi:type="dcterms:W3CDTF">2012-10-16T06:07:00Z</dcterms:created>
  <dcterms:modified xsi:type="dcterms:W3CDTF">2014-10-21T03:16:00Z</dcterms:modified>
</cp:coreProperties>
</file>