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D73461">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879C4" w:rsidRDefault="001534E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D73461">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proofErr w:type="gramStart"/>
            <w:r w:rsidRPr="00414345">
              <w:rPr>
                <w:color w:val="000000"/>
                <w:kern w:val="0"/>
                <w:sz w:val="24"/>
                <w:szCs w:val="24"/>
              </w:rPr>
              <w:t>交银荣泰</w:t>
            </w:r>
            <w:proofErr w:type="gramEnd"/>
            <w:r w:rsidRPr="00414345">
              <w:rPr>
                <w:color w:val="000000"/>
                <w:kern w:val="0"/>
                <w:sz w:val="24"/>
                <w:szCs w:val="24"/>
              </w:rPr>
              <w:t>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243,504,998.55</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D73461">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1534EC" w:rsidRPr="00414345" w:rsidTr="001534E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534EC" w:rsidRPr="00414345" w:rsidTr="001534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4,665,695.75</w:t>
            </w:r>
          </w:p>
        </w:tc>
      </w:tr>
      <w:tr w:rsidR="001534EC" w:rsidRPr="00414345" w:rsidTr="001534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8,522,855.15</w:t>
            </w:r>
          </w:p>
        </w:tc>
      </w:tr>
      <w:tr w:rsidR="001534EC" w:rsidRPr="00414345" w:rsidTr="001534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0.0344</w:t>
            </w:r>
          </w:p>
        </w:tc>
      </w:tr>
      <w:tr w:rsidR="001534EC" w:rsidRPr="00414345" w:rsidTr="001534E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257,610,853.29</w:t>
            </w:r>
          </w:p>
        </w:tc>
      </w:tr>
      <w:tr w:rsidR="001534EC" w:rsidRPr="00414345" w:rsidTr="001534E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1.058</w:t>
            </w:r>
          </w:p>
        </w:tc>
      </w:tr>
    </w:tbl>
    <w:p w:rsidR="007879C4" w:rsidRDefault="001534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879C4">
        <w:trPr>
          <w:jc w:val="center"/>
        </w:trPr>
        <w:tc>
          <w:tcPr>
            <w:tcW w:w="1701" w:type="dxa"/>
            <w:vAlign w:val="center"/>
          </w:tcPr>
          <w:p w:rsidR="007879C4" w:rsidRDefault="001534EC">
            <w:pPr>
              <w:jc w:val="left"/>
            </w:pPr>
            <w:r>
              <w:rPr>
                <w:color w:val="000000"/>
                <w:sz w:val="24"/>
                <w:szCs w:val="24"/>
              </w:rPr>
              <w:t>过去三个月</w:t>
            </w:r>
          </w:p>
        </w:tc>
        <w:tc>
          <w:tcPr>
            <w:tcW w:w="1045" w:type="dxa"/>
            <w:vAlign w:val="center"/>
          </w:tcPr>
          <w:p w:rsidR="007879C4" w:rsidRDefault="001534EC">
            <w:pPr>
              <w:jc w:val="center"/>
            </w:pPr>
            <w:r>
              <w:rPr>
                <w:color w:val="000000"/>
                <w:sz w:val="24"/>
                <w:szCs w:val="24"/>
              </w:rPr>
              <w:t>3.42%</w:t>
            </w:r>
          </w:p>
        </w:tc>
        <w:tc>
          <w:tcPr>
            <w:tcW w:w="1344" w:type="dxa"/>
            <w:vAlign w:val="center"/>
          </w:tcPr>
          <w:p w:rsidR="007879C4" w:rsidRDefault="001534EC">
            <w:pPr>
              <w:jc w:val="center"/>
            </w:pPr>
            <w:r>
              <w:rPr>
                <w:color w:val="000000"/>
                <w:sz w:val="24"/>
                <w:szCs w:val="24"/>
              </w:rPr>
              <w:t>0.25%</w:t>
            </w:r>
          </w:p>
        </w:tc>
        <w:tc>
          <w:tcPr>
            <w:tcW w:w="1194" w:type="dxa"/>
            <w:vAlign w:val="center"/>
          </w:tcPr>
          <w:p w:rsidR="007879C4" w:rsidRDefault="001534EC">
            <w:pPr>
              <w:jc w:val="center"/>
            </w:pPr>
            <w:r>
              <w:rPr>
                <w:color w:val="000000"/>
                <w:sz w:val="24"/>
                <w:szCs w:val="24"/>
              </w:rPr>
              <w:t>1.09%</w:t>
            </w:r>
          </w:p>
        </w:tc>
        <w:tc>
          <w:tcPr>
            <w:tcW w:w="1492" w:type="dxa"/>
            <w:vAlign w:val="center"/>
          </w:tcPr>
          <w:p w:rsidR="007879C4" w:rsidRDefault="001534EC">
            <w:pPr>
              <w:jc w:val="center"/>
            </w:pPr>
            <w:r>
              <w:rPr>
                <w:color w:val="000000"/>
                <w:sz w:val="24"/>
                <w:szCs w:val="24"/>
              </w:rPr>
              <w:t>0.01%</w:t>
            </w:r>
          </w:p>
        </w:tc>
        <w:tc>
          <w:tcPr>
            <w:tcW w:w="1194" w:type="dxa"/>
            <w:vAlign w:val="center"/>
          </w:tcPr>
          <w:p w:rsidR="007879C4" w:rsidRDefault="001534EC">
            <w:pPr>
              <w:jc w:val="center"/>
            </w:pPr>
            <w:r>
              <w:rPr>
                <w:color w:val="000000"/>
                <w:sz w:val="24"/>
                <w:szCs w:val="24"/>
              </w:rPr>
              <w:t>2.33%</w:t>
            </w:r>
          </w:p>
        </w:tc>
        <w:tc>
          <w:tcPr>
            <w:tcW w:w="898" w:type="dxa"/>
            <w:vAlign w:val="center"/>
          </w:tcPr>
          <w:p w:rsidR="007879C4" w:rsidRDefault="001534EC">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bookmarkStart w:id="0" w:name="_GoBack"/>
      <w:bookmarkEnd w:id="0"/>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2013</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D73461">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879C4">
        <w:trPr>
          <w:jc w:val="center"/>
        </w:trPr>
        <w:tc>
          <w:tcPr>
            <w:tcW w:w="846" w:type="dxa"/>
            <w:vAlign w:val="center"/>
          </w:tcPr>
          <w:p w:rsidR="007879C4" w:rsidRDefault="001534EC">
            <w:pPr>
              <w:jc w:val="center"/>
            </w:pPr>
            <w:r>
              <w:rPr>
                <w:color w:val="000000"/>
                <w:sz w:val="24"/>
                <w:szCs w:val="24"/>
              </w:rPr>
              <w:t>项廷锋</w:t>
            </w:r>
          </w:p>
        </w:tc>
        <w:tc>
          <w:tcPr>
            <w:tcW w:w="845" w:type="dxa"/>
            <w:vAlign w:val="center"/>
          </w:tcPr>
          <w:p w:rsidR="007879C4" w:rsidRDefault="001534EC">
            <w:pPr>
              <w:jc w:val="center"/>
            </w:pPr>
            <w:r>
              <w:rPr>
                <w:color w:val="000000"/>
                <w:sz w:val="24"/>
                <w:szCs w:val="24"/>
              </w:rPr>
              <w:t>本基金、</w:t>
            </w:r>
            <w:proofErr w:type="gramStart"/>
            <w:r>
              <w:rPr>
                <w:color w:val="000000"/>
                <w:sz w:val="24"/>
                <w:szCs w:val="24"/>
              </w:rPr>
              <w:t>交银双利</w:t>
            </w:r>
            <w:proofErr w:type="gramEnd"/>
            <w:r>
              <w:rPr>
                <w:color w:val="000000"/>
                <w:sz w:val="24"/>
                <w:szCs w:val="24"/>
              </w:rPr>
              <w:t>债券、交</w:t>
            </w:r>
            <w:proofErr w:type="gramStart"/>
            <w:r>
              <w:rPr>
                <w:color w:val="000000"/>
                <w:sz w:val="24"/>
                <w:szCs w:val="24"/>
              </w:rPr>
              <w:t>银荣安</w:t>
            </w:r>
            <w:proofErr w:type="gramEnd"/>
            <w:r>
              <w:rPr>
                <w:color w:val="000000"/>
                <w:sz w:val="24"/>
                <w:szCs w:val="24"/>
              </w:rPr>
              <w:t>保本混合、交银荣祥保本混合、交银定</w:t>
            </w:r>
            <w:r>
              <w:rPr>
                <w:color w:val="000000"/>
                <w:sz w:val="24"/>
                <w:szCs w:val="24"/>
              </w:rPr>
              <w:lastRenderedPageBreak/>
              <w:t>期支付双</w:t>
            </w:r>
            <w:proofErr w:type="gramStart"/>
            <w:r>
              <w:rPr>
                <w:color w:val="000000"/>
                <w:sz w:val="24"/>
                <w:szCs w:val="24"/>
              </w:rPr>
              <w:t>息平衡</w:t>
            </w:r>
            <w:proofErr w:type="gramEnd"/>
            <w:r>
              <w:rPr>
                <w:color w:val="000000"/>
                <w:sz w:val="24"/>
                <w:szCs w:val="24"/>
              </w:rPr>
              <w:t>混合、交银周期回报灵活配置混合的基金经理，公司投资总监</w:t>
            </w:r>
          </w:p>
        </w:tc>
        <w:tc>
          <w:tcPr>
            <w:tcW w:w="1549" w:type="dxa"/>
            <w:vAlign w:val="center"/>
          </w:tcPr>
          <w:p w:rsidR="007879C4" w:rsidRDefault="001534EC">
            <w:pPr>
              <w:jc w:val="center"/>
            </w:pPr>
            <w:r>
              <w:rPr>
                <w:color w:val="000000"/>
                <w:sz w:val="24"/>
                <w:szCs w:val="24"/>
              </w:rPr>
              <w:lastRenderedPageBreak/>
              <w:t>2013-12-25</w:t>
            </w:r>
          </w:p>
        </w:tc>
        <w:tc>
          <w:tcPr>
            <w:tcW w:w="1548" w:type="dxa"/>
            <w:vAlign w:val="center"/>
          </w:tcPr>
          <w:p w:rsidR="007879C4" w:rsidRDefault="001534EC">
            <w:pPr>
              <w:jc w:val="center"/>
            </w:pPr>
            <w:r>
              <w:rPr>
                <w:color w:val="000000"/>
                <w:sz w:val="24"/>
                <w:szCs w:val="24"/>
              </w:rPr>
              <w:t>-</w:t>
            </w:r>
          </w:p>
        </w:tc>
        <w:tc>
          <w:tcPr>
            <w:tcW w:w="1407" w:type="dxa"/>
            <w:vAlign w:val="center"/>
          </w:tcPr>
          <w:p w:rsidR="007879C4" w:rsidRDefault="001534EC">
            <w:pPr>
              <w:jc w:val="center"/>
            </w:pPr>
            <w:r>
              <w:rPr>
                <w:color w:val="000000"/>
                <w:sz w:val="24"/>
                <w:szCs w:val="24"/>
              </w:rPr>
              <w:t>15</w:t>
            </w:r>
            <w:r>
              <w:rPr>
                <w:color w:val="000000"/>
                <w:sz w:val="24"/>
                <w:szCs w:val="24"/>
              </w:rPr>
              <w:t>年</w:t>
            </w:r>
          </w:p>
        </w:tc>
        <w:tc>
          <w:tcPr>
            <w:tcW w:w="2673" w:type="dxa"/>
            <w:vAlign w:val="center"/>
          </w:tcPr>
          <w:p w:rsidR="007879C4" w:rsidRDefault="001534EC">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w:t>
            </w:r>
            <w:proofErr w:type="gramStart"/>
            <w:r>
              <w:rPr>
                <w:color w:val="000000"/>
                <w:sz w:val="24"/>
                <w:szCs w:val="24"/>
              </w:rPr>
              <w:t>基金基金</w:t>
            </w:r>
            <w:proofErr w:type="gramEnd"/>
            <w:r>
              <w:rPr>
                <w:color w:val="000000"/>
                <w:sz w:val="24"/>
                <w:szCs w:val="24"/>
              </w:rPr>
              <w:t>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879C4" w:rsidRDefault="001534E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879C4" w:rsidRDefault="001534E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879C4" w:rsidRDefault="001534E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lastRenderedPageBreak/>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879C4" w:rsidRDefault="001534EC">
      <w:pPr>
        <w:spacing w:before="29" w:line="288" w:lineRule="auto"/>
        <w:ind w:firstLineChars="200" w:firstLine="480"/>
        <w:rPr>
          <w:color w:val="000000"/>
          <w:sz w:val="24"/>
          <w:szCs w:val="24"/>
        </w:rPr>
      </w:pPr>
      <w:r>
        <w:rPr>
          <w:color w:val="000000"/>
          <w:sz w:val="24"/>
          <w:szCs w:val="24"/>
        </w:rPr>
        <w:t>在本报告期内，经济运行仍显疲弱，</w:t>
      </w:r>
      <w:r>
        <w:rPr>
          <w:color w:val="000000"/>
          <w:sz w:val="24"/>
          <w:szCs w:val="24"/>
        </w:rPr>
        <w:t>8</w:t>
      </w:r>
      <w:r>
        <w:rPr>
          <w:color w:val="000000"/>
          <w:sz w:val="24"/>
          <w:szCs w:val="24"/>
        </w:rPr>
        <w:t>月工业增加值同比</w:t>
      </w:r>
      <w:proofErr w:type="gramStart"/>
      <w:r>
        <w:rPr>
          <w:color w:val="000000"/>
          <w:sz w:val="24"/>
          <w:szCs w:val="24"/>
        </w:rPr>
        <w:t>增速超</w:t>
      </w:r>
      <w:proofErr w:type="gramEnd"/>
      <w:r>
        <w:rPr>
          <w:color w:val="000000"/>
          <w:sz w:val="24"/>
          <w:szCs w:val="24"/>
        </w:rPr>
        <w:t>预期大幅回落，</w:t>
      </w:r>
      <w:r>
        <w:rPr>
          <w:color w:val="000000"/>
          <w:sz w:val="24"/>
          <w:szCs w:val="24"/>
        </w:rPr>
        <w:t>9</w:t>
      </w:r>
      <w:r>
        <w:rPr>
          <w:color w:val="000000"/>
          <w:sz w:val="24"/>
          <w:szCs w:val="24"/>
        </w:rPr>
        <w:t>月制造业</w:t>
      </w:r>
      <w:r>
        <w:rPr>
          <w:color w:val="000000"/>
          <w:sz w:val="24"/>
          <w:szCs w:val="24"/>
        </w:rPr>
        <w:t>PMI</w:t>
      </w:r>
      <w:r>
        <w:rPr>
          <w:color w:val="000000"/>
          <w:sz w:val="24"/>
          <w:szCs w:val="24"/>
        </w:rPr>
        <w:t>显示内需相对低迷，经济增长动能仍较乏力，另一方面，受猪价下行和国际因素影响，</w:t>
      </w:r>
      <w:r>
        <w:rPr>
          <w:color w:val="000000"/>
          <w:sz w:val="24"/>
          <w:szCs w:val="24"/>
        </w:rPr>
        <w:t>CPI</w:t>
      </w:r>
      <w:r>
        <w:rPr>
          <w:color w:val="000000"/>
          <w:sz w:val="24"/>
          <w:szCs w:val="24"/>
        </w:rPr>
        <w:t>仍在继续回落，经济运行的</w:t>
      </w:r>
      <w:r>
        <w:rPr>
          <w:color w:val="000000"/>
          <w:sz w:val="24"/>
          <w:szCs w:val="24"/>
        </w:rPr>
        <w:t>“</w:t>
      </w:r>
      <w:r>
        <w:rPr>
          <w:color w:val="000000"/>
          <w:sz w:val="24"/>
          <w:szCs w:val="24"/>
        </w:rPr>
        <w:t>新常态</w:t>
      </w:r>
      <w:r>
        <w:rPr>
          <w:color w:val="000000"/>
          <w:sz w:val="24"/>
          <w:szCs w:val="24"/>
        </w:rPr>
        <w:t>”</w:t>
      </w:r>
      <w:r>
        <w:rPr>
          <w:color w:val="000000"/>
          <w:sz w:val="24"/>
          <w:szCs w:val="24"/>
        </w:rPr>
        <w:t>已逐步被市场广泛认可；投资者对改革充满预期与期待，而改革的层层推进和系列举措的相继出台并推进落实，又反过来进一步强化了投资的预期与期待，市场因此而出现</w:t>
      </w:r>
      <w:r>
        <w:rPr>
          <w:color w:val="000000"/>
          <w:sz w:val="24"/>
          <w:szCs w:val="24"/>
        </w:rPr>
        <w:t>“</w:t>
      </w:r>
      <w:r>
        <w:rPr>
          <w:color w:val="000000"/>
          <w:sz w:val="24"/>
          <w:szCs w:val="24"/>
        </w:rPr>
        <w:t>股债双牛</w:t>
      </w:r>
      <w:r>
        <w:rPr>
          <w:color w:val="000000"/>
          <w:sz w:val="24"/>
          <w:szCs w:val="24"/>
        </w:rPr>
        <w:t>”</w:t>
      </w:r>
      <w:r>
        <w:rPr>
          <w:color w:val="000000"/>
          <w:sz w:val="24"/>
          <w:szCs w:val="24"/>
        </w:rPr>
        <w:t>局面。</w:t>
      </w:r>
    </w:p>
    <w:p w:rsidR="007879C4" w:rsidRDefault="001534EC">
      <w:pPr>
        <w:spacing w:before="29" w:line="288" w:lineRule="auto"/>
        <w:ind w:firstLineChars="200" w:firstLine="480"/>
        <w:rPr>
          <w:color w:val="000000"/>
          <w:sz w:val="24"/>
          <w:szCs w:val="24"/>
        </w:rPr>
      </w:pPr>
      <w:r>
        <w:rPr>
          <w:color w:val="000000"/>
          <w:sz w:val="24"/>
          <w:szCs w:val="24"/>
        </w:rPr>
        <w:t>就组合管理而言，保本资产方面，主要配置限定的几类保本资产可投资利率债券，部分地分享了债券市场上涨收益；收益性资产方面，配置策略在方向上符合市场实际表现，虽然力度偏弱了些，同时结构上还有提升空间，但在绝对收益的投资框架中，基本仍实现了既定的绝对收益管理目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展望四季度，经济有望实现</w:t>
      </w:r>
      <w:r w:rsidRPr="00414345">
        <w:rPr>
          <w:color w:val="000000"/>
          <w:sz w:val="24"/>
          <w:szCs w:val="24"/>
        </w:rPr>
        <w:t>8</w:t>
      </w:r>
      <w:r w:rsidRPr="00414345">
        <w:rPr>
          <w:color w:val="000000"/>
          <w:sz w:val="24"/>
          <w:szCs w:val="24"/>
        </w:rPr>
        <w:t>月触底后的温和反弹，通胀压力年内仍不明显。因此，比较而言，技术面可能对市场构成一定的约束。同时，美联储政策影响</w:t>
      </w:r>
      <w:proofErr w:type="gramStart"/>
      <w:r w:rsidRPr="00414345">
        <w:rPr>
          <w:color w:val="000000"/>
          <w:sz w:val="24"/>
          <w:szCs w:val="24"/>
        </w:rPr>
        <w:t>下美元</w:t>
      </w:r>
      <w:proofErr w:type="gramEnd"/>
      <w:r w:rsidRPr="00414345">
        <w:rPr>
          <w:color w:val="000000"/>
          <w:sz w:val="24"/>
          <w:szCs w:val="24"/>
        </w:rPr>
        <w:t>指数的走势和沪港通的实施，也可能在预期层面对市场产生一定的影响。不过，四季度也是估值切换、布局来年的时间点，就来年而言，我们仍充满期待。</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1.058</w:t>
      </w:r>
      <w:r w:rsidRPr="00414345">
        <w:rPr>
          <w:color w:val="000000"/>
          <w:sz w:val="24"/>
          <w:szCs w:val="24"/>
        </w:rPr>
        <w:t>元，本报告期份额净值增长率为</w:t>
      </w:r>
      <w:r w:rsidRPr="00414345">
        <w:rPr>
          <w:color w:val="000000"/>
          <w:sz w:val="24"/>
          <w:szCs w:val="24"/>
        </w:rPr>
        <w:t>3.42%</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D73461">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69,139,534.38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69,139,534.38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26.70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152,154,000.00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152,154,000.00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58.76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32,420,183.76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12.52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5,222,521.37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258,936,239.51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4038"/>
        <w:gridCol w:w="2347"/>
        <w:gridCol w:w="1638"/>
      </w:tblGrid>
      <w:tr w:rsidR="00531F10" w:rsidRPr="00414345" w:rsidTr="001534EC">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54738">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54738">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35,743,231.54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13.87</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3,377,682.00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1,940,874.00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0.75</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0.82</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1534EC">
            <w:pPr>
              <w:adjustRightInd w:val="0"/>
              <w:snapToGrid w:val="0"/>
              <w:spacing w:before="29" w:line="288" w:lineRule="auto"/>
              <w:jc w:val="left"/>
              <w:rPr>
                <w:sz w:val="24"/>
                <w:szCs w:val="24"/>
              </w:rPr>
            </w:pPr>
            <w:r w:rsidRPr="00414345">
              <w:rPr>
                <w:sz w:val="24"/>
                <w:szCs w:val="24"/>
              </w:rPr>
              <w:t>信息传输、软件和信息技术服务业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7,156,832.00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6,408,500.00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711,541.82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0.28</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3,468,273.02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1.35</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6,209,600.00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1534EC">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4038"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347"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69,139,534.38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879C4">
        <w:trPr>
          <w:jc w:val="center"/>
        </w:trPr>
        <w:tc>
          <w:tcPr>
            <w:tcW w:w="855" w:type="dxa"/>
            <w:vAlign w:val="center"/>
          </w:tcPr>
          <w:p w:rsidR="007879C4" w:rsidRDefault="001534EC">
            <w:pPr>
              <w:jc w:val="center"/>
            </w:pPr>
            <w:r>
              <w:rPr>
                <w:color w:val="000000"/>
                <w:sz w:val="24"/>
                <w:szCs w:val="24"/>
              </w:rPr>
              <w:t>1</w:t>
            </w:r>
          </w:p>
        </w:tc>
        <w:tc>
          <w:tcPr>
            <w:tcW w:w="1334" w:type="dxa"/>
            <w:vAlign w:val="center"/>
          </w:tcPr>
          <w:p w:rsidR="007879C4" w:rsidRDefault="001534EC">
            <w:pPr>
              <w:jc w:val="center"/>
            </w:pPr>
            <w:r>
              <w:rPr>
                <w:color w:val="000000"/>
                <w:sz w:val="24"/>
                <w:szCs w:val="24"/>
              </w:rPr>
              <w:t>002008</w:t>
            </w:r>
          </w:p>
        </w:tc>
        <w:tc>
          <w:tcPr>
            <w:tcW w:w="1777" w:type="dxa"/>
            <w:vAlign w:val="center"/>
          </w:tcPr>
          <w:p w:rsidR="007879C4" w:rsidRDefault="001534EC">
            <w:pPr>
              <w:jc w:val="center"/>
            </w:pPr>
            <w:r>
              <w:rPr>
                <w:color w:val="000000"/>
                <w:sz w:val="24"/>
                <w:szCs w:val="24"/>
              </w:rPr>
              <w:t>大族激光</w:t>
            </w:r>
          </w:p>
        </w:tc>
        <w:tc>
          <w:tcPr>
            <w:tcW w:w="1334" w:type="dxa"/>
            <w:vAlign w:val="center"/>
          </w:tcPr>
          <w:p w:rsidR="007879C4" w:rsidRDefault="001534EC">
            <w:pPr>
              <w:jc w:val="right"/>
            </w:pPr>
            <w:r>
              <w:rPr>
                <w:color w:val="000000"/>
                <w:sz w:val="24"/>
                <w:szCs w:val="24"/>
              </w:rPr>
              <w:t>400,000</w:t>
            </w:r>
          </w:p>
        </w:tc>
        <w:tc>
          <w:tcPr>
            <w:tcW w:w="1924" w:type="dxa"/>
            <w:vAlign w:val="center"/>
          </w:tcPr>
          <w:p w:rsidR="007879C4" w:rsidRDefault="001534EC">
            <w:pPr>
              <w:jc w:val="right"/>
            </w:pPr>
            <w:r>
              <w:rPr>
                <w:color w:val="000000"/>
                <w:sz w:val="24"/>
                <w:szCs w:val="24"/>
              </w:rPr>
              <w:t>7,820,000.00</w:t>
            </w:r>
          </w:p>
        </w:tc>
        <w:tc>
          <w:tcPr>
            <w:tcW w:w="1644" w:type="dxa"/>
            <w:vAlign w:val="center"/>
          </w:tcPr>
          <w:p w:rsidR="007879C4" w:rsidRDefault="001534EC">
            <w:pPr>
              <w:jc w:val="right"/>
            </w:pPr>
            <w:r>
              <w:rPr>
                <w:color w:val="000000"/>
                <w:sz w:val="24"/>
                <w:szCs w:val="24"/>
              </w:rPr>
              <w:t>3.04</w:t>
            </w:r>
          </w:p>
        </w:tc>
      </w:tr>
      <w:tr w:rsidR="007879C4">
        <w:trPr>
          <w:jc w:val="center"/>
        </w:trPr>
        <w:tc>
          <w:tcPr>
            <w:tcW w:w="855" w:type="dxa"/>
            <w:vAlign w:val="center"/>
          </w:tcPr>
          <w:p w:rsidR="007879C4" w:rsidRDefault="001534EC">
            <w:pPr>
              <w:jc w:val="center"/>
            </w:pPr>
            <w:r>
              <w:rPr>
                <w:color w:val="000000"/>
                <w:sz w:val="24"/>
                <w:szCs w:val="24"/>
              </w:rPr>
              <w:t>2</w:t>
            </w:r>
          </w:p>
        </w:tc>
        <w:tc>
          <w:tcPr>
            <w:tcW w:w="1334" w:type="dxa"/>
            <w:vAlign w:val="center"/>
          </w:tcPr>
          <w:p w:rsidR="007879C4" w:rsidRDefault="001534EC">
            <w:pPr>
              <w:jc w:val="center"/>
            </w:pPr>
            <w:r>
              <w:rPr>
                <w:color w:val="000000"/>
                <w:sz w:val="24"/>
                <w:szCs w:val="24"/>
              </w:rPr>
              <w:t>600584</w:t>
            </w:r>
          </w:p>
        </w:tc>
        <w:tc>
          <w:tcPr>
            <w:tcW w:w="1777" w:type="dxa"/>
            <w:vAlign w:val="center"/>
          </w:tcPr>
          <w:p w:rsidR="007879C4" w:rsidRDefault="001534EC">
            <w:pPr>
              <w:jc w:val="center"/>
            </w:pPr>
            <w:r>
              <w:rPr>
                <w:color w:val="000000"/>
                <w:sz w:val="24"/>
                <w:szCs w:val="24"/>
              </w:rPr>
              <w:t>长电科技</w:t>
            </w:r>
          </w:p>
        </w:tc>
        <w:tc>
          <w:tcPr>
            <w:tcW w:w="1334" w:type="dxa"/>
            <w:vAlign w:val="center"/>
          </w:tcPr>
          <w:p w:rsidR="007879C4" w:rsidRDefault="001534EC">
            <w:pPr>
              <w:jc w:val="right"/>
            </w:pPr>
            <w:r>
              <w:rPr>
                <w:color w:val="000000"/>
                <w:sz w:val="24"/>
                <w:szCs w:val="24"/>
              </w:rPr>
              <w:t>399,990</w:t>
            </w:r>
          </w:p>
        </w:tc>
        <w:tc>
          <w:tcPr>
            <w:tcW w:w="1924" w:type="dxa"/>
            <w:vAlign w:val="center"/>
          </w:tcPr>
          <w:p w:rsidR="007879C4" w:rsidRDefault="001534EC">
            <w:pPr>
              <w:jc w:val="right"/>
            </w:pPr>
            <w:r>
              <w:rPr>
                <w:color w:val="000000"/>
                <w:sz w:val="24"/>
                <w:szCs w:val="24"/>
              </w:rPr>
              <w:t>4,775,880.60</w:t>
            </w:r>
          </w:p>
        </w:tc>
        <w:tc>
          <w:tcPr>
            <w:tcW w:w="1644" w:type="dxa"/>
            <w:vAlign w:val="center"/>
          </w:tcPr>
          <w:p w:rsidR="007879C4" w:rsidRDefault="001534EC">
            <w:pPr>
              <w:jc w:val="right"/>
            </w:pPr>
            <w:r>
              <w:rPr>
                <w:color w:val="000000"/>
                <w:sz w:val="24"/>
                <w:szCs w:val="24"/>
              </w:rPr>
              <w:t>1.85</w:t>
            </w:r>
          </w:p>
        </w:tc>
      </w:tr>
      <w:tr w:rsidR="007879C4">
        <w:trPr>
          <w:jc w:val="center"/>
        </w:trPr>
        <w:tc>
          <w:tcPr>
            <w:tcW w:w="855" w:type="dxa"/>
            <w:vAlign w:val="center"/>
          </w:tcPr>
          <w:p w:rsidR="007879C4" w:rsidRDefault="001534EC">
            <w:pPr>
              <w:jc w:val="center"/>
            </w:pPr>
            <w:r>
              <w:rPr>
                <w:color w:val="000000"/>
                <w:sz w:val="24"/>
                <w:szCs w:val="24"/>
              </w:rPr>
              <w:t>3</w:t>
            </w:r>
          </w:p>
        </w:tc>
        <w:tc>
          <w:tcPr>
            <w:tcW w:w="1334" w:type="dxa"/>
            <w:vAlign w:val="center"/>
          </w:tcPr>
          <w:p w:rsidR="007879C4" w:rsidRDefault="001534EC">
            <w:pPr>
              <w:jc w:val="center"/>
            </w:pPr>
            <w:r>
              <w:rPr>
                <w:color w:val="000000"/>
                <w:sz w:val="24"/>
                <w:szCs w:val="24"/>
              </w:rPr>
              <w:t>600633</w:t>
            </w:r>
          </w:p>
        </w:tc>
        <w:tc>
          <w:tcPr>
            <w:tcW w:w="1777" w:type="dxa"/>
            <w:vAlign w:val="center"/>
          </w:tcPr>
          <w:p w:rsidR="007879C4" w:rsidRDefault="001534EC">
            <w:pPr>
              <w:jc w:val="center"/>
            </w:pPr>
            <w:r>
              <w:rPr>
                <w:color w:val="000000"/>
                <w:sz w:val="24"/>
                <w:szCs w:val="24"/>
              </w:rPr>
              <w:t>浙报传媒</w:t>
            </w:r>
          </w:p>
        </w:tc>
        <w:tc>
          <w:tcPr>
            <w:tcW w:w="1334" w:type="dxa"/>
            <w:vAlign w:val="center"/>
          </w:tcPr>
          <w:p w:rsidR="007879C4" w:rsidRDefault="001534EC">
            <w:pPr>
              <w:jc w:val="right"/>
            </w:pPr>
            <w:r>
              <w:rPr>
                <w:color w:val="000000"/>
                <w:sz w:val="24"/>
                <w:szCs w:val="24"/>
              </w:rPr>
              <w:t>200,000</w:t>
            </w:r>
          </w:p>
        </w:tc>
        <w:tc>
          <w:tcPr>
            <w:tcW w:w="1924" w:type="dxa"/>
            <w:vAlign w:val="center"/>
          </w:tcPr>
          <w:p w:rsidR="007879C4" w:rsidRDefault="001534EC">
            <w:pPr>
              <w:jc w:val="right"/>
            </w:pPr>
            <w:r>
              <w:rPr>
                <w:color w:val="000000"/>
                <w:sz w:val="24"/>
                <w:szCs w:val="24"/>
              </w:rPr>
              <w:t>4,024,000.00</w:t>
            </w:r>
          </w:p>
        </w:tc>
        <w:tc>
          <w:tcPr>
            <w:tcW w:w="1644" w:type="dxa"/>
            <w:vAlign w:val="center"/>
          </w:tcPr>
          <w:p w:rsidR="007879C4" w:rsidRDefault="001534EC">
            <w:pPr>
              <w:jc w:val="right"/>
            </w:pPr>
            <w:r>
              <w:rPr>
                <w:color w:val="000000"/>
                <w:sz w:val="24"/>
                <w:szCs w:val="24"/>
              </w:rPr>
              <w:t>1.56</w:t>
            </w:r>
          </w:p>
        </w:tc>
      </w:tr>
      <w:tr w:rsidR="007879C4">
        <w:trPr>
          <w:jc w:val="center"/>
        </w:trPr>
        <w:tc>
          <w:tcPr>
            <w:tcW w:w="855" w:type="dxa"/>
            <w:vAlign w:val="center"/>
          </w:tcPr>
          <w:p w:rsidR="007879C4" w:rsidRDefault="001534EC">
            <w:pPr>
              <w:jc w:val="center"/>
            </w:pPr>
            <w:r>
              <w:rPr>
                <w:color w:val="000000"/>
                <w:sz w:val="24"/>
                <w:szCs w:val="24"/>
              </w:rPr>
              <w:t>4</w:t>
            </w:r>
          </w:p>
        </w:tc>
        <w:tc>
          <w:tcPr>
            <w:tcW w:w="1334" w:type="dxa"/>
            <w:vAlign w:val="center"/>
          </w:tcPr>
          <w:p w:rsidR="007879C4" w:rsidRDefault="001534EC">
            <w:pPr>
              <w:jc w:val="center"/>
            </w:pPr>
            <w:r>
              <w:rPr>
                <w:color w:val="000000"/>
                <w:sz w:val="24"/>
                <w:szCs w:val="24"/>
              </w:rPr>
              <w:t>002665</w:t>
            </w:r>
          </w:p>
        </w:tc>
        <w:tc>
          <w:tcPr>
            <w:tcW w:w="1777" w:type="dxa"/>
            <w:vAlign w:val="center"/>
          </w:tcPr>
          <w:p w:rsidR="007879C4" w:rsidRDefault="001534EC">
            <w:pPr>
              <w:jc w:val="center"/>
            </w:pPr>
            <w:r>
              <w:rPr>
                <w:color w:val="000000"/>
                <w:sz w:val="24"/>
                <w:szCs w:val="24"/>
              </w:rPr>
              <w:t>首航节能</w:t>
            </w:r>
          </w:p>
        </w:tc>
        <w:tc>
          <w:tcPr>
            <w:tcW w:w="1334" w:type="dxa"/>
            <w:vAlign w:val="center"/>
          </w:tcPr>
          <w:p w:rsidR="007879C4" w:rsidRDefault="001534EC">
            <w:pPr>
              <w:jc w:val="right"/>
            </w:pPr>
            <w:r>
              <w:rPr>
                <w:color w:val="000000"/>
                <w:sz w:val="24"/>
                <w:szCs w:val="24"/>
              </w:rPr>
              <w:t>80,000</w:t>
            </w:r>
          </w:p>
        </w:tc>
        <w:tc>
          <w:tcPr>
            <w:tcW w:w="1924" w:type="dxa"/>
            <w:vAlign w:val="center"/>
          </w:tcPr>
          <w:p w:rsidR="007879C4" w:rsidRDefault="001534EC">
            <w:pPr>
              <w:jc w:val="right"/>
            </w:pPr>
            <w:r>
              <w:rPr>
                <w:color w:val="000000"/>
                <w:sz w:val="24"/>
                <w:szCs w:val="24"/>
              </w:rPr>
              <w:t>3,522,400.00</w:t>
            </w:r>
          </w:p>
        </w:tc>
        <w:tc>
          <w:tcPr>
            <w:tcW w:w="1644" w:type="dxa"/>
            <w:vAlign w:val="center"/>
          </w:tcPr>
          <w:p w:rsidR="007879C4" w:rsidRDefault="001534EC">
            <w:pPr>
              <w:jc w:val="right"/>
            </w:pPr>
            <w:r>
              <w:rPr>
                <w:color w:val="000000"/>
                <w:sz w:val="24"/>
                <w:szCs w:val="24"/>
              </w:rPr>
              <w:t>1.37</w:t>
            </w:r>
          </w:p>
        </w:tc>
      </w:tr>
      <w:tr w:rsidR="007879C4">
        <w:trPr>
          <w:jc w:val="center"/>
        </w:trPr>
        <w:tc>
          <w:tcPr>
            <w:tcW w:w="855" w:type="dxa"/>
            <w:vAlign w:val="center"/>
          </w:tcPr>
          <w:p w:rsidR="007879C4" w:rsidRDefault="001534EC">
            <w:pPr>
              <w:jc w:val="center"/>
            </w:pPr>
            <w:r>
              <w:rPr>
                <w:color w:val="000000"/>
                <w:sz w:val="24"/>
                <w:szCs w:val="24"/>
              </w:rPr>
              <w:t>5</w:t>
            </w:r>
          </w:p>
        </w:tc>
        <w:tc>
          <w:tcPr>
            <w:tcW w:w="1334" w:type="dxa"/>
            <w:vAlign w:val="center"/>
          </w:tcPr>
          <w:p w:rsidR="007879C4" w:rsidRDefault="001534EC">
            <w:pPr>
              <w:jc w:val="center"/>
            </w:pPr>
            <w:r>
              <w:rPr>
                <w:color w:val="000000"/>
                <w:sz w:val="24"/>
                <w:szCs w:val="24"/>
              </w:rPr>
              <w:t>000927</w:t>
            </w:r>
          </w:p>
        </w:tc>
        <w:tc>
          <w:tcPr>
            <w:tcW w:w="1777" w:type="dxa"/>
            <w:vAlign w:val="center"/>
          </w:tcPr>
          <w:p w:rsidR="007879C4" w:rsidRDefault="001534EC">
            <w:pPr>
              <w:jc w:val="center"/>
            </w:pPr>
            <w:proofErr w:type="gramStart"/>
            <w:r>
              <w:rPr>
                <w:color w:val="000000"/>
                <w:sz w:val="24"/>
                <w:szCs w:val="24"/>
              </w:rPr>
              <w:t>一</w:t>
            </w:r>
            <w:proofErr w:type="gramEnd"/>
            <w:r>
              <w:rPr>
                <w:color w:val="000000"/>
                <w:sz w:val="24"/>
                <w:szCs w:val="24"/>
              </w:rPr>
              <w:t>汽夏利</w:t>
            </w:r>
          </w:p>
        </w:tc>
        <w:tc>
          <w:tcPr>
            <w:tcW w:w="1334" w:type="dxa"/>
            <w:vAlign w:val="center"/>
          </w:tcPr>
          <w:p w:rsidR="007879C4" w:rsidRDefault="001534EC">
            <w:pPr>
              <w:jc w:val="right"/>
            </w:pPr>
            <w:r>
              <w:rPr>
                <w:color w:val="000000"/>
                <w:sz w:val="24"/>
                <w:szCs w:val="24"/>
              </w:rPr>
              <w:t>709,200</w:t>
            </w:r>
          </w:p>
        </w:tc>
        <w:tc>
          <w:tcPr>
            <w:tcW w:w="1924" w:type="dxa"/>
            <w:vAlign w:val="center"/>
          </w:tcPr>
          <w:p w:rsidR="007879C4" w:rsidRDefault="001534EC">
            <w:pPr>
              <w:jc w:val="right"/>
            </w:pPr>
            <w:r>
              <w:rPr>
                <w:color w:val="000000"/>
                <w:sz w:val="24"/>
                <w:szCs w:val="24"/>
              </w:rPr>
              <w:t>3,439,620.00</w:t>
            </w:r>
          </w:p>
        </w:tc>
        <w:tc>
          <w:tcPr>
            <w:tcW w:w="1644" w:type="dxa"/>
            <w:vAlign w:val="center"/>
          </w:tcPr>
          <w:p w:rsidR="007879C4" w:rsidRDefault="001534EC">
            <w:pPr>
              <w:jc w:val="right"/>
            </w:pPr>
            <w:r>
              <w:rPr>
                <w:color w:val="000000"/>
                <w:sz w:val="24"/>
                <w:szCs w:val="24"/>
              </w:rPr>
              <w:t>1.34</w:t>
            </w:r>
          </w:p>
        </w:tc>
      </w:tr>
      <w:tr w:rsidR="007879C4">
        <w:trPr>
          <w:jc w:val="center"/>
        </w:trPr>
        <w:tc>
          <w:tcPr>
            <w:tcW w:w="855" w:type="dxa"/>
            <w:vAlign w:val="center"/>
          </w:tcPr>
          <w:p w:rsidR="007879C4" w:rsidRDefault="001534EC">
            <w:pPr>
              <w:jc w:val="center"/>
            </w:pPr>
            <w:r>
              <w:rPr>
                <w:color w:val="000000"/>
                <w:sz w:val="24"/>
                <w:szCs w:val="24"/>
              </w:rPr>
              <w:t>6</w:t>
            </w:r>
          </w:p>
        </w:tc>
        <w:tc>
          <w:tcPr>
            <w:tcW w:w="1334" w:type="dxa"/>
            <w:vAlign w:val="center"/>
          </w:tcPr>
          <w:p w:rsidR="007879C4" w:rsidRDefault="001534EC">
            <w:pPr>
              <w:jc w:val="center"/>
            </w:pPr>
            <w:r>
              <w:rPr>
                <w:color w:val="000000"/>
                <w:sz w:val="24"/>
                <w:szCs w:val="24"/>
              </w:rPr>
              <w:t>600804</w:t>
            </w:r>
          </w:p>
        </w:tc>
        <w:tc>
          <w:tcPr>
            <w:tcW w:w="1777" w:type="dxa"/>
            <w:vAlign w:val="center"/>
          </w:tcPr>
          <w:p w:rsidR="007879C4" w:rsidRDefault="001534EC">
            <w:pPr>
              <w:jc w:val="center"/>
            </w:pPr>
            <w:r>
              <w:rPr>
                <w:color w:val="000000"/>
                <w:sz w:val="24"/>
                <w:szCs w:val="24"/>
              </w:rPr>
              <w:t>鹏博士</w:t>
            </w:r>
          </w:p>
        </w:tc>
        <w:tc>
          <w:tcPr>
            <w:tcW w:w="1334" w:type="dxa"/>
            <w:vAlign w:val="center"/>
          </w:tcPr>
          <w:p w:rsidR="007879C4" w:rsidRDefault="001534EC">
            <w:pPr>
              <w:jc w:val="right"/>
            </w:pPr>
            <w:r>
              <w:rPr>
                <w:color w:val="000000"/>
                <w:sz w:val="24"/>
                <w:szCs w:val="24"/>
              </w:rPr>
              <w:t>200,000</w:t>
            </w:r>
          </w:p>
        </w:tc>
        <w:tc>
          <w:tcPr>
            <w:tcW w:w="1924" w:type="dxa"/>
            <w:vAlign w:val="center"/>
          </w:tcPr>
          <w:p w:rsidR="007879C4" w:rsidRDefault="001534EC">
            <w:pPr>
              <w:jc w:val="right"/>
            </w:pPr>
            <w:r>
              <w:rPr>
                <w:color w:val="000000"/>
                <w:sz w:val="24"/>
                <w:szCs w:val="24"/>
              </w:rPr>
              <w:t>3,364,000.00</w:t>
            </w:r>
          </w:p>
        </w:tc>
        <w:tc>
          <w:tcPr>
            <w:tcW w:w="1644" w:type="dxa"/>
            <w:vAlign w:val="center"/>
          </w:tcPr>
          <w:p w:rsidR="007879C4" w:rsidRDefault="001534EC">
            <w:pPr>
              <w:jc w:val="right"/>
            </w:pPr>
            <w:r>
              <w:rPr>
                <w:color w:val="000000"/>
                <w:sz w:val="24"/>
                <w:szCs w:val="24"/>
              </w:rPr>
              <w:t>1.31</w:t>
            </w:r>
          </w:p>
        </w:tc>
      </w:tr>
      <w:tr w:rsidR="007879C4">
        <w:trPr>
          <w:jc w:val="center"/>
        </w:trPr>
        <w:tc>
          <w:tcPr>
            <w:tcW w:w="855" w:type="dxa"/>
            <w:vAlign w:val="center"/>
          </w:tcPr>
          <w:p w:rsidR="007879C4" w:rsidRDefault="001534EC">
            <w:pPr>
              <w:jc w:val="center"/>
            </w:pPr>
            <w:r>
              <w:rPr>
                <w:color w:val="000000"/>
                <w:sz w:val="24"/>
                <w:szCs w:val="24"/>
              </w:rPr>
              <w:t>7</w:t>
            </w:r>
          </w:p>
        </w:tc>
        <w:tc>
          <w:tcPr>
            <w:tcW w:w="1334" w:type="dxa"/>
            <w:vAlign w:val="center"/>
          </w:tcPr>
          <w:p w:rsidR="007879C4" w:rsidRDefault="001534EC">
            <w:pPr>
              <w:jc w:val="center"/>
            </w:pPr>
            <w:r>
              <w:rPr>
                <w:color w:val="000000"/>
                <w:sz w:val="24"/>
                <w:szCs w:val="24"/>
              </w:rPr>
              <w:t>600067</w:t>
            </w:r>
          </w:p>
        </w:tc>
        <w:tc>
          <w:tcPr>
            <w:tcW w:w="1777" w:type="dxa"/>
            <w:vAlign w:val="center"/>
          </w:tcPr>
          <w:p w:rsidR="007879C4" w:rsidRDefault="001534EC">
            <w:pPr>
              <w:jc w:val="center"/>
            </w:pPr>
            <w:proofErr w:type="gramStart"/>
            <w:r>
              <w:rPr>
                <w:color w:val="000000"/>
                <w:sz w:val="24"/>
                <w:szCs w:val="24"/>
              </w:rPr>
              <w:t>冠城大通</w:t>
            </w:r>
            <w:proofErr w:type="gramEnd"/>
          </w:p>
        </w:tc>
        <w:tc>
          <w:tcPr>
            <w:tcW w:w="1334" w:type="dxa"/>
            <w:vAlign w:val="center"/>
          </w:tcPr>
          <w:p w:rsidR="007879C4" w:rsidRDefault="001534EC">
            <w:pPr>
              <w:jc w:val="right"/>
            </w:pPr>
            <w:r>
              <w:rPr>
                <w:color w:val="000000"/>
                <w:sz w:val="24"/>
                <w:szCs w:val="24"/>
              </w:rPr>
              <w:t>500,000</w:t>
            </w:r>
          </w:p>
        </w:tc>
        <w:tc>
          <w:tcPr>
            <w:tcW w:w="1924" w:type="dxa"/>
            <w:vAlign w:val="center"/>
          </w:tcPr>
          <w:p w:rsidR="007879C4" w:rsidRDefault="001534EC">
            <w:pPr>
              <w:jc w:val="right"/>
            </w:pPr>
            <w:r>
              <w:rPr>
                <w:color w:val="000000"/>
                <w:sz w:val="24"/>
                <w:szCs w:val="24"/>
              </w:rPr>
              <w:t>3,255,000.00</w:t>
            </w:r>
          </w:p>
        </w:tc>
        <w:tc>
          <w:tcPr>
            <w:tcW w:w="1644" w:type="dxa"/>
            <w:vAlign w:val="center"/>
          </w:tcPr>
          <w:p w:rsidR="007879C4" w:rsidRDefault="001534EC">
            <w:pPr>
              <w:jc w:val="right"/>
            </w:pPr>
            <w:r>
              <w:rPr>
                <w:color w:val="000000"/>
                <w:sz w:val="24"/>
                <w:szCs w:val="24"/>
              </w:rPr>
              <w:t>1.26</w:t>
            </w:r>
          </w:p>
        </w:tc>
      </w:tr>
      <w:tr w:rsidR="007879C4">
        <w:trPr>
          <w:jc w:val="center"/>
        </w:trPr>
        <w:tc>
          <w:tcPr>
            <w:tcW w:w="855" w:type="dxa"/>
            <w:vAlign w:val="center"/>
          </w:tcPr>
          <w:p w:rsidR="007879C4" w:rsidRDefault="001534EC">
            <w:pPr>
              <w:jc w:val="center"/>
            </w:pPr>
            <w:r>
              <w:rPr>
                <w:color w:val="000000"/>
                <w:sz w:val="24"/>
                <w:szCs w:val="24"/>
              </w:rPr>
              <w:t>8</w:t>
            </w:r>
          </w:p>
        </w:tc>
        <w:tc>
          <w:tcPr>
            <w:tcW w:w="1334" w:type="dxa"/>
            <w:vAlign w:val="center"/>
          </w:tcPr>
          <w:p w:rsidR="007879C4" w:rsidRDefault="001534EC">
            <w:pPr>
              <w:jc w:val="center"/>
            </w:pPr>
            <w:r>
              <w:rPr>
                <w:color w:val="000000"/>
                <w:sz w:val="24"/>
                <w:szCs w:val="24"/>
              </w:rPr>
              <w:t>603005</w:t>
            </w:r>
          </w:p>
        </w:tc>
        <w:tc>
          <w:tcPr>
            <w:tcW w:w="1777" w:type="dxa"/>
            <w:vAlign w:val="center"/>
          </w:tcPr>
          <w:p w:rsidR="007879C4" w:rsidRDefault="001534EC">
            <w:pPr>
              <w:jc w:val="center"/>
            </w:pPr>
            <w:proofErr w:type="gramStart"/>
            <w:r>
              <w:rPr>
                <w:color w:val="000000"/>
                <w:sz w:val="24"/>
                <w:szCs w:val="24"/>
              </w:rPr>
              <w:t>晶方科技</w:t>
            </w:r>
            <w:proofErr w:type="gramEnd"/>
          </w:p>
        </w:tc>
        <w:tc>
          <w:tcPr>
            <w:tcW w:w="1334" w:type="dxa"/>
            <w:vAlign w:val="center"/>
          </w:tcPr>
          <w:p w:rsidR="007879C4" w:rsidRDefault="001534EC">
            <w:pPr>
              <w:jc w:val="right"/>
            </w:pPr>
            <w:r>
              <w:rPr>
                <w:color w:val="000000"/>
                <w:sz w:val="24"/>
                <w:szCs w:val="24"/>
              </w:rPr>
              <w:t>58,731</w:t>
            </w:r>
          </w:p>
        </w:tc>
        <w:tc>
          <w:tcPr>
            <w:tcW w:w="1924" w:type="dxa"/>
            <w:vAlign w:val="center"/>
          </w:tcPr>
          <w:p w:rsidR="007879C4" w:rsidRDefault="001534EC">
            <w:pPr>
              <w:jc w:val="right"/>
            </w:pPr>
            <w:r>
              <w:rPr>
                <w:color w:val="000000"/>
                <w:sz w:val="24"/>
                <w:szCs w:val="24"/>
              </w:rPr>
              <w:t>2,804,992.56</w:t>
            </w:r>
          </w:p>
        </w:tc>
        <w:tc>
          <w:tcPr>
            <w:tcW w:w="1644" w:type="dxa"/>
            <w:vAlign w:val="center"/>
          </w:tcPr>
          <w:p w:rsidR="007879C4" w:rsidRDefault="001534EC">
            <w:pPr>
              <w:jc w:val="right"/>
            </w:pPr>
            <w:r>
              <w:rPr>
                <w:color w:val="000000"/>
                <w:sz w:val="24"/>
                <w:szCs w:val="24"/>
              </w:rPr>
              <w:t>1.09</w:t>
            </w:r>
          </w:p>
        </w:tc>
      </w:tr>
      <w:tr w:rsidR="007879C4">
        <w:trPr>
          <w:jc w:val="center"/>
        </w:trPr>
        <w:tc>
          <w:tcPr>
            <w:tcW w:w="855" w:type="dxa"/>
            <w:vAlign w:val="center"/>
          </w:tcPr>
          <w:p w:rsidR="007879C4" w:rsidRDefault="001534EC">
            <w:pPr>
              <w:jc w:val="center"/>
            </w:pPr>
            <w:r>
              <w:rPr>
                <w:color w:val="000000"/>
                <w:sz w:val="24"/>
                <w:szCs w:val="24"/>
              </w:rPr>
              <w:t>9</w:t>
            </w:r>
          </w:p>
        </w:tc>
        <w:tc>
          <w:tcPr>
            <w:tcW w:w="1334" w:type="dxa"/>
            <w:vAlign w:val="center"/>
          </w:tcPr>
          <w:p w:rsidR="007879C4" w:rsidRDefault="001534EC">
            <w:pPr>
              <w:jc w:val="center"/>
            </w:pPr>
            <w:r>
              <w:rPr>
                <w:color w:val="000000"/>
                <w:sz w:val="24"/>
                <w:szCs w:val="24"/>
              </w:rPr>
              <w:t>300347</w:t>
            </w:r>
          </w:p>
        </w:tc>
        <w:tc>
          <w:tcPr>
            <w:tcW w:w="1777" w:type="dxa"/>
            <w:vAlign w:val="center"/>
          </w:tcPr>
          <w:p w:rsidR="007879C4" w:rsidRDefault="001534EC">
            <w:pPr>
              <w:jc w:val="center"/>
            </w:pPr>
            <w:r>
              <w:rPr>
                <w:color w:val="000000"/>
                <w:sz w:val="24"/>
                <w:szCs w:val="24"/>
              </w:rPr>
              <w:t>泰格医药</w:t>
            </w:r>
          </w:p>
        </w:tc>
        <w:tc>
          <w:tcPr>
            <w:tcW w:w="1334" w:type="dxa"/>
            <w:vAlign w:val="center"/>
          </w:tcPr>
          <w:p w:rsidR="007879C4" w:rsidRDefault="001534EC">
            <w:pPr>
              <w:jc w:val="right"/>
            </w:pPr>
            <w:r>
              <w:rPr>
                <w:color w:val="000000"/>
                <w:sz w:val="24"/>
                <w:szCs w:val="24"/>
              </w:rPr>
              <w:t>80,000</w:t>
            </w:r>
          </w:p>
        </w:tc>
        <w:tc>
          <w:tcPr>
            <w:tcW w:w="1924" w:type="dxa"/>
            <w:vAlign w:val="center"/>
          </w:tcPr>
          <w:p w:rsidR="007879C4" w:rsidRDefault="001534EC">
            <w:pPr>
              <w:jc w:val="right"/>
            </w:pPr>
            <w:r>
              <w:rPr>
                <w:color w:val="000000"/>
                <w:sz w:val="24"/>
                <w:szCs w:val="24"/>
              </w:rPr>
              <w:t>2,727,200.00</w:t>
            </w:r>
          </w:p>
        </w:tc>
        <w:tc>
          <w:tcPr>
            <w:tcW w:w="1644" w:type="dxa"/>
            <w:vAlign w:val="center"/>
          </w:tcPr>
          <w:p w:rsidR="007879C4" w:rsidRDefault="001534EC">
            <w:pPr>
              <w:jc w:val="right"/>
            </w:pPr>
            <w:r>
              <w:rPr>
                <w:color w:val="000000"/>
                <w:sz w:val="24"/>
                <w:szCs w:val="24"/>
              </w:rPr>
              <w:t>1.06</w:t>
            </w:r>
          </w:p>
        </w:tc>
      </w:tr>
      <w:tr w:rsidR="007879C4">
        <w:trPr>
          <w:jc w:val="center"/>
        </w:trPr>
        <w:tc>
          <w:tcPr>
            <w:tcW w:w="855" w:type="dxa"/>
            <w:vAlign w:val="center"/>
          </w:tcPr>
          <w:p w:rsidR="007879C4" w:rsidRDefault="001534EC">
            <w:pPr>
              <w:jc w:val="center"/>
            </w:pPr>
            <w:r>
              <w:rPr>
                <w:color w:val="000000"/>
                <w:sz w:val="24"/>
                <w:szCs w:val="24"/>
              </w:rPr>
              <w:t>10</w:t>
            </w:r>
          </w:p>
        </w:tc>
        <w:tc>
          <w:tcPr>
            <w:tcW w:w="1334" w:type="dxa"/>
            <w:vAlign w:val="center"/>
          </w:tcPr>
          <w:p w:rsidR="007879C4" w:rsidRDefault="001534EC">
            <w:pPr>
              <w:jc w:val="center"/>
            </w:pPr>
            <w:r>
              <w:rPr>
                <w:color w:val="000000"/>
                <w:sz w:val="24"/>
                <w:szCs w:val="24"/>
              </w:rPr>
              <w:t>600208</w:t>
            </w:r>
          </w:p>
        </w:tc>
        <w:tc>
          <w:tcPr>
            <w:tcW w:w="1777" w:type="dxa"/>
            <w:vAlign w:val="center"/>
          </w:tcPr>
          <w:p w:rsidR="007879C4" w:rsidRDefault="001534EC">
            <w:pPr>
              <w:jc w:val="center"/>
            </w:pPr>
            <w:r>
              <w:rPr>
                <w:color w:val="000000"/>
                <w:sz w:val="24"/>
                <w:szCs w:val="24"/>
              </w:rPr>
              <w:t>新湖中宝</w:t>
            </w:r>
          </w:p>
        </w:tc>
        <w:tc>
          <w:tcPr>
            <w:tcW w:w="1334" w:type="dxa"/>
            <w:vAlign w:val="center"/>
          </w:tcPr>
          <w:p w:rsidR="007879C4" w:rsidRDefault="001534EC">
            <w:pPr>
              <w:jc w:val="right"/>
            </w:pPr>
            <w:r>
              <w:rPr>
                <w:color w:val="000000"/>
                <w:sz w:val="24"/>
                <w:szCs w:val="24"/>
              </w:rPr>
              <w:t>600,000</w:t>
            </w:r>
          </w:p>
        </w:tc>
        <w:tc>
          <w:tcPr>
            <w:tcW w:w="1924" w:type="dxa"/>
            <w:vAlign w:val="center"/>
          </w:tcPr>
          <w:p w:rsidR="007879C4" w:rsidRDefault="001534EC">
            <w:pPr>
              <w:jc w:val="right"/>
            </w:pPr>
            <w:r>
              <w:rPr>
                <w:color w:val="000000"/>
                <w:sz w:val="24"/>
                <w:szCs w:val="24"/>
              </w:rPr>
              <w:t>2,514,000.00</w:t>
            </w:r>
          </w:p>
        </w:tc>
        <w:tc>
          <w:tcPr>
            <w:tcW w:w="1644" w:type="dxa"/>
            <w:vAlign w:val="center"/>
          </w:tcPr>
          <w:p w:rsidR="007879C4" w:rsidRDefault="001534EC">
            <w:pPr>
              <w:jc w:val="right"/>
            </w:pPr>
            <w:r>
              <w:rPr>
                <w:color w:val="000000"/>
                <w:sz w:val="24"/>
                <w:szCs w:val="24"/>
              </w:rPr>
              <w:t>0.98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10,235,000.00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141,919,000.00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141,919,000.00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55.09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152,154,000.00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rsidR="007879C4">
        <w:trPr>
          <w:jc w:val="center"/>
        </w:trPr>
        <w:tc>
          <w:tcPr>
            <w:tcW w:w="850" w:type="dxa"/>
            <w:vAlign w:val="center"/>
          </w:tcPr>
          <w:p w:rsidR="007879C4" w:rsidRDefault="001534EC">
            <w:pPr>
              <w:jc w:val="center"/>
            </w:pPr>
            <w:r>
              <w:rPr>
                <w:color w:val="000000"/>
                <w:sz w:val="24"/>
                <w:szCs w:val="24"/>
              </w:rPr>
              <w:lastRenderedPageBreak/>
              <w:t>1</w:t>
            </w:r>
          </w:p>
        </w:tc>
        <w:tc>
          <w:tcPr>
            <w:tcW w:w="1475" w:type="dxa"/>
            <w:vAlign w:val="center"/>
          </w:tcPr>
          <w:p w:rsidR="007879C4" w:rsidRDefault="001534EC">
            <w:pPr>
              <w:jc w:val="center"/>
            </w:pPr>
            <w:r>
              <w:rPr>
                <w:color w:val="000000"/>
                <w:sz w:val="24"/>
                <w:szCs w:val="24"/>
              </w:rPr>
              <w:t>140407</w:t>
            </w:r>
          </w:p>
        </w:tc>
        <w:tc>
          <w:tcPr>
            <w:tcW w:w="1769" w:type="dxa"/>
            <w:vAlign w:val="center"/>
          </w:tcPr>
          <w:p w:rsidR="007879C4" w:rsidRDefault="001534EC">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7879C4" w:rsidRDefault="001534EC">
            <w:pPr>
              <w:jc w:val="right"/>
            </w:pPr>
            <w:r>
              <w:rPr>
                <w:color w:val="000000"/>
                <w:sz w:val="24"/>
                <w:szCs w:val="24"/>
              </w:rPr>
              <w:t>500,000</w:t>
            </w:r>
          </w:p>
        </w:tc>
        <w:tc>
          <w:tcPr>
            <w:tcW w:w="2150" w:type="dxa"/>
            <w:vAlign w:val="center"/>
          </w:tcPr>
          <w:p w:rsidR="007879C4" w:rsidRDefault="001534EC">
            <w:pPr>
              <w:jc w:val="right"/>
            </w:pPr>
            <w:r>
              <w:rPr>
                <w:color w:val="000000"/>
                <w:sz w:val="24"/>
                <w:szCs w:val="24"/>
              </w:rPr>
              <w:t>50,825,000.00</w:t>
            </w:r>
          </w:p>
        </w:tc>
        <w:tc>
          <w:tcPr>
            <w:tcW w:w="1237" w:type="dxa"/>
            <w:vAlign w:val="center"/>
          </w:tcPr>
          <w:p w:rsidR="007879C4" w:rsidRDefault="001534EC">
            <w:pPr>
              <w:jc w:val="right"/>
            </w:pPr>
            <w:r>
              <w:rPr>
                <w:color w:val="000000"/>
                <w:sz w:val="24"/>
                <w:szCs w:val="24"/>
              </w:rPr>
              <w:t>19.73</w:t>
            </w:r>
          </w:p>
        </w:tc>
      </w:tr>
      <w:tr w:rsidR="007879C4">
        <w:trPr>
          <w:jc w:val="center"/>
        </w:trPr>
        <w:tc>
          <w:tcPr>
            <w:tcW w:w="850" w:type="dxa"/>
            <w:vAlign w:val="center"/>
          </w:tcPr>
          <w:p w:rsidR="007879C4" w:rsidRDefault="001534EC">
            <w:pPr>
              <w:jc w:val="center"/>
            </w:pPr>
            <w:r>
              <w:rPr>
                <w:color w:val="000000"/>
                <w:sz w:val="24"/>
                <w:szCs w:val="24"/>
              </w:rPr>
              <w:t>2</w:t>
            </w:r>
          </w:p>
        </w:tc>
        <w:tc>
          <w:tcPr>
            <w:tcW w:w="1475" w:type="dxa"/>
            <w:vAlign w:val="center"/>
          </w:tcPr>
          <w:p w:rsidR="007879C4" w:rsidRDefault="001534EC">
            <w:pPr>
              <w:jc w:val="center"/>
            </w:pPr>
            <w:r>
              <w:rPr>
                <w:color w:val="000000"/>
                <w:sz w:val="24"/>
                <w:szCs w:val="24"/>
              </w:rPr>
              <w:t>140424</w:t>
            </w:r>
          </w:p>
        </w:tc>
        <w:tc>
          <w:tcPr>
            <w:tcW w:w="1769" w:type="dxa"/>
            <w:vAlign w:val="center"/>
          </w:tcPr>
          <w:p w:rsidR="007879C4" w:rsidRDefault="001534EC">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7879C4" w:rsidRDefault="001534EC">
            <w:pPr>
              <w:jc w:val="right"/>
            </w:pPr>
            <w:r>
              <w:rPr>
                <w:color w:val="000000"/>
                <w:sz w:val="24"/>
                <w:szCs w:val="24"/>
              </w:rPr>
              <w:t>500,000</w:t>
            </w:r>
          </w:p>
        </w:tc>
        <w:tc>
          <w:tcPr>
            <w:tcW w:w="2150" w:type="dxa"/>
            <w:vAlign w:val="center"/>
          </w:tcPr>
          <w:p w:rsidR="007879C4" w:rsidRDefault="001534EC">
            <w:pPr>
              <w:jc w:val="right"/>
            </w:pPr>
            <w:r>
              <w:rPr>
                <w:color w:val="000000"/>
                <w:sz w:val="24"/>
                <w:szCs w:val="24"/>
              </w:rPr>
              <w:t>50,770,000.00</w:t>
            </w:r>
          </w:p>
        </w:tc>
        <w:tc>
          <w:tcPr>
            <w:tcW w:w="1237" w:type="dxa"/>
            <w:vAlign w:val="center"/>
          </w:tcPr>
          <w:p w:rsidR="007879C4" w:rsidRDefault="001534EC">
            <w:pPr>
              <w:jc w:val="right"/>
            </w:pPr>
            <w:r>
              <w:rPr>
                <w:color w:val="000000"/>
                <w:sz w:val="24"/>
                <w:szCs w:val="24"/>
              </w:rPr>
              <w:t>19.71</w:t>
            </w:r>
          </w:p>
        </w:tc>
      </w:tr>
      <w:tr w:rsidR="007879C4">
        <w:trPr>
          <w:jc w:val="center"/>
        </w:trPr>
        <w:tc>
          <w:tcPr>
            <w:tcW w:w="850" w:type="dxa"/>
            <w:vAlign w:val="center"/>
          </w:tcPr>
          <w:p w:rsidR="007879C4" w:rsidRDefault="001534EC">
            <w:pPr>
              <w:jc w:val="center"/>
            </w:pPr>
            <w:r>
              <w:rPr>
                <w:color w:val="000000"/>
                <w:sz w:val="24"/>
                <w:szCs w:val="24"/>
              </w:rPr>
              <w:t>3</w:t>
            </w:r>
          </w:p>
        </w:tc>
        <w:tc>
          <w:tcPr>
            <w:tcW w:w="1475" w:type="dxa"/>
            <w:vAlign w:val="center"/>
          </w:tcPr>
          <w:p w:rsidR="007879C4" w:rsidRDefault="001534EC">
            <w:pPr>
              <w:jc w:val="center"/>
            </w:pPr>
            <w:r>
              <w:rPr>
                <w:color w:val="000000"/>
                <w:sz w:val="24"/>
                <w:szCs w:val="24"/>
              </w:rPr>
              <w:t>140332</w:t>
            </w:r>
          </w:p>
        </w:tc>
        <w:tc>
          <w:tcPr>
            <w:tcW w:w="1769" w:type="dxa"/>
            <w:vAlign w:val="center"/>
          </w:tcPr>
          <w:p w:rsidR="007879C4" w:rsidRDefault="001534EC">
            <w:pPr>
              <w:jc w:val="center"/>
            </w:pPr>
            <w:r>
              <w:rPr>
                <w:color w:val="000000"/>
                <w:sz w:val="24"/>
                <w:szCs w:val="24"/>
              </w:rPr>
              <w:t>14</w:t>
            </w:r>
            <w:r>
              <w:rPr>
                <w:color w:val="000000"/>
                <w:sz w:val="24"/>
                <w:szCs w:val="24"/>
              </w:rPr>
              <w:t>进出</w:t>
            </w:r>
            <w:r>
              <w:rPr>
                <w:color w:val="000000"/>
                <w:sz w:val="24"/>
                <w:szCs w:val="24"/>
              </w:rPr>
              <w:t>32</w:t>
            </w:r>
          </w:p>
        </w:tc>
        <w:tc>
          <w:tcPr>
            <w:tcW w:w="1387" w:type="dxa"/>
            <w:vAlign w:val="center"/>
          </w:tcPr>
          <w:p w:rsidR="007879C4" w:rsidRDefault="001534EC">
            <w:pPr>
              <w:jc w:val="right"/>
            </w:pPr>
            <w:r>
              <w:rPr>
                <w:color w:val="000000"/>
                <w:sz w:val="24"/>
                <w:szCs w:val="24"/>
              </w:rPr>
              <w:t>200,000</w:t>
            </w:r>
          </w:p>
        </w:tc>
        <w:tc>
          <w:tcPr>
            <w:tcW w:w="2150" w:type="dxa"/>
            <w:vAlign w:val="center"/>
          </w:tcPr>
          <w:p w:rsidR="007879C4" w:rsidRDefault="001534EC">
            <w:pPr>
              <w:jc w:val="right"/>
            </w:pPr>
            <w:r>
              <w:rPr>
                <w:color w:val="000000"/>
                <w:sz w:val="24"/>
                <w:szCs w:val="24"/>
              </w:rPr>
              <w:t>20,306,000.00</w:t>
            </w:r>
          </w:p>
        </w:tc>
        <w:tc>
          <w:tcPr>
            <w:tcW w:w="1237" w:type="dxa"/>
            <w:vAlign w:val="center"/>
          </w:tcPr>
          <w:p w:rsidR="007879C4" w:rsidRDefault="001534EC">
            <w:pPr>
              <w:jc w:val="right"/>
            </w:pPr>
            <w:r>
              <w:rPr>
                <w:color w:val="000000"/>
                <w:sz w:val="24"/>
                <w:szCs w:val="24"/>
              </w:rPr>
              <w:t>7.88</w:t>
            </w:r>
          </w:p>
        </w:tc>
      </w:tr>
      <w:tr w:rsidR="007879C4">
        <w:trPr>
          <w:jc w:val="center"/>
        </w:trPr>
        <w:tc>
          <w:tcPr>
            <w:tcW w:w="850" w:type="dxa"/>
            <w:vAlign w:val="center"/>
          </w:tcPr>
          <w:p w:rsidR="007879C4" w:rsidRDefault="001534EC">
            <w:pPr>
              <w:jc w:val="center"/>
            </w:pPr>
            <w:r>
              <w:rPr>
                <w:color w:val="000000"/>
                <w:sz w:val="24"/>
                <w:szCs w:val="24"/>
              </w:rPr>
              <w:t>4</w:t>
            </w:r>
          </w:p>
        </w:tc>
        <w:tc>
          <w:tcPr>
            <w:tcW w:w="1475" w:type="dxa"/>
            <w:vAlign w:val="center"/>
          </w:tcPr>
          <w:p w:rsidR="007879C4" w:rsidRDefault="001534EC">
            <w:pPr>
              <w:jc w:val="center"/>
            </w:pPr>
            <w:r>
              <w:rPr>
                <w:color w:val="000000"/>
                <w:sz w:val="24"/>
                <w:szCs w:val="24"/>
              </w:rPr>
              <w:t>140317</w:t>
            </w:r>
          </w:p>
        </w:tc>
        <w:tc>
          <w:tcPr>
            <w:tcW w:w="1769" w:type="dxa"/>
            <w:vAlign w:val="center"/>
          </w:tcPr>
          <w:p w:rsidR="007879C4" w:rsidRDefault="001534EC">
            <w:pPr>
              <w:jc w:val="center"/>
            </w:pPr>
            <w:r>
              <w:rPr>
                <w:color w:val="000000"/>
                <w:sz w:val="24"/>
                <w:szCs w:val="24"/>
              </w:rPr>
              <w:t>14</w:t>
            </w:r>
            <w:r>
              <w:rPr>
                <w:color w:val="000000"/>
                <w:sz w:val="24"/>
                <w:szCs w:val="24"/>
              </w:rPr>
              <w:t>进出</w:t>
            </w:r>
            <w:r>
              <w:rPr>
                <w:color w:val="000000"/>
                <w:sz w:val="24"/>
                <w:szCs w:val="24"/>
              </w:rPr>
              <w:t>17</w:t>
            </w:r>
          </w:p>
        </w:tc>
        <w:tc>
          <w:tcPr>
            <w:tcW w:w="1387" w:type="dxa"/>
            <w:vAlign w:val="center"/>
          </w:tcPr>
          <w:p w:rsidR="007879C4" w:rsidRDefault="001534EC">
            <w:pPr>
              <w:jc w:val="right"/>
            </w:pPr>
            <w:r>
              <w:rPr>
                <w:color w:val="000000"/>
                <w:sz w:val="24"/>
                <w:szCs w:val="24"/>
              </w:rPr>
              <w:t>200,000</w:t>
            </w:r>
          </w:p>
        </w:tc>
        <w:tc>
          <w:tcPr>
            <w:tcW w:w="2150" w:type="dxa"/>
            <w:vAlign w:val="center"/>
          </w:tcPr>
          <w:p w:rsidR="007879C4" w:rsidRDefault="001534EC">
            <w:pPr>
              <w:jc w:val="right"/>
            </w:pPr>
            <w:r>
              <w:rPr>
                <w:color w:val="000000"/>
                <w:sz w:val="24"/>
                <w:szCs w:val="24"/>
              </w:rPr>
              <w:t>20,018,000.00</w:t>
            </w:r>
          </w:p>
        </w:tc>
        <w:tc>
          <w:tcPr>
            <w:tcW w:w="1237" w:type="dxa"/>
            <w:vAlign w:val="center"/>
          </w:tcPr>
          <w:p w:rsidR="007879C4" w:rsidRDefault="001534EC">
            <w:pPr>
              <w:jc w:val="right"/>
            </w:pPr>
            <w:r>
              <w:rPr>
                <w:color w:val="000000"/>
                <w:sz w:val="24"/>
                <w:szCs w:val="24"/>
              </w:rPr>
              <w:t>7.77</w:t>
            </w:r>
          </w:p>
        </w:tc>
      </w:tr>
      <w:tr w:rsidR="007879C4">
        <w:trPr>
          <w:jc w:val="center"/>
        </w:trPr>
        <w:tc>
          <w:tcPr>
            <w:tcW w:w="850" w:type="dxa"/>
            <w:vAlign w:val="center"/>
          </w:tcPr>
          <w:p w:rsidR="007879C4" w:rsidRDefault="001534EC">
            <w:pPr>
              <w:jc w:val="center"/>
            </w:pPr>
            <w:r>
              <w:rPr>
                <w:color w:val="000000"/>
                <w:sz w:val="24"/>
                <w:szCs w:val="24"/>
              </w:rPr>
              <w:t>5</w:t>
            </w:r>
          </w:p>
        </w:tc>
        <w:tc>
          <w:tcPr>
            <w:tcW w:w="1475" w:type="dxa"/>
            <w:vAlign w:val="center"/>
          </w:tcPr>
          <w:p w:rsidR="007879C4" w:rsidRDefault="001534EC">
            <w:pPr>
              <w:jc w:val="center"/>
            </w:pPr>
            <w:r>
              <w:rPr>
                <w:color w:val="000000"/>
                <w:sz w:val="24"/>
                <w:szCs w:val="24"/>
              </w:rPr>
              <w:t>018001</w:t>
            </w:r>
          </w:p>
        </w:tc>
        <w:tc>
          <w:tcPr>
            <w:tcW w:w="1769" w:type="dxa"/>
            <w:vAlign w:val="center"/>
          </w:tcPr>
          <w:p w:rsidR="007879C4" w:rsidRDefault="001534EC">
            <w:pPr>
              <w:jc w:val="center"/>
            </w:pPr>
            <w:r>
              <w:rPr>
                <w:color w:val="000000"/>
                <w:sz w:val="24"/>
                <w:szCs w:val="24"/>
              </w:rPr>
              <w:t>国开</w:t>
            </w:r>
            <w:r>
              <w:rPr>
                <w:color w:val="000000"/>
                <w:sz w:val="24"/>
                <w:szCs w:val="24"/>
              </w:rPr>
              <w:t>1301</w:t>
            </w:r>
          </w:p>
        </w:tc>
        <w:tc>
          <w:tcPr>
            <w:tcW w:w="1387" w:type="dxa"/>
            <w:vAlign w:val="center"/>
          </w:tcPr>
          <w:p w:rsidR="007879C4" w:rsidRDefault="001534EC">
            <w:pPr>
              <w:jc w:val="right"/>
            </w:pPr>
            <w:r>
              <w:rPr>
                <w:color w:val="000000"/>
                <w:sz w:val="24"/>
                <w:szCs w:val="24"/>
              </w:rPr>
              <w:t>100,000</w:t>
            </w:r>
          </w:p>
        </w:tc>
        <w:tc>
          <w:tcPr>
            <w:tcW w:w="2150" w:type="dxa"/>
            <w:vAlign w:val="center"/>
          </w:tcPr>
          <w:p w:rsidR="007879C4" w:rsidRDefault="001534EC">
            <w:pPr>
              <w:jc w:val="right"/>
            </w:pPr>
            <w:r>
              <w:rPr>
                <w:color w:val="000000"/>
                <w:sz w:val="24"/>
                <w:szCs w:val="24"/>
              </w:rPr>
              <w:t>10,235,000.00</w:t>
            </w:r>
          </w:p>
        </w:tc>
        <w:tc>
          <w:tcPr>
            <w:tcW w:w="1237" w:type="dxa"/>
            <w:vAlign w:val="center"/>
          </w:tcPr>
          <w:p w:rsidR="007879C4" w:rsidRDefault="001534EC">
            <w:pPr>
              <w:jc w:val="right"/>
            </w:pPr>
            <w:r>
              <w:rPr>
                <w:color w:val="000000"/>
                <w:sz w:val="24"/>
                <w:szCs w:val="24"/>
              </w:rPr>
              <w:t>3.97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47,888.16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918,461.37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4,255,181.35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990.49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5,222,521.37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254,344,347.75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730,608.26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w:t>
            </w:r>
            <w:proofErr w:type="gramStart"/>
            <w:r w:rsidR="00FE179F" w:rsidRPr="00414345">
              <w:rPr>
                <w:color w:val="000000"/>
                <w:kern w:val="0"/>
                <w:sz w:val="24"/>
                <w:szCs w:val="24"/>
              </w:rPr>
              <w:t>期</w:t>
            </w:r>
            <w:r w:rsidRPr="00414345">
              <w:rPr>
                <w:color w:val="000000"/>
                <w:kern w:val="0"/>
                <w:sz w:val="24"/>
                <w:szCs w:val="24"/>
              </w:rPr>
              <w:t>基金</w:t>
            </w:r>
            <w:proofErr w:type="gramEnd"/>
            <w:r w:rsidRPr="00414345">
              <w:rPr>
                <w:color w:val="000000"/>
                <w:kern w:val="0"/>
                <w:sz w:val="24"/>
                <w:szCs w:val="24"/>
              </w:rPr>
              <w:t>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11,569,957.46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w:t>
            </w:r>
            <w:proofErr w:type="gramStart"/>
            <w:r w:rsidRPr="00414345">
              <w:rPr>
                <w:color w:val="000000"/>
                <w:kern w:val="0"/>
                <w:sz w:val="24"/>
                <w:szCs w:val="24"/>
              </w:rPr>
              <w:t>期</w:t>
            </w:r>
            <w:r w:rsidR="004061AC" w:rsidRPr="00414345">
              <w:rPr>
                <w:color w:val="000000"/>
                <w:kern w:val="0"/>
                <w:sz w:val="24"/>
                <w:szCs w:val="24"/>
              </w:rPr>
              <w:t>基金</w:t>
            </w:r>
            <w:proofErr w:type="gramEnd"/>
            <w:r w:rsidR="004061AC" w:rsidRPr="00414345">
              <w:rPr>
                <w:color w:val="000000"/>
                <w:kern w:val="0"/>
                <w:sz w:val="24"/>
                <w:szCs w:val="24"/>
              </w:rPr>
              <w:t>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243,504,998.55</w:t>
            </w:r>
          </w:p>
        </w:tc>
      </w:tr>
    </w:tbl>
    <w:p w:rsidR="007879C4" w:rsidRDefault="001534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D73461">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D73461">
      <w:pPr>
        <w:pStyle w:val="1"/>
        <w:spacing w:beforeLines="100" w:afterLines="100"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日起恢复按市场价格进行估值；本基金对其所持有的华策影视（证券代码：</w:t>
      </w:r>
      <w:r w:rsidRPr="00414345">
        <w:rPr>
          <w:color w:val="000000"/>
          <w:sz w:val="24"/>
          <w:szCs w:val="24"/>
        </w:rPr>
        <w:t>300133</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21</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10</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D73461">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879C4" w:rsidRDefault="001534E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7879C4" w:rsidRDefault="001534E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7879C4" w:rsidRDefault="001534E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7879C4" w:rsidRDefault="001534E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7879C4" w:rsidRDefault="001534E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7879C4" w:rsidRDefault="001534E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879C4" w:rsidRDefault="001534E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09F" w:rsidRDefault="00C6209F" w:rsidP="00876D65">
      <w:r>
        <w:separator/>
      </w:r>
    </w:p>
  </w:endnote>
  <w:endnote w:type="continuationSeparator" w:id="1">
    <w:p w:rsidR="00C6209F" w:rsidRDefault="00C6209F"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3F2D9F">
      <w:rPr>
        <w:kern w:val="0"/>
        <w:szCs w:val="21"/>
      </w:rPr>
      <w:fldChar w:fldCharType="begin"/>
    </w:r>
    <w:r>
      <w:rPr>
        <w:kern w:val="0"/>
        <w:szCs w:val="21"/>
      </w:rPr>
      <w:instrText xml:space="preserve"> PAGE </w:instrText>
    </w:r>
    <w:r w:rsidR="003F2D9F">
      <w:rPr>
        <w:kern w:val="0"/>
        <w:szCs w:val="21"/>
      </w:rPr>
      <w:fldChar w:fldCharType="separate"/>
    </w:r>
    <w:r w:rsidR="00D73461">
      <w:rPr>
        <w:noProof/>
        <w:kern w:val="0"/>
        <w:szCs w:val="21"/>
      </w:rPr>
      <w:t>11</w:t>
    </w:r>
    <w:r w:rsidR="003F2D9F">
      <w:rPr>
        <w:kern w:val="0"/>
        <w:szCs w:val="21"/>
      </w:rPr>
      <w:fldChar w:fldCharType="end"/>
    </w:r>
    <w:proofErr w:type="gramStart"/>
    <w:r>
      <w:rPr>
        <w:rFonts w:hint="eastAsia"/>
        <w:kern w:val="0"/>
        <w:szCs w:val="21"/>
      </w:rPr>
      <w:t>页共</w:t>
    </w:r>
    <w:proofErr w:type="gramEnd"/>
    <w:r w:rsidR="003F2D9F">
      <w:rPr>
        <w:kern w:val="0"/>
        <w:szCs w:val="21"/>
      </w:rPr>
      <w:fldChar w:fldCharType="begin"/>
    </w:r>
    <w:r>
      <w:rPr>
        <w:kern w:val="0"/>
        <w:szCs w:val="21"/>
      </w:rPr>
      <w:instrText xml:space="preserve"> NUMPAGES </w:instrText>
    </w:r>
    <w:r w:rsidR="003F2D9F">
      <w:rPr>
        <w:kern w:val="0"/>
        <w:szCs w:val="21"/>
      </w:rPr>
      <w:fldChar w:fldCharType="separate"/>
    </w:r>
    <w:r w:rsidR="00D73461">
      <w:rPr>
        <w:noProof/>
        <w:kern w:val="0"/>
        <w:szCs w:val="21"/>
      </w:rPr>
      <w:t>11</w:t>
    </w:r>
    <w:r w:rsidR="003F2D9F">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09F" w:rsidRDefault="00C6209F" w:rsidP="00876D65">
      <w:r>
        <w:separator/>
      </w:r>
    </w:p>
  </w:footnote>
  <w:footnote w:type="continuationSeparator" w:id="1">
    <w:p w:rsidR="00C6209F" w:rsidRDefault="00C6209F"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34EC"/>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2D9F"/>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879C4"/>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4738"/>
    <w:rsid w:val="00D57B7C"/>
    <w:rsid w:val="00D65B44"/>
    <w:rsid w:val="00D73461"/>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D721D"/>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3C42F-2DAD-49A8-B8C2-460BAC655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1042</Words>
  <Characters>5941</Characters>
  <Application>Microsoft Office Word</Application>
  <DocSecurity>0</DocSecurity>
  <Lines>49</Lines>
  <Paragraphs>13</Paragraphs>
  <ScaleCrop>false</ScaleCrop>
  <Company/>
  <LinksUpToDate>false</LinksUpToDate>
  <CharactersWithSpaces>6970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dcterms:created xsi:type="dcterms:W3CDTF">2014-10-21T03:18:00Z</dcterms:created>
  <dcterms:modified xsi:type="dcterms:W3CDTF">2014-10-21T03:18:00Z</dcterms:modified>
</cp:coreProperties>
</file>