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股票型证券投资基金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B16BB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70E59" w:rsidRDefault="00B16BB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B16BB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522,758,424.87</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中信标普</w:t>
            </w:r>
            <w:r w:rsidRPr="00414345">
              <w:rPr>
                <w:color w:val="000000"/>
                <w:kern w:val="0"/>
                <w:sz w:val="24"/>
                <w:szCs w:val="24"/>
              </w:rPr>
              <w:lastRenderedPageBreak/>
              <w:t>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本基金是一只股票型基金，以成长型股票为主要投资对象，风险与预期收益高于混合基金、债券基金和货币市场基金。属于承担较高风险、预期收益较高的证券投资基金品种。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B16BB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16BBE" w:rsidRPr="00414345" w:rsidTr="00B16BB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16BBE" w:rsidRPr="00414345" w:rsidTr="00B16B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17,725,390.79</w:t>
            </w:r>
          </w:p>
        </w:tc>
      </w:tr>
      <w:tr w:rsidR="00B16BBE" w:rsidRPr="00414345" w:rsidTr="00B16B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90,240,392.15</w:t>
            </w:r>
          </w:p>
        </w:tc>
      </w:tr>
      <w:tr w:rsidR="00B16BBE" w:rsidRPr="00414345" w:rsidTr="00B16B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0.1222</w:t>
            </w:r>
          </w:p>
        </w:tc>
      </w:tr>
      <w:tr w:rsidR="00B16BBE" w:rsidRPr="00414345" w:rsidTr="00B16B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571,710,221.28</w:t>
            </w:r>
          </w:p>
        </w:tc>
      </w:tr>
      <w:tr w:rsidR="00B16BBE" w:rsidRPr="00414345" w:rsidTr="00B16BB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1.094</w:t>
            </w:r>
          </w:p>
        </w:tc>
      </w:tr>
    </w:tbl>
    <w:p w:rsidR="00E70E59" w:rsidRDefault="00B16B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70E59">
        <w:trPr>
          <w:jc w:val="center"/>
        </w:trPr>
        <w:tc>
          <w:tcPr>
            <w:tcW w:w="1701" w:type="dxa"/>
            <w:vAlign w:val="center"/>
          </w:tcPr>
          <w:p w:rsidR="00E70E59" w:rsidRDefault="00B16BBE">
            <w:pPr>
              <w:jc w:val="left"/>
            </w:pPr>
            <w:r>
              <w:rPr>
                <w:color w:val="000000"/>
                <w:sz w:val="24"/>
                <w:szCs w:val="24"/>
              </w:rPr>
              <w:t>过去三个月</w:t>
            </w:r>
          </w:p>
        </w:tc>
        <w:tc>
          <w:tcPr>
            <w:tcW w:w="1045" w:type="dxa"/>
            <w:vAlign w:val="center"/>
          </w:tcPr>
          <w:p w:rsidR="00E70E59" w:rsidRDefault="00B16BBE">
            <w:pPr>
              <w:jc w:val="center"/>
            </w:pPr>
            <w:r>
              <w:rPr>
                <w:color w:val="000000"/>
                <w:sz w:val="24"/>
                <w:szCs w:val="24"/>
              </w:rPr>
              <w:t>11.75%</w:t>
            </w:r>
          </w:p>
        </w:tc>
        <w:tc>
          <w:tcPr>
            <w:tcW w:w="1344" w:type="dxa"/>
            <w:vAlign w:val="center"/>
          </w:tcPr>
          <w:p w:rsidR="00E70E59" w:rsidRDefault="00B16BBE">
            <w:pPr>
              <w:jc w:val="center"/>
            </w:pPr>
            <w:r>
              <w:rPr>
                <w:color w:val="000000"/>
                <w:sz w:val="24"/>
                <w:szCs w:val="24"/>
              </w:rPr>
              <w:t>0.92%</w:t>
            </w:r>
          </w:p>
        </w:tc>
        <w:tc>
          <w:tcPr>
            <w:tcW w:w="1194" w:type="dxa"/>
            <w:vAlign w:val="center"/>
          </w:tcPr>
          <w:p w:rsidR="00E70E59" w:rsidRDefault="00B16BBE">
            <w:pPr>
              <w:jc w:val="center"/>
            </w:pPr>
            <w:r>
              <w:rPr>
                <w:color w:val="000000"/>
                <w:sz w:val="24"/>
                <w:szCs w:val="24"/>
              </w:rPr>
              <w:t>10.62%</w:t>
            </w:r>
          </w:p>
        </w:tc>
        <w:tc>
          <w:tcPr>
            <w:tcW w:w="1492" w:type="dxa"/>
            <w:vAlign w:val="center"/>
          </w:tcPr>
          <w:p w:rsidR="00E70E59" w:rsidRDefault="00B16BBE">
            <w:pPr>
              <w:jc w:val="center"/>
            </w:pPr>
            <w:r>
              <w:rPr>
                <w:color w:val="000000"/>
                <w:sz w:val="24"/>
                <w:szCs w:val="24"/>
              </w:rPr>
              <w:t>0.67%</w:t>
            </w:r>
          </w:p>
        </w:tc>
        <w:tc>
          <w:tcPr>
            <w:tcW w:w="1194" w:type="dxa"/>
            <w:vAlign w:val="center"/>
          </w:tcPr>
          <w:p w:rsidR="00E70E59" w:rsidRDefault="00B16BBE">
            <w:pPr>
              <w:jc w:val="center"/>
            </w:pPr>
            <w:r>
              <w:rPr>
                <w:color w:val="000000"/>
                <w:sz w:val="24"/>
                <w:szCs w:val="24"/>
              </w:rPr>
              <w:t>1.13%</w:t>
            </w:r>
          </w:p>
        </w:tc>
        <w:tc>
          <w:tcPr>
            <w:tcW w:w="898" w:type="dxa"/>
            <w:vAlign w:val="center"/>
          </w:tcPr>
          <w:p w:rsidR="00E70E59" w:rsidRDefault="00B16BBE">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交银施罗德成长</w:t>
      </w:r>
      <w:r w:rsidRPr="00414345">
        <w:rPr>
          <w:color w:val="000000"/>
          <w:sz w:val="24"/>
          <w:szCs w:val="24"/>
        </w:rPr>
        <w:t>30</w:t>
      </w:r>
      <w:r w:rsidRPr="00414345">
        <w:rPr>
          <w:color w:val="000000"/>
          <w:sz w:val="24"/>
          <w:szCs w:val="24"/>
        </w:rPr>
        <w:t>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693843" w:rsidRDefault="004061AC" w:rsidP="002032D2">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2032D2" w:rsidRPr="002032D2" w:rsidRDefault="002032D2" w:rsidP="002032D2">
      <w:pPr>
        <w:autoSpaceDE w:val="0"/>
        <w:autoSpaceDN w:val="0"/>
        <w:adjustRightInd w:val="0"/>
        <w:spacing w:before="29" w:line="288" w:lineRule="auto"/>
        <w:jc w:val="left"/>
        <w:rPr>
          <w:rFonts w:hint="eastAsia"/>
          <w:color w:val="000000"/>
          <w:sz w:val="24"/>
          <w:szCs w:val="24"/>
        </w:rPr>
      </w:pPr>
    </w:p>
    <w:p w:rsidR="004061AC" w:rsidRPr="00414345" w:rsidRDefault="004061AC" w:rsidP="00B16BB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2032D2">
        <w:trPr>
          <w:trHeight w:val="292"/>
          <w:jc w:val="center"/>
        </w:trPr>
        <w:tc>
          <w:tcPr>
            <w:tcW w:w="846"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45"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097"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0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2032D2">
        <w:trPr>
          <w:jc w:val="center"/>
        </w:trPr>
        <w:tc>
          <w:tcPr>
            <w:tcW w:w="846"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45"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4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48"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0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70E59">
        <w:trPr>
          <w:jc w:val="center"/>
        </w:trPr>
        <w:tc>
          <w:tcPr>
            <w:tcW w:w="846" w:type="dxa"/>
            <w:vAlign w:val="center"/>
          </w:tcPr>
          <w:p w:rsidR="00E70E59" w:rsidRDefault="00B16BBE">
            <w:pPr>
              <w:jc w:val="center"/>
            </w:pPr>
            <w:r>
              <w:rPr>
                <w:color w:val="000000"/>
                <w:sz w:val="24"/>
                <w:szCs w:val="24"/>
              </w:rPr>
              <w:t>管华雨</w:t>
            </w:r>
          </w:p>
        </w:tc>
        <w:tc>
          <w:tcPr>
            <w:tcW w:w="845" w:type="dxa"/>
            <w:vAlign w:val="center"/>
          </w:tcPr>
          <w:p w:rsidR="00E70E59" w:rsidRDefault="00B16BBE">
            <w:pPr>
              <w:jc w:val="center"/>
            </w:pPr>
            <w:r>
              <w:rPr>
                <w:color w:val="000000"/>
                <w:sz w:val="24"/>
                <w:szCs w:val="24"/>
              </w:rPr>
              <w:t>本基金、交银成长股票、交银趋势股票、交银新成长股票的基金经理，公司权益投资总监</w:t>
            </w:r>
          </w:p>
        </w:tc>
        <w:tc>
          <w:tcPr>
            <w:tcW w:w="1549" w:type="dxa"/>
            <w:vAlign w:val="center"/>
          </w:tcPr>
          <w:p w:rsidR="00E70E59" w:rsidRDefault="00B16BBE">
            <w:pPr>
              <w:jc w:val="center"/>
            </w:pPr>
            <w:r>
              <w:rPr>
                <w:color w:val="000000"/>
                <w:sz w:val="24"/>
                <w:szCs w:val="24"/>
              </w:rPr>
              <w:t>2013-06-05</w:t>
            </w:r>
          </w:p>
        </w:tc>
        <w:tc>
          <w:tcPr>
            <w:tcW w:w="1548" w:type="dxa"/>
            <w:vAlign w:val="center"/>
          </w:tcPr>
          <w:p w:rsidR="00E70E59" w:rsidRDefault="00B16BBE">
            <w:pPr>
              <w:jc w:val="center"/>
            </w:pPr>
            <w:r>
              <w:rPr>
                <w:color w:val="000000"/>
                <w:sz w:val="24"/>
                <w:szCs w:val="24"/>
              </w:rPr>
              <w:t>-</w:t>
            </w:r>
          </w:p>
        </w:tc>
        <w:tc>
          <w:tcPr>
            <w:tcW w:w="1407" w:type="dxa"/>
            <w:vAlign w:val="center"/>
          </w:tcPr>
          <w:p w:rsidR="00E70E59" w:rsidRDefault="00B16BBE">
            <w:pPr>
              <w:jc w:val="center"/>
            </w:pPr>
            <w:r>
              <w:rPr>
                <w:color w:val="000000"/>
                <w:sz w:val="24"/>
                <w:szCs w:val="24"/>
              </w:rPr>
              <w:t>12</w:t>
            </w:r>
            <w:r>
              <w:rPr>
                <w:color w:val="000000"/>
                <w:sz w:val="24"/>
                <w:szCs w:val="24"/>
              </w:rPr>
              <w:t>年</w:t>
            </w:r>
          </w:p>
        </w:tc>
        <w:tc>
          <w:tcPr>
            <w:tcW w:w="2673" w:type="dxa"/>
            <w:vAlign w:val="center"/>
          </w:tcPr>
          <w:p w:rsidR="00E70E59" w:rsidRDefault="00B16BBE">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r w:rsidR="00E70E59">
        <w:trPr>
          <w:jc w:val="center"/>
        </w:trPr>
        <w:tc>
          <w:tcPr>
            <w:tcW w:w="846" w:type="dxa"/>
            <w:vAlign w:val="center"/>
          </w:tcPr>
          <w:p w:rsidR="00E70E59" w:rsidRDefault="00B16BBE">
            <w:pPr>
              <w:jc w:val="center"/>
            </w:pPr>
            <w:r>
              <w:rPr>
                <w:color w:val="000000"/>
                <w:sz w:val="24"/>
                <w:szCs w:val="24"/>
              </w:rPr>
              <w:t>王少成</w:t>
            </w:r>
          </w:p>
        </w:tc>
        <w:tc>
          <w:tcPr>
            <w:tcW w:w="845" w:type="dxa"/>
            <w:vAlign w:val="center"/>
          </w:tcPr>
          <w:p w:rsidR="00E70E59" w:rsidRDefault="00B16BBE">
            <w:pPr>
              <w:jc w:val="center"/>
            </w:pPr>
            <w:r>
              <w:rPr>
                <w:color w:val="000000"/>
                <w:sz w:val="24"/>
                <w:szCs w:val="24"/>
              </w:rPr>
              <w:t>本基金、交银先锋股票、交银先进制造股票的基金经理，公司权益部副总经理</w:t>
            </w:r>
          </w:p>
        </w:tc>
        <w:tc>
          <w:tcPr>
            <w:tcW w:w="1549" w:type="dxa"/>
            <w:vAlign w:val="center"/>
          </w:tcPr>
          <w:p w:rsidR="00E70E59" w:rsidRDefault="00B16BBE">
            <w:pPr>
              <w:jc w:val="center"/>
            </w:pPr>
            <w:r>
              <w:rPr>
                <w:color w:val="000000"/>
                <w:sz w:val="24"/>
                <w:szCs w:val="24"/>
              </w:rPr>
              <w:t>2013-07-02</w:t>
            </w:r>
          </w:p>
        </w:tc>
        <w:tc>
          <w:tcPr>
            <w:tcW w:w="1548" w:type="dxa"/>
            <w:vAlign w:val="center"/>
          </w:tcPr>
          <w:p w:rsidR="00E70E59" w:rsidRDefault="00B16BBE">
            <w:pPr>
              <w:jc w:val="center"/>
            </w:pPr>
            <w:r>
              <w:rPr>
                <w:color w:val="000000"/>
                <w:sz w:val="24"/>
                <w:szCs w:val="24"/>
              </w:rPr>
              <w:t>-</w:t>
            </w:r>
          </w:p>
        </w:tc>
        <w:tc>
          <w:tcPr>
            <w:tcW w:w="1407" w:type="dxa"/>
            <w:vAlign w:val="center"/>
          </w:tcPr>
          <w:p w:rsidR="00E70E59" w:rsidRDefault="00B16BBE">
            <w:pPr>
              <w:jc w:val="center"/>
            </w:pPr>
            <w:r>
              <w:rPr>
                <w:color w:val="000000"/>
                <w:sz w:val="24"/>
                <w:szCs w:val="24"/>
              </w:rPr>
              <w:t>10</w:t>
            </w:r>
            <w:r>
              <w:rPr>
                <w:color w:val="000000"/>
                <w:sz w:val="24"/>
                <w:szCs w:val="24"/>
              </w:rPr>
              <w:t>年</w:t>
            </w:r>
          </w:p>
        </w:tc>
        <w:tc>
          <w:tcPr>
            <w:tcW w:w="2673" w:type="dxa"/>
            <w:vAlign w:val="center"/>
          </w:tcPr>
          <w:p w:rsidR="00E70E59" w:rsidRDefault="00B16BBE">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Default="002032D2" w:rsidP="00C15CAC">
      <w:pPr>
        <w:autoSpaceDE w:val="0"/>
        <w:autoSpaceDN w:val="0"/>
        <w:adjustRightInd w:val="0"/>
        <w:spacing w:before="29" w:line="288" w:lineRule="auto"/>
        <w:jc w:val="left"/>
        <w:rPr>
          <w:color w:val="000000"/>
          <w:kern w:val="0"/>
          <w:sz w:val="24"/>
          <w:szCs w:val="24"/>
        </w:rPr>
      </w:pPr>
      <w:r>
        <w:rPr>
          <w:rFonts w:hint="eastAsia"/>
          <w:color w:val="000000"/>
          <w:kern w:val="0"/>
          <w:sz w:val="24"/>
          <w:szCs w:val="24"/>
        </w:rPr>
        <w:t>注</w:t>
      </w:r>
      <w:r>
        <w:rPr>
          <w:color w:val="000000"/>
          <w:kern w:val="0"/>
          <w:sz w:val="24"/>
          <w:szCs w:val="24"/>
        </w:rPr>
        <w:t>：</w:t>
      </w:r>
      <w:bookmarkStart w:id="0" w:name="_GoBack"/>
      <w:bookmarkEnd w:id="0"/>
      <w:r w:rsidRPr="002032D2">
        <w:rPr>
          <w:rFonts w:hint="eastAsia"/>
          <w:color w:val="000000"/>
          <w:kern w:val="0"/>
          <w:sz w:val="24"/>
          <w:szCs w:val="24"/>
        </w:rPr>
        <w:t>2014</w:t>
      </w:r>
      <w:r w:rsidRPr="002032D2">
        <w:rPr>
          <w:rFonts w:hint="eastAsia"/>
          <w:color w:val="000000"/>
          <w:kern w:val="0"/>
          <w:sz w:val="24"/>
          <w:szCs w:val="24"/>
        </w:rPr>
        <w:t>年</w:t>
      </w:r>
      <w:r w:rsidRPr="002032D2">
        <w:rPr>
          <w:rFonts w:hint="eastAsia"/>
          <w:color w:val="000000"/>
          <w:kern w:val="0"/>
          <w:sz w:val="24"/>
          <w:szCs w:val="24"/>
        </w:rPr>
        <w:t>10</w:t>
      </w:r>
      <w:r w:rsidRPr="002032D2">
        <w:rPr>
          <w:rFonts w:hint="eastAsia"/>
          <w:color w:val="000000"/>
          <w:kern w:val="0"/>
          <w:sz w:val="24"/>
          <w:szCs w:val="24"/>
        </w:rPr>
        <w:t>月</w:t>
      </w:r>
      <w:r w:rsidRPr="002032D2">
        <w:rPr>
          <w:rFonts w:hint="eastAsia"/>
          <w:color w:val="000000"/>
          <w:kern w:val="0"/>
          <w:sz w:val="24"/>
          <w:szCs w:val="24"/>
        </w:rPr>
        <w:t>22</w:t>
      </w:r>
      <w:r w:rsidRPr="002032D2">
        <w:rPr>
          <w:rFonts w:hint="eastAsia"/>
          <w:color w:val="000000"/>
          <w:kern w:val="0"/>
          <w:sz w:val="24"/>
          <w:szCs w:val="24"/>
        </w:rPr>
        <w:t>日本基金管理人发布公告，经公司领导办公会议审议通过，管华雨先生不再担任本基金基金经理，王少成先生自公告日起单独管理本基金，详情请见相关公告。</w:t>
      </w:r>
    </w:p>
    <w:p w:rsidR="002032D2" w:rsidRPr="00414345" w:rsidRDefault="002032D2"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70E59" w:rsidRDefault="00B16BB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70E59" w:rsidRDefault="00B16BB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70E59" w:rsidRDefault="00B16BB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70E59" w:rsidRDefault="00B16BBE">
      <w:pPr>
        <w:spacing w:before="29" w:line="288" w:lineRule="auto"/>
        <w:ind w:firstLineChars="200" w:firstLine="480"/>
        <w:rPr>
          <w:color w:val="000000"/>
          <w:sz w:val="24"/>
          <w:szCs w:val="24"/>
        </w:rPr>
      </w:pPr>
      <w:r>
        <w:rPr>
          <w:color w:val="000000"/>
          <w:sz w:val="24"/>
          <w:szCs w:val="24"/>
        </w:rPr>
        <w:t>2014</w:t>
      </w:r>
      <w:r>
        <w:rPr>
          <w:color w:val="000000"/>
          <w:sz w:val="24"/>
          <w:szCs w:val="24"/>
        </w:rPr>
        <w:t>年三季度</w:t>
      </w:r>
      <w:r>
        <w:rPr>
          <w:color w:val="000000"/>
          <w:sz w:val="24"/>
          <w:szCs w:val="24"/>
        </w:rPr>
        <w:t>A</w:t>
      </w:r>
      <w:r>
        <w:rPr>
          <w:color w:val="000000"/>
          <w:sz w:val="24"/>
          <w:szCs w:val="24"/>
        </w:rPr>
        <w:t>股市场呈现单边上涨的态势。股市上涨初期主要反映了宏观政策放松的预期，在中后期尽管宏观刺激政策低于市场预期，宏观高频数据显示刺激效果乏力，指数阶段性回调，但在海外热钱和产业资本持续流入股市驱动下，股市依然明显保持强势。考虑到房地产可能已经处于长周期的价格拐点，企业，政府部门继续加杠杆的可能性在降低，在这个阶段宏观分析预测上存量分析的重要性应该高于流量分析。存量资产价格，存量资本配置方向，乃至存量热钱的流动方向所形成的合力对股市的运行趋势具有决定性的作用。需要注意的是，中美处于不同的经济周期，利率水平中期也处于不同变动方向，人民币对美元是否能保持稳定是个很大的挑战。</w:t>
      </w:r>
    </w:p>
    <w:p w:rsidR="00E70E59" w:rsidRDefault="00B16BBE">
      <w:pPr>
        <w:spacing w:before="29" w:line="288" w:lineRule="auto"/>
        <w:ind w:firstLineChars="200" w:firstLine="480"/>
        <w:rPr>
          <w:color w:val="000000"/>
          <w:sz w:val="24"/>
          <w:szCs w:val="24"/>
        </w:rPr>
      </w:pPr>
      <w:r>
        <w:rPr>
          <w:color w:val="000000"/>
          <w:sz w:val="24"/>
          <w:szCs w:val="24"/>
        </w:rPr>
        <w:t>三季度本基金净值上涨</w:t>
      </w:r>
      <w:r>
        <w:rPr>
          <w:color w:val="000000"/>
          <w:sz w:val="24"/>
          <w:szCs w:val="24"/>
        </w:rPr>
        <w:t>11.75%</w:t>
      </w:r>
      <w:r>
        <w:rPr>
          <w:color w:val="000000"/>
          <w:sz w:val="24"/>
          <w:szCs w:val="24"/>
        </w:rPr>
        <w:t>，跑赢业绩比较基准。三季度Ａ股市场的单边上涨，无法完全从中微观的基本面来解释。小市值、公司有动力等成为中小市值股票走牛的共同驱动因素，也成为越来越多投资者选择相信的投资真谛。这个趋势何以发生，如何持续，是Ａ股投资者无法回避的问题。泡沫本是资产价格一个存在状态，是市场交易的润滑剂，无所谓好坏。对基本面投资者来说，至今可能缺乏好的工具去理解和把握。对Ａ股参与者来说，要么参与主动制造泡沫，要么考虑如何能火中取栗乐享其成，或者做中期可能更正确的事情，不参与泡沫。</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四季度宏观经济仍处于缓慢寻底的过程，政府在宏观调控方面的适应性对冲，预计可能更多是减少痛苦而无法解决问题。在新常态的背景下，传统的分析框架的预测能力已经受限，但基于常识依然可以看到很多具有确定性的中期趋势，比如人口老龄化的加速带来银发经济，互联网大潮下带来的企业可能性边界的拓展和分工网络拓扑结构的突变等等。</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1.094</w:t>
      </w:r>
      <w:r w:rsidRPr="00414345">
        <w:rPr>
          <w:color w:val="000000"/>
          <w:sz w:val="24"/>
          <w:szCs w:val="24"/>
        </w:rPr>
        <w:t>元，本报告期份额净值增长率为</w:t>
      </w:r>
      <w:r w:rsidRPr="00414345">
        <w:rPr>
          <w:color w:val="000000"/>
          <w:sz w:val="24"/>
          <w:szCs w:val="24"/>
        </w:rPr>
        <w:t>11.75%</w:t>
      </w:r>
      <w:r w:rsidRPr="00414345">
        <w:rPr>
          <w:color w:val="000000"/>
          <w:sz w:val="24"/>
          <w:szCs w:val="24"/>
        </w:rPr>
        <w:t>，同期业绩比较基准增长率为</w:t>
      </w:r>
      <w:r w:rsidRPr="00414345">
        <w:rPr>
          <w:color w:val="000000"/>
          <w:sz w:val="24"/>
          <w:szCs w:val="24"/>
        </w:rPr>
        <w:t>10.62%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B16BB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539,525,598.90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539,525,598.90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38,046,696.25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6.59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115,092.11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577,687,387.26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B16BB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B16BBE">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447,433,648.86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18,484,063.08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30,830,787.96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B16BBE">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42,777,099.00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539,525,598.90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70E59">
        <w:trPr>
          <w:jc w:val="center"/>
        </w:trPr>
        <w:tc>
          <w:tcPr>
            <w:tcW w:w="855" w:type="dxa"/>
            <w:vAlign w:val="center"/>
          </w:tcPr>
          <w:p w:rsidR="00E70E59" w:rsidRDefault="00B16BBE">
            <w:pPr>
              <w:jc w:val="center"/>
            </w:pPr>
            <w:r>
              <w:rPr>
                <w:color w:val="000000"/>
                <w:sz w:val="24"/>
                <w:szCs w:val="24"/>
              </w:rPr>
              <w:t>1</w:t>
            </w:r>
          </w:p>
        </w:tc>
        <w:tc>
          <w:tcPr>
            <w:tcW w:w="1334" w:type="dxa"/>
            <w:vAlign w:val="center"/>
          </w:tcPr>
          <w:p w:rsidR="00E70E59" w:rsidRDefault="00B16BBE">
            <w:pPr>
              <w:jc w:val="center"/>
            </w:pPr>
            <w:r>
              <w:rPr>
                <w:color w:val="000000"/>
                <w:sz w:val="24"/>
                <w:szCs w:val="24"/>
              </w:rPr>
              <w:t>600315</w:t>
            </w:r>
          </w:p>
        </w:tc>
        <w:tc>
          <w:tcPr>
            <w:tcW w:w="1777" w:type="dxa"/>
            <w:vAlign w:val="center"/>
          </w:tcPr>
          <w:p w:rsidR="00E70E59" w:rsidRDefault="00B16BBE">
            <w:pPr>
              <w:jc w:val="center"/>
            </w:pPr>
            <w:r>
              <w:rPr>
                <w:color w:val="000000"/>
                <w:sz w:val="24"/>
                <w:szCs w:val="24"/>
              </w:rPr>
              <w:t>上海家化</w:t>
            </w:r>
          </w:p>
        </w:tc>
        <w:tc>
          <w:tcPr>
            <w:tcW w:w="1334" w:type="dxa"/>
            <w:vAlign w:val="center"/>
          </w:tcPr>
          <w:p w:rsidR="00E70E59" w:rsidRDefault="00B16BBE">
            <w:pPr>
              <w:jc w:val="right"/>
            </w:pPr>
            <w:r>
              <w:rPr>
                <w:color w:val="000000"/>
                <w:sz w:val="24"/>
                <w:szCs w:val="24"/>
              </w:rPr>
              <w:t>1,510,798</w:t>
            </w:r>
          </w:p>
        </w:tc>
        <w:tc>
          <w:tcPr>
            <w:tcW w:w="1924" w:type="dxa"/>
            <w:vAlign w:val="center"/>
          </w:tcPr>
          <w:p w:rsidR="00E70E59" w:rsidRDefault="00B16BBE">
            <w:pPr>
              <w:jc w:val="right"/>
            </w:pPr>
            <w:r>
              <w:rPr>
                <w:color w:val="000000"/>
                <w:sz w:val="24"/>
                <w:szCs w:val="24"/>
              </w:rPr>
              <w:t>54,237,648.20</w:t>
            </w:r>
          </w:p>
        </w:tc>
        <w:tc>
          <w:tcPr>
            <w:tcW w:w="1644" w:type="dxa"/>
            <w:vAlign w:val="center"/>
          </w:tcPr>
          <w:p w:rsidR="00E70E59" w:rsidRDefault="00B16BBE">
            <w:pPr>
              <w:jc w:val="right"/>
            </w:pPr>
            <w:r>
              <w:rPr>
                <w:color w:val="000000"/>
                <w:sz w:val="24"/>
                <w:szCs w:val="24"/>
              </w:rPr>
              <w:t>9.49</w:t>
            </w:r>
          </w:p>
        </w:tc>
      </w:tr>
      <w:tr w:rsidR="00E70E59">
        <w:trPr>
          <w:jc w:val="center"/>
        </w:trPr>
        <w:tc>
          <w:tcPr>
            <w:tcW w:w="855" w:type="dxa"/>
            <w:vAlign w:val="center"/>
          </w:tcPr>
          <w:p w:rsidR="00E70E59" w:rsidRDefault="00B16BBE">
            <w:pPr>
              <w:jc w:val="center"/>
            </w:pPr>
            <w:r>
              <w:rPr>
                <w:color w:val="000000"/>
                <w:sz w:val="24"/>
                <w:szCs w:val="24"/>
              </w:rPr>
              <w:t>2</w:t>
            </w:r>
          </w:p>
        </w:tc>
        <w:tc>
          <w:tcPr>
            <w:tcW w:w="1334" w:type="dxa"/>
            <w:vAlign w:val="center"/>
          </w:tcPr>
          <w:p w:rsidR="00E70E59" w:rsidRDefault="00B16BBE">
            <w:pPr>
              <w:jc w:val="center"/>
            </w:pPr>
            <w:r>
              <w:rPr>
                <w:color w:val="000000"/>
                <w:sz w:val="24"/>
                <w:szCs w:val="24"/>
              </w:rPr>
              <w:t>600389</w:t>
            </w:r>
          </w:p>
        </w:tc>
        <w:tc>
          <w:tcPr>
            <w:tcW w:w="1777" w:type="dxa"/>
            <w:vAlign w:val="center"/>
          </w:tcPr>
          <w:p w:rsidR="00E70E59" w:rsidRDefault="00B16BBE">
            <w:pPr>
              <w:jc w:val="center"/>
            </w:pPr>
            <w:r>
              <w:rPr>
                <w:color w:val="000000"/>
                <w:sz w:val="24"/>
                <w:szCs w:val="24"/>
              </w:rPr>
              <w:t>江山股份</w:t>
            </w:r>
          </w:p>
        </w:tc>
        <w:tc>
          <w:tcPr>
            <w:tcW w:w="1334" w:type="dxa"/>
            <w:vAlign w:val="center"/>
          </w:tcPr>
          <w:p w:rsidR="00E70E59" w:rsidRDefault="00B16BBE">
            <w:pPr>
              <w:jc w:val="right"/>
            </w:pPr>
            <w:r>
              <w:rPr>
                <w:color w:val="000000"/>
                <w:sz w:val="24"/>
                <w:szCs w:val="24"/>
              </w:rPr>
              <w:t>1,665,110</w:t>
            </w:r>
          </w:p>
        </w:tc>
        <w:tc>
          <w:tcPr>
            <w:tcW w:w="1924" w:type="dxa"/>
            <w:vAlign w:val="center"/>
          </w:tcPr>
          <w:p w:rsidR="00E70E59" w:rsidRDefault="00B16BBE">
            <w:pPr>
              <w:jc w:val="right"/>
            </w:pPr>
            <w:r>
              <w:rPr>
                <w:color w:val="000000"/>
                <w:sz w:val="24"/>
                <w:szCs w:val="24"/>
              </w:rPr>
              <w:t>53,516,635.40</w:t>
            </w:r>
          </w:p>
        </w:tc>
        <w:tc>
          <w:tcPr>
            <w:tcW w:w="1644" w:type="dxa"/>
            <w:vAlign w:val="center"/>
          </w:tcPr>
          <w:p w:rsidR="00E70E59" w:rsidRDefault="00B16BBE">
            <w:pPr>
              <w:jc w:val="right"/>
            </w:pPr>
            <w:r>
              <w:rPr>
                <w:color w:val="000000"/>
                <w:sz w:val="24"/>
                <w:szCs w:val="24"/>
              </w:rPr>
              <w:t>9.36</w:t>
            </w:r>
          </w:p>
        </w:tc>
      </w:tr>
      <w:tr w:rsidR="00E70E59">
        <w:trPr>
          <w:jc w:val="center"/>
        </w:trPr>
        <w:tc>
          <w:tcPr>
            <w:tcW w:w="855" w:type="dxa"/>
            <w:vAlign w:val="center"/>
          </w:tcPr>
          <w:p w:rsidR="00E70E59" w:rsidRDefault="00B16BBE">
            <w:pPr>
              <w:jc w:val="center"/>
            </w:pPr>
            <w:r>
              <w:rPr>
                <w:color w:val="000000"/>
                <w:sz w:val="24"/>
                <w:szCs w:val="24"/>
              </w:rPr>
              <w:t>3</w:t>
            </w:r>
          </w:p>
        </w:tc>
        <w:tc>
          <w:tcPr>
            <w:tcW w:w="1334" w:type="dxa"/>
            <w:vAlign w:val="center"/>
          </w:tcPr>
          <w:p w:rsidR="00E70E59" w:rsidRDefault="00B16BBE">
            <w:pPr>
              <w:jc w:val="center"/>
            </w:pPr>
            <w:r>
              <w:rPr>
                <w:color w:val="000000"/>
                <w:sz w:val="24"/>
                <w:szCs w:val="24"/>
              </w:rPr>
              <w:t>600887</w:t>
            </w:r>
          </w:p>
        </w:tc>
        <w:tc>
          <w:tcPr>
            <w:tcW w:w="1777" w:type="dxa"/>
            <w:vAlign w:val="center"/>
          </w:tcPr>
          <w:p w:rsidR="00E70E59" w:rsidRDefault="00B16BBE">
            <w:pPr>
              <w:jc w:val="center"/>
            </w:pPr>
            <w:r>
              <w:rPr>
                <w:color w:val="000000"/>
                <w:sz w:val="24"/>
                <w:szCs w:val="24"/>
              </w:rPr>
              <w:t>伊利股份</w:t>
            </w:r>
          </w:p>
        </w:tc>
        <w:tc>
          <w:tcPr>
            <w:tcW w:w="1334" w:type="dxa"/>
            <w:vAlign w:val="center"/>
          </w:tcPr>
          <w:p w:rsidR="00E70E59" w:rsidRDefault="00B16BBE">
            <w:pPr>
              <w:jc w:val="right"/>
            </w:pPr>
            <w:r>
              <w:rPr>
                <w:color w:val="000000"/>
                <w:sz w:val="24"/>
                <w:szCs w:val="24"/>
              </w:rPr>
              <w:t>1,946,297</w:t>
            </w:r>
          </w:p>
        </w:tc>
        <w:tc>
          <w:tcPr>
            <w:tcW w:w="1924" w:type="dxa"/>
            <w:vAlign w:val="center"/>
          </w:tcPr>
          <w:p w:rsidR="00E70E59" w:rsidRDefault="00B16BBE">
            <w:pPr>
              <w:jc w:val="right"/>
            </w:pPr>
            <w:r>
              <w:rPr>
                <w:color w:val="000000"/>
                <w:sz w:val="24"/>
                <w:szCs w:val="24"/>
              </w:rPr>
              <w:t>50,409,092.30</w:t>
            </w:r>
          </w:p>
        </w:tc>
        <w:tc>
          <w:tcPr>
            <w:tcW w:w="1644" w:type="dxa"/>
            <w:vAlign w:val="center"/>
          </w:tcPr>
          <w:p w:rsidR="00E70E59" w:rsidRDefault="00B16BBE">
            <w:pPr>
              <w:jc w:val="right"/>
            </w:pPr>
            <w:r>
              <w:rPr>
                <w:color w:val="000000"/>
                <w:sz w:val="24"/>
                <w:szCs w:val="24"/>
              </w:rPr>
              <w:t>8.82</w:t>
            </w:r>
          </w:p>
        </w:tc>
      </w:tr>
      <w:tr w:rsidR="00E70E59">
        <w:trPr>
          <w:jc w:val="center"/>
        </w:trPr>
        <w:tc>
          <w:tcPr>
            <w:tcW w:w="855" w:type="dxa"/>
            <w:vAlign w:val="center"/>
          </w:tcPr>
          <w:p w:rsidR="00E70E59" w:rsidRDefault="00B16BBE">
            <w:pPr>
              <w:jc w:val="center"/>
            </w:pPr>
            <w:r>
              <w:rPr>
                <w:color w:val="000000"/>
                <w:sz w:val="24"/>
                <w:szCs w:val="24"/>
              </w:rPr>
              <w:t>4</w:t>
            </w:r>
          </w:p>
        </w:tc>
        <w:tc>
          <w:tcPr>
            <w:tcW w:w="1334" w:type="dxa"/>
            <w:vAlign w:val="center"/>
          </w:tcPr>
          <w:p w:rsidR="00E70E59" w:rsidRDefault="00B16BBE">
            <w:pPr>
              <w:jc w:val="center"/>
            </w:pPr>
            <w:r>
              <w:rPr>
                <w:color w:val="000000"/>
                <w:sz w:val="24"/>
                <w:szCs w:val="24"/>
              </w:rPr>
              <w:t>300005</w:t>
            </w:r>
          </w:p>
        </w:tc>
        <w:tc>
          <w:tcPr>
            <w:tcW w:w="1777" w:type="dxa"/>
            <w:vAlign w:val="center"/>
          </w:tcPr>
          <w:p w:rsidR="00E70E59" w:rsidRDefault="00B16BBE">
            <w:pPr>
              <w:jc w:val="center"/>
            </w:pPr>
            <w:r>
              <w:rPr>
                <w:color w:val="000000"/>
                <w:sz w:val="24"/>
                <w:szCs w:val="24"/>
              </w:rPr>
              <w:t>探路者</w:t>
            </w:r>
          </w:p>
        </w:tc>
        <w:tc>
          <w:tcPr>
            <w:tcW w:w="1334" w:type="dxa"/>
            <w:vAlign w:val="center"/>
          </w:tcPr>
          <w:p w:rsidR="00E70E59" w:rsidRDefault="00B16BBE">
            <w:pPr>
              <w:jc w:val="right"/>
            </w:pPr>
            <w:r>
              <w:rPr>
                <w:color w:val="000000"/>
                <w:sz w:val="24"/>
                <w:szCs w:val="24"/>
              </w:rPr>
              <w:t>2,874,691</w:t>
            </w:r>
          </w:p>
        </w:tc>
        <w:tc>
          <w:tcPr>
            <w:tcW w:w="1924" w:type="dxa"/>
            <w:vAlign w:val="center"/>
          </w:tcPr>
          <w:p w:rsidR="00E70E59" w:rsidRDefault="00B16BBE">
            <w:pPr>
              <w:jc w:val="right"/>
            </w:pPr>
            <w:r>
              <w:rPr>
                <w:color w:val="000000"/>
                <w:sz w:val="24"/>
                <w:szCs w:val="24"/>
              </w:rPr>
              <w:t>50,307,092.50</w:t>
            </w:r>
          </w:p>
        </w:tc>
        <w:tc>
          <w:tcPr>
            <w:tcW w:w="1644" w:type="dxa"/>
            <w:vAlign w:val="center"/>
          </w:tcPr>
          <w:p w:rsidR="00E70E59" w:rsidRDefault="00B16BBE">
            <w:pPr>
              <w:jc w:val="right"/>
            </w:pPr>
            <w:r>
              <w:rPr>
                <w:color w:val="000000"/>
                <w:sz w:val="24"/>
                <w:szCs w:val="24"/>
              </w:rPr>
              <w:t>8.80</w:t>
            </w:r>
          </w:p>
        </w:tc>
      </w:tr>
      <w:tr w:rsidR="00E70E59">
        <w:trPr>
          <w:jc w:val="center"/>
        </w:trPr>
        <w:tc>
          <w:tcPr>
            <w:tcW w:w="855" w:type="dxa"/>
            <w:vAlign w:val="center"/>
          </w:tcPr>
          <w:p w:rsidR="00E70E59" w:rsidRDefault="00B16BBE">
            <w:pPr>
              <w:jc w:val="center"/>
            </w:pPr>
            <w:r>
              <w:rPr>
                <w:color w:val="000000"/>
                <w:sz w:val="24"/>
                <w:szCs w:val="24"/>
              </w:rPr>
              <w:t>5</w:t>
            </w:r>
          </w:p>
        </w:tc>
        <w:tc>
          <w:tcPr>
            <w:tcW w:w="1334" w:type="dxa"/>
            <w:vAlign w:val="center"/>
          </w:tcPr>
          <w:p w:rsidR="00E70E59" w:rsidRDefault="00B16BBE">
            <w:pPr>
              <w:jc w:val="center"/>
            </w:pPr>
            <w:r>
              <w:rPr>
                <w:color w:val="000000"/>
                <w:sz w:val="24"/>
                <w:szCs w:val="24"/>
              </w:rPr>
              <w:t>000423</w:t>
            </w:r>
          </w:p>
        </w:tc>
        <w:tc>
          <w:tcPr>
            <w:tcW w:w="1777" w:type="dxa"/>
            <w:vAlign w:val="center"/>
          </w:tcPr>
          <w:p w:rsidR="00E70E59" w:rsidRDefault="00B16BBE">
            <w:pPr>
              <w:jc w:val="center"/>
            </w:pPr>
            <w:r>
              <w:rPr>
                <w:color w:val="000000"/>
                <w:sz w:val="24"/>
                <w:szCs w:val="24"/>
              </w:rPr>
              <w:t>东阿阿胶</w:t>
            </w:r>
          </w:p>
        </w:tc>
        <w:tc>
          <w:tcPr>
            <w:tcW w:w="1334" w:type="dxa"/>
            <w:vAlign w:val="center"/>
          </w:tcPr>
          <w:p w:rsidR="00E70E59" w:rsidRDefault="00B16BBE">
            <w:pPr>
              <w:jc w:val="right"/>
            </w:pPr>
            <w:r>
              <w:rPr>
                <w:color w:val="000000"/>
                <w:sz w:val="24"/>
                <w:szCs w:val="24"/>
              </w:rPr>
              <w:t>1,407,252</w:t>
            </w:r>
          </w:p>
        </w:tc>
        <w:tc>
          <w:tcPr>
            <w:tcW w:w="1924" w:type="dxa"/>
            <w:vAlign w:val="center"/>
          </w:tcPr>
          <w:p w:rsidR="00E70E59" w:rsidRDefault="00B16BBE">
            <w:pPr>
              <w:jc w:val="right"/>
            </w:pPr>
            <w:r>
              <w:rPr>
                <w:color w:val="000000"/>
                <w:sz w:val="24"/>
                <w:szCs w:val="24"/>
              </w:rPr>
              <w:t>49,042,732.20</w:t>
            </w:r>
          </w:p>
        </w:tc>
        <w:tc>
          <w:tcPr>
            <w:tcW w:w="1644" w:type="dxa"/>
            <w:vAlign w:val="center"/>
          </w:tcPr>
          <w:p w:rsidR="00E70E59" w:rsidRDefault="00B16BBE">
            <w:pPr>
              <w:jc w:val="right"/>
            </w:pPr>
            <w:r>
              <w:rPr>
                <w:color w:val="000000"/>
                <w:sz w:val="24"/>
                <w:szCs w:val="24"/>
              </w:rPr>
              <w:t>8.58</w:t>
            </w:r>
          </w:p>
        </w:tc>
      </w:tr>
      <w:tr w:rsidR="00E70E59">
        <w:trPr>
          <w:jc w:val="center"/>
        </w:trPr>
        <w:tc>
          <w:tcPr>
            <w:tcW w:w="855" w:type="dxa"/>
            <w:vAlign w:val="center"/>
          </w:tcPr>
          <w:p w:rsidR="00E70E59" w:rsidRDefault="00B16BBE">
            <w:pPr>
              <w:jc w:val="center"/>
            </w:pPr>
            <w:r>
              <w:rPr>
                <w:color w:val="000000"/>
                <w:sz w:val="24"/>
                <w:szCs w:val="24"/>
              </w:rPr>
              <w:t>6</w:t>
            </w:r>
          </w:p>
        </w:tc>
        <w:tc>
          <w:tcPr>
            <w:tcW w:w="1334" w:type="dxa"/>
            <w:vAlign w:val="center"/>
          </w:tcPr>
          <w:p w:rsidR="00E70E59" w:rsidRDefault="00B16BBE">
            <w:pPr>
              <w:jc w:val="center"/>
            </w:pPr>
            <w:r>
              <w:rPr>
                <w:color w:val="000000"/>
                <w:sz w:val="24"/>
                <w:szCs w:val="24"/>
              </w:rPr>
              <w:t>600967</w:t>
            </w:r>
          </w:p>
        </w:tc>
        <w:tc>
          <w:tcPr>
            <w:tcW w:w="1777" w:type="dxa"/>
            <w:vAlign w:val="center"/>
          </w:tcPr>
          <w:p w:rsidR="00E70E59" w:rsidRDefault="00B16BBE">
            <w:pPr>
              <w:jc w:val="center"/>
            </w:pPr>
            <w:r>
              <w:rPr>
                <w:color w:val="000000"/>
                <w:sz w:val="24"/>
                <w:szCs w:val="24"/>
              </w:rPr>
              <w:t>北方创业</w:t>
            </w:r>
          </w:p>
        </w:tc>
        <w:tc>
          <w:tcPr>
            <w:tcW w:w="1334" w:type="dxa"/>
            <w:vAlign w:val="center"/>
          </w:tcPr>
          <w:p w:rsidR="00E70E59" w:rsidRDefault="00B16BBE">
            <w:pPr>
              <w:jc w:val="right"/>
            </w:pPr>
            <w:r>
              <w:rPr>
                <w:color w:val="000000"/>
                <w:sz w:val="24"/>
                <w:szCs w:val="24"/>
              </w:rPr>
              <w:t>3,027,191</w:t>
            </w:r>
          </w:p>
        </w:tc>
        <w:tc>
          <w:tcPr>
            <w:tcW w:w="1924" w:type="dxa"/>
            <w:vAlign w:val="center"/>
          </w:tcPr>
          <w:p w:rsidR="00E70E59" w:rsidRDefault="00B16BBE">
            <w:pPr>
              <w:jc w:val="right"/>
            </w:pPr>
            <w:r>
              <w:rPr>
                <w:color w:val="000000"/>
                <w:sz w:val="24"/>
                <w:szCs w:val="24"/>
              </w:rPr>
              <w:t>48,253,424.54</w:t>
            </w:r>
          </w:p>
        </w:tc>
        <w:tc>
          <w:tcPr>
            <w:tcW w:w="1644" w:type="dxa"/>
            <w:vAlign w:val="center"/>
          </w:tcPr>
          <w:p w:rsidR="00E70E59" w:rsidRDefault="00B16BBE">
            <w:pPr>
              <w:jc w:val="right"/>
            </w:pPr>
            <w:r>
              <w:rPr>
                <w:color w:val="000000"/>
                <w:sz w:val="24"/>
                <w:szCs w:val="24"/>
              </w:rPr>
              <w:t>8.44</w:t>
            </w:r>
          </w:p>
        </w:tc>
      </w:tr>
      <w:tr w:rsidR="00E70E59">
        <w:trPr>
          <w:jc w:val="center"/>
        </w:trPr>
        <w:tc>
          <w:tcPr>
            <w:tcW w:w="855" w:type="dxa"/>
            <w:vAlign w:val="center"/>
          </w:tcPr>
          <w:p w:rsidR="00E70E59" w:rsidRDefault="00B16BBE">
            <w:pPr>
              <w:jc w:val="center"/>
            </w:pPr>
            <w:r>
              <w:rPr>
                <w:color w:val="000000"/>
                <w:sz w:val="24"/>
                <w:szCs w:val="24"/>
              </w:rPr>
              <w:t>7</w:t>
            </w:r>
          </w:p>
        </w:tc>
        <w:tc>
          <w:tcPr>
            <w:tcW w:w="1334" w:type="dxa"/>
            <w:vAlign w:val="center"/>
          </w:tcPr>
          <w:p w:rsidR="00E70E59" w:rsidRDefault="00B16BBE">
            <w:pPr>
              <w:jc w:val="center"/>
            </w:pPr>
            <w:r>
              <w:rPr>
                <w:color w:val="000000"/>
                <w:sz w:val="24"/>
                <w:szCs w:val="24"/>
              </w:rPr>
              <w:t>000100</w:t>
            </w:r>
          </w:p>
        </w:tc>
        <w:tc>
          <w:tcPr>
            <w:tcW w:w="1777" w:type="dxa"/>
            <w:vAlign w:val="center"/>
          </w:tcPr>
          <w:p w:rsidR="00E70E59" w:rsidRDefault="00B16BBE">
            <w:pPr>
              <w:jc w:val="center"/>
            </w:pPr>
            <w:r>
              <w:rPr>
                <w:color w:val="000000"/>
                <w:sz w:val="24"/>
                <w:szCs w:val="24"/>
              </w:rPr>
              <w:t xml:space="preserve">TCL </w:t>
            </w:r>
            <w:r>
              <w:rPr>
                <w:color w:val="000000"/>
                <w:sz w:val="24"/>
                <w:szCs w:val="24"/>
              </w:rPr>
              <w:t>集团</w:t>
            </w:r>
          </w:p>
        </w:tc>
        <w:tc>
          <w:tcPr>
            <w:tcW w:w="1334" w:type="dxa"/>
            <w:vAlign w:val="center"/>
          </w:tcPr>
          <w:p w:rsidR="00E70E59" w:rsidRDefault="00B16BBE">
            <w:pPr>
              <w:jc w:val="right"/>
            </w:pPr>
            <w:r>
              <w:rPr>
                <w:color w:val="000000"/>
                <w:sz w:val="24"/>
                <w:szCs w:val="24"/>
              </w:rPr>
              <w:t>16,580,419</w:t>
            </w:r>
          </w:p>
        </w:tc>
        <w:tc>
          <w:tcPr>
            <w:tcW w:w="1924" w:type="dxa"/>
            <w:vAlign w:val="center"/>
          </w:tcPr>
          <w:p w:rsidR="00E70E59" w:rsidRDefault="00B16BBE">
            <w:pPr>
              <w:jc w:val="right"/>
            </w:pPr>
            <w:r>
              <w:rPr>
                <w:color w:val="000000"/>
                <w:sz w:val="24"/>
                <w:szCs w:val="24"/>
              </w:rPr>
              <w:t>44,767,131.30</w:t>
            </w:r>
          </w:p>
        </w:tc>
        <w:tc>
          <w:tcPr>
            <w:tcW w:w="1644" w:type="dxa"/>
            <w:vAlign w:val="center"/>
          </w:tcPr>
          <w:p w:rsidR="00E70E59" w:rsidRDefault="00B16BBE">
            <w:pPr>
              <w:jc w:val="right"/>
            </w:pPr>
            <w:r>
              <w:rPr>
                <w:color w:val="000000"/>
                <w:sz w:val="24"/>
                <w:szCs w:val="24"/>
              </w:rPr>
              <w:t>7.83</w:t>
            </w:r>
          </w:p>
        </w:tc>
      </w:tr>
      <w:tr w:rsidR="00E70E59">
        <w:trPr>
          <w:jc w:val="center"/>
        </w:trPr>
        <w:tc>
          <w:tcPr>
            <w:tcW w:w="855" w:type="dxa"/>
            <w:vAlign w:val="center"/>
          </w:tcPr>
          <w:p w:rsidR="00E70E59" w:rsidRDefault="00B16BBE">
            <w:pPr>
              <w:jc w:val="center"/>
            </w:pPr>
            <w:r>
              <w:rPr>
                <w:color w:val="000000"/>
                <w:sz w:val="24"/>
                <w:szCs w:val="24"/>
              </w:rPr>
              <w:t>8</w:t>
            </w:r>
          </w:p>
        </w:tc>
        <w:tc>
          <w:tcPr>
            <w:tcW w:w="1334" w:type="dxa"/>
            <w:vAlign w:val="center"/>
          </w:tcPr>
          <w:p w:rsidR="00E70E59" w:rsidRDefault="00B16BBE">
            <w:pPr>
              <w:jc w:val="center"/>
            </w:pPr>
            <w:r>
              <w:rPr>
                <w:color w:val="000000"/>
                <w:sz w:val="24"/>
                <w:szCs w:val="24"/>
              </w:rPr>
              <w:t>600763</w:t>
            </w:r>
          </w:p>
        </w:tc>
        <w:tc>
          <w:tcPr>
            <w:tcW w:w="1777" w:type="dxa"/>
            <w:vAlign w:val="center"/>
          </w:tcPr>
          <w:p w:rsidR="00E70E59" w:rsidRDefault="00B16BBE">
            <w:pPr>
              <w:jc w:val="center"/>
            </w:pPr>
            <w:r>
              <w:rPr>
                <w:color w:val="000000"/>
                <w:sz w:val="24"/>
                <w:szCs w:val="24"/>
              </w:rPr>
              <w:t>通策医疗</w:t>
            </w:r>
          </w:p>
        </w:tc>
        <w:tc>
          <w:tcPr>
            <w:tcW w:w="1334" w:type="dxa"/>
            <w:vAlign w:val="center"/>
          </w:tcPr>
          <w:p w:rsidR="00E70E59" w:rsidRDefault="00B16BBE">
            <w:pPr>
              <w:jc w:val="right"/>
            </w:pPr>
            <w:r>
              <w:rPr>
                <w:color w:val="000000"/>
                <w:sz w:val="24"/>
                <w:szCs w:val="24"/>
              </w:rPr>
              <w:t>886,572</w:t>
            </w:r>
          </w:p>
        </w:tc>
        <w:tc>
          <w:tcPr>
            <w:tcW w:w="1924" w:type="dxa"/>
            <w:vAlign w:val="center"/>
          </w:tcPr>
          <w:p w:rsidR="00E70E59" w:rsidRDefault="00B16BBE">
            <w:pPr>
              <w:jc w:val="right"/>
            </w:pPr>
            <w:r>
              <w:rPr>
                <w:color w:val="000000"/>
                <w:sz w:val="24"/>
                <w:szCs w:val="24"/>
              </w:rPr>
              <w:t>42,777,099.00</w:t>
            </w:r>
          </w:p>
        </w:tc>
        <w:tc>
          <w:tcPr>
            <w:tcW w:w="1644" w:type="dxa"/>
            <w:vAlign w:val="center"/>
          </w:tcPr>
          <w:p w:rsidR="00E70E59" w:rsidRDefault="00B16BBE">
            <w:pPr>
              <w:jc w:val="right"/>
            </w:pPr>
            <w:r>
              <w:rPr>
                <w:color w:val="000000"/>
                <w:sz w:val="24"/>
                <w:szCs w:val="24"/>
              </w:rPr>
              <w:t>7.48</w:t>
            </w:r>
          </w:p>
        </w:tc>
      </w:tr>
      <w:tr w:rsidR="00E70E59">
        <w:trPr>
          <w:jc w:val="center"/>
        </w:trPr>
        <w:tc>
          <w:tcPr>
            <w:tcW w:w="855" w:type="dxa"/>
            <w:vAlign w:val="center"/>
          </w:tcPr>
          <w:p w:rsidR="00E70E59" w:rsidRDefault="00B16BBE">
            <w:pPr>
              <w:jc w:val="center"/>
            </w:pPr>
            <w:r>
              <w:rPr>
                <w:color w:val="000000"/>
                <w:sz w:val="24"/>
                <w:szCs w:val="24"/>
              </w:rPr>
              <w:t>9</w:t>
            </w:r>
          </w:p>
        </w:tc>
        <w:tc>
          <w:tcPr>
            <w:tcW w:w="1334" w:type="dxa"/>
            <w:vAlign w:val="center"/>
          </w:tcPr>
          <w:p w:rsidR="00E70E59" w:rsidRDefault="00B16BBE">
            <w:pPr>
              <w:jc w:val="center"/>
            </w:pPr>
            <w:r>
              <w:rPr>
                <w:color w:val="000000"/>
                <w:sz w:val="24"/>
                <w:szCs w:val="24"/>
              </w:rPr>
              <w:t>601933</w:t>
            </w:r>
          </w:p>
        </w:tc>
        <w:tc>
          <w:tcPr>
            <w:tcW w:w="1777" w:type="dxa"/>
            <w:vAlign w:val="center"/>
          </w:tcPr>
          <w:p w:rsidR="00E70E59" w:rsidRDefault="00B16BBE">
            <w:pPr>
              <w:jc w:val="center"/>
            </w:pPr>
            <w:r>
              <w:rPr>
                <w:color w:val="000000"/>
                <w:sz w:val="24"/>
                <w:szCs w:val="24"/>
              </w:rPr>
              <w:t>永辉超市</w:t>
            </w:r>
          </w:p>
        </w:tc>
        <w:tc>
          <w:tcPr>
            <w:tcW w:w="1334" w:type="dxa"/>
            <w:vAlign w:val="center"/>
          </w:tcPr>
          <w:p w:rsidR="00E70E59" w:rsidRDefault="00B16BBE">
            <w:pPr>
              <w:jc w:val="right"/>
            </w:pPr>
            <w:r>
              <w:rPr>
                <w:color w:val="000000"/>
                <w:sz w:val="24"/>
                <w:szCs w:val="24"/>
              </w:rPr>
              <w:t>3,917,508</w:t>
            </w:r>
          </w:p>
        </w:tc>
        <w:tc>
          <w:tcPr>
            <w:tcW w:w="1924" w:type="dxa"/>
            <w:vAlign w:val="center"/>
          </w:tcPr>
          <w:p w:rsidR="00E70E59" w:rsidRDefault="00B16BBE">
            <w:pPr>
              <w:jc w:val="right"/>
            </w:pPr>
            <w:r>
              <w:rPr>
                <w:color w:val="000000"/>
                <w:sz w:val="24"/>
                <w:szCs w:val="24"/>
              </w:rPr>
              <w:t>30,830,787.96</w:t>
            </w:r>
          </w:p>
        </w:tc>
        <w:tc>
          <w:tcPr>
            <w:tcW w:w="1644" w:type="dxa"/>
            <w:vAlign w:val="center"/>
          </w:tcPr>
          <w:p w:rsidR="00E70E59" w:rsidRDefault="00B16BBE">
            <w:pPr>
              <w:jc w:val="right"/>
            </w:pPr>
            <w:r>
              <w:rPr>
                <w:color w:val="000000"/>
                <w:sz w:val="24"/>
                <w:szCs w:val="24"/>
              </w:rPr>
              <w:t>5.39</w:t>
            </w:r>
          </w:p>
        </w:tc>
      </w:tr>
      <w:tr w:rsidR="00E70E59">
        <w:trPr>
          <w:jc w:val="center"/>
        </w:trPr>
        <w:tc>
          <w:tcPr>
            <w:tcW w:w="855" w:type="dxa"/>
            <w:vAlign w:val="center"/>
          </w:tcPr>
          <w:p w:rsidR="00E70E59" w:rsidRDefault="00B16BBE">
            <w:pPr>
              <w:jc w:val="center"/>
            </w:pPr>
            <w:r>
              <w:rPr>
                <w:color w:val="000000"/>
                <w:sz w:val="24"/>
                <w:szCs w:val="24"/>
              </w:rPr>
              <w:t>10</w:t>
            </w:r>
          </w:p>
        </w:tc>
        <w:tc>
          <w:tcPr>
            <w:tcW w:w="1334" w:type="dxa"/>
            <w:vAlign w:val="center"/>
          </w:tcPr>
          <w:p w:rsidR="00E70E59" w:rsidRDefault="00B16BBE">
            <w:pPr>
              <w:jc w:val="center"/>
            </w:pPr>
            <w:r>
              <w:rPr>
                <w:color w:val="000000"/>
                <w:sz w:val="24"/>
                <w:szCs w:val="24"/>
              </w:rPr>
              <w:t>002223</w:t>
            </w:r>
          </w:p>
        </w:tc>
        <w:tc>
          <w:tcPr>
            <w:tcW w:w="1777" w:type="dxa"/>
            <w:vAlign w:val="center"/>
          </w:tcPr>
          <w:p w:rsidR="00E70E59" w:rsidRDefault="00B16BBE">
            <w:pPr>
              <w:jc w:val="center"/>
            </w:pPr>
            <w:r>
              <w:rPr>
                <w:color w:val="000000"/>
                <w:sz w:val="24"/>
                <w:szCs w:val="24"/>
              </w:rPr>
              <w:t>鱼跃医疗</w:t>
            </w:r>
          </w:p>
        </w:tc>
        <w:tc>
          <w:tcPr>
            <w:tcW w:w="1334" w:type="dxa"/>
            <w:vAlign w:val="center"/>
          </w:tcPr>
          <w:p w:rsidR="00E70E59" w:rsidRDefault="00B16BBE">
            <w:pPr>
              <w:jc w:val="right"/>
            </w:pPr>
            <w:r>
              <w:rPr>
                <w:color w:val="000000"/>
                <w:sz w:val="24"/>
                <w:szCs w:val="24"/>
              </w:rPr>
              <w:t>822,361</w:t>
            </w:r>
          </w:p>
        </w:tc>
        <w:tc>
          <w:tcPr>
            <w:tcW w:w="1924" w:type="dxa"/>
            <w:vAlign w:val="center"/>
          </w:tcPr>
          <w:p w:rsidR="00E70E59" w:rsidRDefault="00B16BBE">
            <w:pPr>
              <w:jc w:val="right"/>
            </w:pPr>
            <w:r>
              <w:rPr>
                <w:color w:val="000000"/>
                <w:sz w:val="24"/>
                <w:szCs w:val="24"/>
              </w:rPr>
              <w:t>23,848,469.00</w:t>
            </w:r>
          </w:p>
        </w:tc>
        <w:tc>
          <w:tcPr>
            <w:tcW w:w="1644" w:type="dxa"/>
            <w:vAlign w:val="center"/>
          </w:tcPr>
          <w:p w:rsidR="00E70E59" w:rsidRDefault="00B16BBE">
            <w:pPr>
              <w:jc w:val="right"/>
            </w:pPr>
            <w:r>
              <w:rPr>
                <w:color w:val="000000"/>
                <w:sz w:val="24"/>
                <w:szCs w:val="24"/>
              </w:rPr>
              <w:t>4.17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E70E59" w:rsidRDefault="00B16BBE">
      <w:pPr>
        <w:autoSpaceDE w:val="0"/>
        <w:autoSpaceDN w:val="0"/>
        <w:adjustRightInd w:val="0"/>
        <w:spacing w:before="29" w:line="288" w:lineRule="auto"/>
        <w:jc w:val="left"/>
        <w:rPr>
          <w:bCs/>
          <w:color w:val="000000"/>
          <w:kern w:val="0"/>
          <w:sz w:val="24"/>
          <w:szCs w:val="24"/>
        </w:rPr>
      </w:pPr>
      <w:r>
        <w:rPr>
          <w:bCs/>
          <w:color w:val="000000"/>
          <w:kern w:val="0"/>
          <w:sz w:val="24"/>
          <w:szCs w:val="24"/>
        </w:rPr>
        <w:t>5.11.1</w:t>
      </w:r>
      <w:r>
        <w:rPr>
          <w:bCs/>
          <w:color w:val="000000"/>
          <w:kern w:val="0"/>
          <w:sz w:val="24"/>
          <w:szCs w:val="24"/>
        </w:rPr>
        <w:t>报告期内本基金投资的前十名证券的发行主体除上海家化（证券代码：</w:t>
      </w:r>
      <w:r>
        <w:rPr>
          <w:bCs/>
          <w:color w:val="000000"/>
          <w:kern w:val="0"/>
          <w:sz w:val="24"/>
          <w:szCs w:val="24"/>
        </w:rPr>
        <w:t>600315</w:t>
      </w:r>
      <w:r>
        <w:rPr>
          <w:bCs/>
          <w:color w:val="000000"/>
          <w:kern w:val="0"/>
          <w:sz w:val="24"/>
          <w:szCs w:val="24"/>
        </w:rPr>
        <w:t>）外，未出现被监管部门立案调查，或在报告编制日前一年内受到公开谴责、处罚的情形。</w:t>
      </w:r>
    </w:p>
    <w:p w:rsidR="00E70E59" w:rsidRDefault="00B16BBE">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报告期内本基金投资的前十名证券之一上海家化（证券代码：</w:t>
      </w:r>
      <w:r>
        <w:rPr>
          <w:bCs/>
          <w:color w:val="000000"/>
          <w:kern w:val="0"/>
          <w:sz w:val="24"/>
          <w:szCs w:val="24"/>
        </w:rPr>
        <w:t>600315</w:t>
      </w:r>
      <w:r>
        <w:rPr>
          <w:bCs/>
          <w:color w:val="000000"/>
          <w:kern w:val="0"/>
          <w:sz w:val="24"/>
          <w:szCs w:val="24"/>
        </w:rPr>
        <w:t>）于</w:t>
      </w:r>
      <w:r>
        <w:rPr>
          <w:bCs/>
          <w:color w:val="000000"/>
          <w:kern w:val="0"/>
          <w:sz w:val="24"/>
          <w:szCs w:val="24"/>
        </w:rPr>
        <w:t>2013</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21</w:t>
      </w:r>
      <w:r>
        <w:rPr>
          <w:bCs/>
          <w:color w:val="000000"/>
          <w:kern w:val="0"/>
          <w:sz w:val="24"/>
          <w:szCs w:val="24"/>
        </w:rPr>
        <w:t>日公告，公司于</w:t>
      </w:r>
      <w:r>
        <w:rPr>
          <w:bCs/>
          <w:color w:val="000000"/>
          <w:kern w:val="0"/>
          <w:sz w:val="24"/>
          <w:szCs w:val="24"/>
        </w:rPr>
        <w:t>2013</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20</w:t>
      </w:r>
      <w:r>
        <w:rPr>
          <w:bCs/>
          <w:color w:val="000000"/>
          <w:kern w:val="0"/>
          <w:sz w:val="24"/>
          <w:szCs w:val="24"/>
        </w:rPr>
        <w:t>日收到中国证券监督管理委员会《调查通知书》及上海证监局《行政监管措施决定书》，据此上海家化已于</w:t>
      </w:r>
      <w:r>
        <w:rPr>
          <w:bCs/>
          <w:color w:val="000000"/>
          <w:kern w:val="0"/>
          <w:sz w:val="24"/>
          <w:szCs w:val="24"/>
        </w:rPr>
        <w:t>2013</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18</w:t>
      </w:r>
      <w:r>
        <w:rPr>
          <w:bCs/>
          <w:color w:val="000000"/>
          <w:kern w:val="0"/>
          <w:sz w:val="24"/>
          <w:szCs w:val="24"/>
        </w:rPr>
        <w:t>日公告，按照上海证监局要求对关联交易进行了相关信息披露。</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97,125.38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10,350.29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7,616.44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115,092.11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859,468,090.14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24,291,544.10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361,001,209.37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522,758,424.87</w:t>
            </w:r>
          </w:p>
        </w:tc>
      </w:tr>
    </w:tbl>
    <w:p w:rsidR="00E70E59" w:rsidRDefault="00B16B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B16BB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B16BB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w:t>
      </w:r>
      <w:r w:rsidRPr="00414345">
        <w:rPr>
          <w:color w:val="000000"/>
          <w:sz w:val="24"/>
          <w:szCs w:val="24"/>
        </w:rPr>
        <w:t>TCL</w:t>
      </w:r>
      <w:r w:rsidRPr="00414345">
        <w:rPr>
          <w:color w:val="000000"/>
          <w:sz w:val="24"/>
          <w:szCs w:val="24"/>
        </w:rPr>
        <w:t>集团（证券代码：</w:t>
      </w:r>
      <w:r w:rsidRPr="00414345">
        <w:rPr>
          <w:color w:val="000000"/>
          <w:sz w:val="24"/>
          <w:szCs w:val="24"/>
        </w:rPr>
        <w:t>000100</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15</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B16BB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70E59" w:rsidRDefault="00B16BB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股票型证券投资基金基金合同》；</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股票型证券投资基金招募说明书》；</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股票型证券投资基金托管协议》；</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70E59" w:rsidRDefault="00B16BB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70E59" w:rsidRDefault="00B16BB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E70E59">
      <w:rPr>
        <w:kern w:val="0"/>
        <w:szCs w:val="21"/>
      </w:rPr>
      <w:fldChar w:fldCharType="begin"/>
    </w:r>
    <w:r>
      <w:rPr>
        <w:kern w:val="0"/>
        <w:szCs w:val="21"/>
      </w:rPr>
      <w:instrText xml:space="preserve"> PAGE </w:instrText>
    </w:r>
    <w:r w:rsidR="00E70E59">
      <w:rPr>
        <w:kern w:val="0"/>
        <w:szCs w:val="21"/>
      </w:rPr>
      <w:fldChar w:fldCharType="separate"/>
    </w:r>
    <w:r w:rsidR="002032D2">
      <w:rPr>
        <w:noProof/>
        <w:kern w:val="0"/>
        <w:szCs w:val="21"/>
      </w:rPr>
      <w:t>5</w:t>
    </w:r>
    <w:r w:rsidR="00E70E59">
      <w:rPr>
        <w:kern w:val="0"/>
        <w:szCs w:val="21"/>
      </w:rPr>
      <w:fldChar w:fldCharType="end"/>
    </w:r>
    <w:r>
      <w:rPr>
        <w:rFonts w:hint="eastAsia"/>
        <w:kern w:val="0"/>
        <w:szCs w:val="21"/>
      </w:rPr>
      <w:t>页共</w:t>
    </w:r>
    <w:r w:rsidR="00E70E59">
      <w:rPr>
        <w:kern w:val="0"/>
        <w:szCs w:val="21"/>
      </w:rPr>
      <w:fldChar w:fldCharType="begin"/>
    </w:r>
    <w:r>
      <w:rPr>
        <w:kern w:val="0"/>
        <w:szCs w:val="21"/>
      </w:rPr>
      <w:instrText xml:space="preserve"> NUMPAGES </w:instrText>
    </w:r>
    <w:r w:rsidR="00E70E59">
      <w:rPr>
        <w:kern w:val="0"/>
        <w:szCs w:val="21"/>
      </w:rPr>
      <w:fldChar w:fldCharType="separate"/>
    </w:r>
    <w:r w:rsidR="002032D2">
      <w:rPr>
        <w:noProof/>
        <w:kern w:val="0"/>
        <w:szCs w:val="21"/>
      </w:rPr>
      <w:t>12</w:t>
    </w:r>
    <w:r w:rsidR="00E70E5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032D2"/>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D7EB5"/>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16BBE"/>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70E59"/>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09E72F51-2961-4C3E-AB1D-5F082B8F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ECB0-98A9-4C5D-BDFE-62C5119E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12</Pages>
  <Words>1114</Words>
  <Characters>6350</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538</cp:revision>
  <dcterms:created xsi:type="dcterms:W3CDTF">2012-10-16T06:07:00Z</dcterms:created>
  <dcterms:modified xsi:type="dcterms:W3CDTF">2014-10-21T09:46:00Z</dcterms:modified>
</cp:coreProperties>
</file>