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4D73E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4D73E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312,583,955.96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157,272,248.17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155,311,707.79</w:t>
            </w:r>
            <w:r w:rsidRPr="007F52FA">
              <w:rPr>
                <w:color w:val="000000"/>
                <w:kern w:val="0"/>
                <w:sz w:val="24"/>
              </w:rPr>
              <w:t>份</w:t>
            </w:r>
          </w:p>
        </w:tc>
      </w:tr>
    </w:tbl>
    <w:p w:rsidR="006A272F" w:rsidRDefault="00D362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4D73E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3,889,796.99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2,325,452.07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5,736,280.37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3,300,997.34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170,986,389.42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167,112,371.26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1.076</w:t>
            </w:r>
          </w:p>
        </w:tc>
      </w:tr>
    </w:tbl>
    <w:p w:rsidR="006A272F" w:rsidRDefault="00D362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272F">
        <w:trPr>
          <w:jc w:val="center"/>
        </w:trPr>
        <w:tc>
          <w:tcPr>
            <w:tcW w:w="1266" w:type="dxa"/>
            <w:vAlign w:val="center"/>
          </w:tcPr>
          <w:p w:rsidR="006A272F" w:rsidRDefault="00D3629B">
            <w:pPr>
              <w:jc w:val="left"/>
            </w:pPr>
            <w:r>
              <w:rPr>
                <w:color w:val="000000"/>
                <w:sz w:val="24"/>
              </w:rPr>
              <w:lastRenderedPageBreak/>
              <w:t>过去三个月</w:t>
            </w:r>
          </w:p>
        </w:tc>
        <w:tc>
          <w:tcPr>
            <w:tcW w:w="1267" w:type="dxa"/>
            <w:vAlign w:val="center"/>
          </w:tcPr>
          <w:p w:rsidR="006A272F" w:rsidRDefault="00D3629B">
            <w:pPr>
              <w:jc w:val="center"/>
            </w:pPr>
            <w:r>
              <w:rPr>
                <w:color w:val="000000"/>
                <w:sz w:val="24"/>
              </w:rPr>
              <w:t>3.43%</w:t>
            </w:r>
          </w:p>
        </w:tc>
        <w:tc>
          <w:tcPr>
            <w:tcW w:w="1267" w:type="dxa"/>
            <w:vAlign w:val="center"/>
          </w:tcPr>
          <w:p w:rsidR="006A272F" w:rsidRDefault="00D3629B">
            <w:pPr>
              <w:jc w:val="center"/>
            </w:pPr>
            <w:r>
              <w:rPr>
                <w:color w:val="000000"/>
                <w:sz w:val="24"/>
              </w:rPr>
              <w:t>0.10%</w:t>
            </w:r>
          </w:p>
        </w:tc>
        <w:tc>
          <w:tcPr>
            <w:tcW w:w="1267" w:type="dxa"/>
            <w:vAlign w:val="center"/>
          </w:tcPr>
          <w:p w:rsidR="006A272F" w:rsidRDefault="00D3629B">
            <w:pPr>
              <w:jc w:val="center"/>
            </w:pPr>
            <w:r>
              <w:rPr>
                <w:color w:val="000000"/>
                <w:sz w:val="24"/>
              </w:rPr>
              <w:t>0.70%</w:t>
            </w:r>
          </w:p>
        </w:tc>
        <w:tc>
          <w:tcPr>
            <w:tcW w:w="1267" w:type="dxa"/>
            <w:vAlign w:val="center"/>
          </w:tcPr>
          <w:p w:rsidR="006A272F" w:rsidRDefault="00D3629B">
            <w:pPr>
              <w:jc w:val="center"/>
            </w:pPr>
            <w:r>
              <w:rPr>
                <w:color w:val="000000"/>
                <w:sz w:val="24"/>
              </w:rPr>
              <w:t>0.07%</w:t>
            </w:r>
          </w:p>
        </w:tc>
        <w:tc>
          <w:tcPr>
            <w:tcW w:w="1267" w:type="dxa"/>
            <w:vAlign w:val="center"/>
          </w:tcPr>
          <w:p w:rsidR="006A272F" w:rsidRDefault="00D3629B">
            <w:pPr>
              <w:jc w:val="center"/>
            </w:pPr>
            <w:r>
              <w:rPr>
                <w:color w:val="000000"/>
                <w:sz w:val="24"/>
              </w:rPr>
              <w:t>2.73%</w:t>
            </w:r>
          </w:p>
        </w:tc>
        <w:tc>
          <w:tcPr>
            <w:tcW w:w="1267" w:type="dxa"/>
            <w:vAlign w:val="center"/>
          </w:tcPr>
          <w:p w:rsidR="006A272F" w:rsidRDefault="00D3629B">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272F">
        <w:trPr>
          <w:jc w:val="center"/>
        </w:trPr>
        <w:tc>
          <w:tcPr>
            <w:tcW w:w="1266" w:type="dxa"/>
            <w:vAlign w:val="center"/>
          </w:tcPr>
          <w:p w:rsidR="006A272F" w:rsidRDefault="00D3629B">
            <w:pPr>
              <w:jc w:val="left"/>
            </w:pPr>
            <w:r>
              <w:rPr>
                <w:color w:val="000000"/>
                <w:sz w:val="24"/>
              </w:rPr>
              <w:t>过去三个月</w:t>
            </w:r>
          </w:p>
        </w:tc>
        <w:tc>
          <w:tcPr>
            <w:tcW w:w="1267" w:type="dxa"/>
            <w:vAlign w:val="center"/>
          </w:tcPr>
          <w:p w:rsidR="006A272F" w:rsidRDefault="00D3629B">
            <w:pPr>
              <w:jc w:val="center"/>
            </w:pPr>
            <w:r>
              <w:rPr>
                <w:color w:val="000000"/>
                <w:sz w:val="24"/>
              </w:rPr>
              <w:t>3.26%</w:t>
            </w:r>
          </w:p>
        </w:tc>
        <w:tc>
          <w:tcPr>
            <w:tcW w:w="1267" w:type="dxa"/>
            <w:vAlign w:val="center"/>
          </w:tcPr>
          <w:p w:rsidR="006A272F" w:rsidRDefault="00D3629B">
            <w:pPr>
              <w:jc w:val="center"/>
            </w:pPr>
            <w:r>
              <w:rPr>
                <w:color w:val="000000"/>
                <w:sz w:val="24"/>
              </w:rPr>
              <w:t>0.10%</w:t>
            </w:r>
          </w:p>
        </w:tc>
        <w:tc>
          <w:tcPr>
            <w:tcW w:w="1267" w:type="dxa"/>
            <w:vAlign w:val="center"/>
          </w:tcPr>
          <w:p w:rsidR="006A272F" w:rsidRDefault="00D3629B">
            <w:pPr>
              <w:jc w:val="center"/>
            </w:pPr>
            <w:r>
              <w:rPr>
                <w:color w:val="000000"/>
                <w:sz w:val="24"/>
              </w:rPr>
              <w:t>0.70%</w:t>
            </w:r>
          </w:p>
        </w:tc>
        <w:tc>
          <w:tcPr>
            <w:tcW w:w="1267" w:type="dxa"/>
            <w:vAlign w:val="center"/>
          </w:tcPr>
          <w:p w:rsidR="006A272F" w:rsidRDefault="00D3629B">
            <w:pPr>
              <w:jc w:val="center"/>
            </w:pPr>
            <w:r>
              <w:rPr>
                <w:color w:val="000000"/>
                <w:sz w:val="24"/>
              </w:rPr>
              <w:t>0.07%</w:t>
            </w:r>
          </w:p>
        </w:tc>
        <w:tc>
          <w:tcPr>
            <w:tcW w:w="1267" w:type="dxa"/>
            <w:vAlign w:val="center"/>
          </w:tcPr>
          <w:p w:rsidR="006A272F" w:rsidRDefault="00D3629B">
            <w:pPr>
              <w:jc w:val="center"/>
            </w:pPr>
            <w:r>
              <w:rPr>
                <w:color w:val="000000"/>
                <w:sz w:val="24"/>
              </w:rPr>
              <w:t>2.56%</w:t>
            </w:r>
          </w:p>
        </w:tc>
        <w:tc>
          <w:tcPr>
            <w:tcW w:w="1267" w:type="dxa"/>
            <w:vAlign w:val="center"/>
          </w:tcPr>
          <w:p w:rsidR="006A272F" w:rsidRDefault="00D3629B">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938FA"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8455A0">
      <w:pPr>
        <w:spacing w:before="29" w:line="288" w:lineRule="auto"/>
        <w:ind w:firstLineChars="200" w:firstLine="480"/>
        <w:rPr>
          <w:rFonts w:eastAsiaTheme="minorEastAsia"/>
          <w:color w:val="000000"/>
          <w:sz w:val="24"/>
        </w:rPr>
      </w:pPr>
    </w:p>
    <w:p w:rsidR="009238DB" w:rsidRPr="007F52FA" w:rsidRDefault="009238DB" w:rsidP="004D73E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A272F">
        <w:trPr>
          <w:jc w:val="center"/>
        </w:trPr>
        <w:tc>
          <w:tcPr>
            <w:tcW w:w="946" w:type="dxa"/>
            <w:vAlign w:val="center"/>
          </w:tcPr>
          <w:p w:rsidR="006A272F" w:rsidRDefault="00D3629B">
            <w:pPr>
              <w:jc w:val="center"/>
            </w:pPr>
            <w:r>
              <w:rPr>
                <w:color w:val="000000"/>
                <w:sz w:val="24"/>
              </w:rPr>
              <w:t>林洪钧</w:t>
            </w:r>
          </w:p>
        </w:tc>
        <w:tc>
          <w:tcPr>
            <w:tcW w:w="924" w:type="dxa"/>
            <w:vAlign w:val="center"/>
          </w:tcPr>
          <w:p w:rsidR="006A272F" w:rsidRDefault="00D3629B">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天债券、交银现金宝货币的基金经理，公司固定收益部助理总经理</w:t>
            </w:r>
          </w:p>
        </w:tc>
        <w:tc>
          <w:tcPr>
            <w:tcW w:w="1202" w:type="dxa"/>
            <w:vAlign w:val="center"/>
          </w:tcPr>
          <w:p w:rsidR="006A272F" w:rsidRDefault="00D3629B">
            <w:pPr>
              <w:jc w:val="center"/>
            </w:pPr>
            <w:r>
              <w:rPr>
                <w:color w:val="000000"/>
                <w:sz w:val="24"/>
              </w:rPr>
              <w:t>2014-03-31</w:t>
            </w:r>
          </w:p>
        </w:tc>
        <w:tc>
          <w:tcPr>
            <w:tcW w:w="1300" w:type="dxa"/>
            <w:vAlign w:val="center"/>
          </w:tcPr>
          <w:p w:rsidR="006A272F" w:rsidRDefault="00D3629B">
            <w:pPr>
              <w:jc w:val="center"/>
            </w:pPr>
            <w:r>
              <w:rPr>
                <w:color w:val="000000"/>
                <w:sz w:val="24"/>
              </w:rPr>
              <w:t>-</w:t>
            </w:r>
          </w:p>
        </w:tc>
        <w:tc>
          <w:tcPr>
            <w:tcW w:w="1245" w:type="dxa"/>
            <w:vAlign w:val="center"/>
          </w:tcPr>
          <w:p w:rsidR="006A272F" w:rsidRDefault="00D3629B">
            <w:pPr>
              <w:jc w:val="center"/>
            </w:pPr>
            <w:r>
              <w:rPr>
                <w:color w:val="000000"/>
                <w:sz w:val="24"/>
              </w:rPr>
              <w:t>10</w:t>
            </w:r>
            <w:r>
              <w:rPr>
                <w:color w:val="000000"/>
                <w:sz w:val="24"/>
              </w:rPr>
              <w:t>年</w:t>
            </w:r>
          </w:p>
        </w:tc>
        <w:tc>
          <w:tcPr>
            <w:tcW w:w="3251" w:type="dxa"/>
            <w:vAlign w:val="center"/>
          </w:tcPr>
          <w:p w:rsidR="006A272F" w:rsidRDefault="00D3629B">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A272F" w:rsidRDefault="00D362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272F" w:rsidRDefault="00D362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272F" w:rsidRDefault="00D362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6A272F" w:rsidRDefault="00D3629B">
      <w:pPr>
        <w:spacing w:before="29" w:line="288" w:lineRule="auto"/>
        <w:ind w:firstLineChars="200" w:firstLine="480"/>
        <w:rPr>
          <w:color w:val="000000"/>
          <w:sz w:val="24"/>
        </w:rPr>
      </w:pPr>
      <w:r>
        <w:rPr>
          <w:color w:val="000000"/>
          <w:sz w:val="24"/>
        </w:rPr>
        <w:t>本报告期内，经济增长动能总体仍显较疲软的态势。</w:t>
      </w:r>
      <w:r>
        <w:rPr>
          <w:color w:val="000000"/>
          <w:sz w:val="24"/>
        </w:rPr>
        <w:t>7</w:t>
      </w:r>
      <w:r>
        <w:rPr>
          <w:color w:val="000000"/>
          <w:sz w:val="24"/>
        </w:rPr>
        <w:t>月份的金融数据极为异常，社会融资总量仅</w:t>
      </w:r>
      <w:r>
        <w:rPr>
          <w:color w:val="000000"/>
          <w:sz w:val="24"/>
        </w:rPr>
        <w:t>2731</w:t>
      </w:r>
      <w:r>
        <w:rPr>
          <w:color w:val="000000"/>
          <w:sz w:val="24"/>
        </w:rPr>
        <w:t>亿，新增贷款也仅为</w:t>
      </w:r>
      <w:r>
        <w:rPr>
          <w:color w:val="000000"/>
          <w:sz w:val="24"/>
        </w:rPr>
        <w:t>3852</w:t>
      </w:r>
      <w:r>
        <w:rPr>
          <w:color w:val="000000"/>
          <w:sz w:val="24"/>
        </w:rPr>
        <w:t>亿，较</w:t>
      </w:r>
      <w:r>
        <w:rPr>
          <w:color w:val="000000"/>
          <w:sz w:val="24"/>
        </w:rPr>
        <w:t>6</w:t>
      </w:r>
      <w:r>
        <w:rPr>
          <w:color w:val="000000"/>
          <w:sz w:val="24"/>
        </w:rPr>
        <w:t>月均出现大幅下降，</w:t>
      </w:r>
      <w:r>
        <w:rPr>
          <w:color w:val="000000"/>
          <w:sz w:val="24"/>
        </w:rPr>
        <w:t>7</w:t>
      </w:r>
      <w:r>
        <w:rPr>
          <w:color w:val="000000"/>
          <w:sz w:val="24"/>
        </w:rPr>
        <w:t>月工业增加值小幅下降至</w:t>
      </w:r>
      <w:r>
        <w:rPr>
          <w:color w:val="000000"/>
          <w:sz w:val="24"/>
        </w:rPr>
        <w:t>9.0%</w:t>
      </w:r>
      <w:r>
        <w:rPr>
          <w:color w:val="000000"/>
          <w:sz w:val="24"/>
        </w:rPr>
        <w:t>，</w:t>
      </w:r>
      <w:r>
        <w:rPr>
          <w:color w:val="000000"/>
          <w:sz w:val="24"/>
        </w:rPr>
        <w:t>8</w:t>
      </w:r>
      <w:r>
        <w:rPr>
          <w:color w:val="000000"/>
          <w:sz w:val="24"/>
        </w:rPr>
        <w:t>月工业却大幅滑落至</w:t>
      </w:r>
      <w:r>
        <w:rPr>
          <w:color w:val="000000"/>
          <w:sz w:val="24"/>
        </w:rPr>
        <w:t>6.9%</w:t>
      </w:r>
      <w:r>
        <w:rPr>
          <w:color w:val="000000"/>
          <w:sz w:val="24"/>
        </w:rPr>
        <w:t>。作为经济晴雨表的</w:t>
      </w:r>
      <w:r>
        <w:rPr>
          <w:color w:val="000000"/>
          <w:sz w:val="24"/>
        </w:rPr>
        <w:t>PMI</w:t>
      </w:r>
      <w:r>
        <w:rPr>
          <w:color w:val="000000"/>
          <w:sz w:val="24"/>
        </w:rPr>
        <w:t>表现相对稳定在</w:t>
      </w:r>
      <w:r>
        <w:rPr>
          <w:color w:val="000000"/>
          <w:sz w:val="24"/>
        </w:rPr>
        <w:t>51</w:t>
      </w:r>
      <w:r>
        <w:rPr>
          <w:color w:val="000000"/>
          <w:sz w:val="24"/>
        </w:rPr>
        <w:t>附近。从中微观层面观察，钢铁、水泥、煤炭的产量及价格都进一步下降，经济下滑的压力仍然比较大。政策层面，在报告期内，央行仍维持较为稳健的货币政策。从政策层面观察，政府对经济滑落的容忍力在提升，改革仍为未来政府工作重心。</w:t>
      </w:r>
    </w:p>
    <w:p w:rsidR="006A272F" w:rsidRDefault="00D3629B">
      <w:pPr>
        <w:spacing w:before="29" w:line="288" w:lineRule="auto"/>
        <w:ind w:firstLineChars="200" w:firstLine="480"/>
        <w:rPr>
          <w:color w:val="000000"/>
          <w:sz w:val="24"/>
        </w:rPr>
      </w:pPr>
      <w:r>
        <w:rPr>
          <w:color w:val="000000"/>
          <w:sz w:val="24"/>
        </w:rPr>
        <w:t>在本报告期内，债券市场受数据的扰动较为明显。在</w:t>
      </w:r>
      <w:r>
        <w:rPr>
          <w:color w:val="000000"/>
          <w:sz w:val="24"/>
        </w:rPr>
        <w:t>7</w:t>
      </w:r>
      <w:r>
        <w:rPr>
          <w:color w:val="000000"/>
          <w:sz w:val="24"/>
        </w:rPr>
        <w:t>月初由于对未来可能出现的宽信用的担忧，债券收益率在</w:t>
      </w:r>
      <w:r>
        <w:rPr>
          <w:color w:val="000000"/>
          <w:sz w:val="24"/>
        </w:rPr>
        <w:t>7</w:t>
      </w:r>
      <w:r>
        <w:rPr>
          <w:color w:val="000000"/>
          <w:sz w:val="24"/>
        </w:rPr>
        <w:t>月中上旬出现了大约</w:t>
      </w:r>
      <w:r>
        <w:rPr>
          <w:color w:val="000000"/>
          <w:sz w:val="24"/>
        </w:rPr>
        <w:t>30BP</w:t>
      </w:r>
      <w:r>
        <w:rPr>
          <w:color w:val="000000"/>
          <w:sz w:val="24"/>
        </w:rPr>
        <w:t>的上行；此后，随着</w:t>
      </w:r>
      <w:r>
        <w:rPr>
          <w:color w:val="000000"/>
          <w:sz w:val="24"/>
        </w:rPr>
        <w:t>7</w:t>
      </w:r>
      <w:r>
        <w:rPr>
          <w:color w:val="000000"/>
          <w:sz w:val="24"/>
        </w:rPr>
        <w:t>月金融数据的公布，加上</w:t>
      </w:r>
      <w:r>
        <w:rPr>
          <w:color w:val="000000"/>
          <w:sz w:val="24"/>
        </w:rPr>
        <w:t>8</w:t>
      </w:r>
      <w:r>
        <w:rPr>
          <w:color w:val="000000"/>
          <w:sz w:val="24"/>
        </w:rPr>
        <w:t>月份工业增加值大幅下降，债券市场呈现单边上涨态势，三季度中债总财富指数上涨</w:t>
      </w:r>
      <w:r>
        <w:rPr>
          <w:color w:val="000000"/>
          <w:sz w:val="24"/>
        </w:rPr>
        <w:t>1.62%</w:t>
      </w:r>
      <w:r>
        <w:rPr>
          <w:color w:val="000000"/>
          <w:sz w:val="24"/>
        </w:rPr>
        <w:t>，债券收益率无抵抗地一路下行。与此同时，货币政策的微妙变化（公开市场上，正回购利率两次下调），打开了短端下行空间，长端收益率也进一步下行。</w:t>
      </w:r>
    </w:p>
    <w:p w:rsidR="006A272F" w:rsidRDefault="00D3629B">
      <w:pPr>
        <w:spacing w:before="29" w:line="288" w:lineRule="auto"/>
        <w:ind w:firstLineChars="200" w:firstLine="480"/>
        <w:rPr>
          <w:color w:val="000000"/>
          <w:sz w:val="24"/>
        </w:rPr>
      </w:pPr>
      <w:r>
        <w:rPr>
          <w:color w:val="000000"/>
          <w:sz w:val="24"/>
        </w:rPr>
        <w:t>本基金在本报告期内保持了较高的债券仓位，业绩贡献主要来自于组合在本报告期前期增持的长久期政策性金融债以及原有的信用债持仓。</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受房地产政策放开的影响，经济下滑的压力或将有所缓解，货币政策大概率仍将保持较为稳健的态度，而降低社会融资成本的脚步仍将不断继续。体现在债券市场上，短端仍有较大幅度的下行空间，带动中长端收益也会有一定机会。同时，受到国庆期间《国务院关于加强地方政府性债务管理的意见》出台的影响，城投债尽管仍存在小部分信用风险暴露的问题，但整体存量城投可能会有更好的表现。因此，在</w:t>
      </w:r>
      <w:r w:rsidRPr="007F52FA">
        <w:rPr>
          <w:color w:val="000000"/>
          <w:sz w:val="24"/>
        </w:rPr>
        <w:t>2014</w:t>
      </w:r>
      <w:r w:rsidRPr="007F52FA">
        <w:rPr>
          <w:color w:val="000000"/>
          <w:sz w:val="24"/>
        </w:rPr>
        <w:t>年最后一个季度，债券市场可能仍将继续慢牛行情。值得注意的是，随着收益率进一步下降，债券市场资本利得的空间也随之变小，而若展望明年，利率市场化仍将是值得长期关注的重要事件。总体说来，本基金对四季度债券市场的中短端较为乐观。组合管理方面，保持一定的杠杆，同时降低组合的久期，以期获取短端下行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1.087</w:t>
      </w:r>
      <w:r w:rsidRPr="007F52FA">
        <w:rPr>
          <w:color w:val="000000"/>
          <w:sz w:val="24"/>
        </w:rPr>
        <w:t>元，本报告期份额净值增长率为</w:t>
      </w:r>
      <w:r w:rsidRPr="007F52FA">
        <w:rPr>
          <w:color w:val="000000"/>
          <w:sz w:val="24"/>
        </w:rPr>
        <w:t>3.43%</w:t>
      </w:r>
      <w:r w:rsidRPr="007F52FA">
        <w:rPr>
          <w:color w:val="000000"/>
          <w:sz w:val="24"/>
        </w:rPr>
        <w:t>，同期业绩比较基准增长率为</w:t>
      </w:r>
      <w:r w:rsidRPr="007F52FA">
        <w:rPr>
          <w:color w:val="000000"/>
          <w:sz w:val="24"/>
        </w:rPr>
        <w:t>0.70%</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1.076</w:t>
      </w:r>
      <w:r w:rsidRPr="007F52FA">
        <w:rPr>
          <w:color w:val="000000"/>
          <w:sz w:val="24"/>
        </w:rPr>
        <w:t>元，本报告期份额净值增长率为</w:t>
      </w:r>
      <w:r w:rsidRPr="007F52FA">
        <w:rPr>
          <w:color w:val="000000"/>
          <w:sz w:val="24"/>
        </w:rPr>
        <w:t>3.26%</w:t>
      </w:r>
      <w:r w:rsidRPr="007F52FA">
        <w:rPr>
          <w:color w:val="000000"/>
          <w:sz w:val="24"/>
        </w:rPr>
        <w:t>，同期业绩比较基准增长率为</w:t>
      </w:r>
      <w:r w:rsidRPr="007F52FA">
        <w:rPr>
          <w:color w:val="000000"/>
          <w:sz w:val="24"/>
        </w:rPr>
        <w:t>0.70%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4D73E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452,425,498.56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95.24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447,481,498.56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4,944,000.00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12,250,247.12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10,363,502.03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475,039,247.71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15,270,000.00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291,268,498.56</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60,911,000.00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447,481,498.56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A272F">
        <w:trPr>
          <w:jc w:val="center"/>
        </w:trPr>
        <w:tc>
          <w:tcPr>
            <w:tcW w:w="1075" w:type="dxa"/>
            <w:vAlign w:val="center"/>
          </w:tcPr>
          <w:p w:rsidR="006A272F" w:rsidRDefault="00D3629B">
            <w:pPr>
              <w:jc w:val="center"/>
            </w:pPr>
            <w:r>
              <w:rPr>
                <w:color w:val="000000"/>
                <w:sz w:val="24"/>
              </w:rPr>
              <w:t>1</w:t>
            </w:r>
          </w:p>
        </w:tc>
        <w:tc>
          <w:tcPr>
            <w:tcW w:w="1533" w:type="dxa"/>
            <w:vAlign w:val="center"/>
          </w:tcPr>
          <w:p w:rsidR="006A272F" w:rsidRDefault="00D3629B">
            <w:pPr>
              <w:jc w:val="center"/>
            </w:pPr>
            <w:r>
              <w:rPr>
                <w:color w:val="000000"/>
                <w:sz w:val="24"/>
              </w:rPr>
              <w:t>1480354</w:t>
            </w:r>
          </w:p>
        </w:tc>
        <w:tc>
          <w:tcPr>
            <w:tcW w:w="1533" w:type="dxa"/>
            <w:vAlign w:val="center"/>
          </w:tcPr>
          <w:p w:rsidR="006A272F" w:rsidRDefault="00D3629B">
            <w:pPr>
              <w:jc w:val="center"/>
            </w:pPr>
            <w:r>
              <w:rPr>
                <w:color w:val="000000"/>
                <w:sz w:val="24"/>
              </w:rPr>
              <w:t>14</w:t>
            </w:r>
            <w:r>
              <w:rPr>
                <w:color w:val="000000"/>
                <w:sz w:val="24"/>
              </w:rPr>
              <w:t>常德德源债</w:t>
            </w:r>
          </w:p>
        </w:tc>
        <w:tc>
          <w:tcPr>
            <w:tcW w:w="1394" w:type="dxa"/>
            <w:vAlign w:val="center"/>
          </w:tcPr>
          <w:p w:rsidR="006A272F" w:rsidRDefault="00D3629B">
            <w:pPr>
              <w:jc w:val="right"/>
            </w:pPr>
            <w:r>
              <w:rPr>
                <w:color w:val="000000"/>
                <w:sz w:val="24"/>
              </w:rPr>
              <w:t>300,000</w:t>
            </w:r>
          </w:p>
        </w:tc>
        <w:tc>
          <w:tcPr>
            <w:tcW w:w="1944" w:type="dxa"/>
            <w:vAlign w:val="center"/>
          </w:tcPr>
          <w:p w:rsidR="006A272F" w:rsidRDefault="00D3629B">
            <w:pPr>
              <w:jc w:val="right"/>
            </w:pPr>
            <w:r>
              <w:rPr>
                <w:color w:val="000000"/>
                <w:sz w:val="24"/>
              </w:rPr>
              <w:t>30,282,000.00</w:t>
            </w:r>
          </w:p>
        </w:tc>
        <w:tc>
          <w:tcPr>
            <w:tcW w:w="1389" w:type="dxa"/>
            <w:vAlign w:val="center"/>
          </w:tcPr>
          <w:p w:rsidR="006A272F" w:rsidRDefault="00D3629B">
            <w:pPr>
              <w:jc w:val="right"/>
            </w:pPr>
            <w:r>
              <w:rPr>
                <w:color w:val="000000"/>
                <w:sz w:val="24"/>
              </w:rPr>
              <w:t>8.96</w:t>
            </w:r>
          </w:p>
        </w:tc>
      </w:tr>
      <w:tr w:rsidR="006A272F">
        <w:trPr>
          <w:jc w:val="center"/>
        </w:trPr>
        <w:tc>
          <w:tcPr>
            <w:tcW w:w="1075" w:type="dxa"/>
            <w:vAlign w:val="center"/>
          </w:tcPr>
          <w:p w:rsidR="006A272F" w:rsidRDefault="00D3629B">
            <w:pPr>
              <w:jc w:val="center"/>
            </w:pPr>
            <w:r>
              <w:rPr>
                <w:color w:val="000000"/>
                <w:sz w:val="24"/>
              </w:rPr>
              <w:t>2</w:t>
            </w:r>
          </w:p>
        </w:tc>
        <w:tc>
          <w:tcPr>
            <w:tcW w:w="1533" w:type="dxa"/>
            <w:vAlign w:val="center"/>
          </w:tcPr>
          <w:p w:rsidR="006A272F" w:rsidRDefault="00D3629B">
            <w:pPr>
              <w:jc w:val="center"/>
            </w:pPr>
            <w:r>
              <w:rPr>
                <w:color w:val="000000"/>
                <w:sz w:val="24"/>
              </w:rPr>
              <w:t>041458073</w:t>
            </w:r>
          </w:p>
        </w:tc>
        <w:tc>
          <w:tcPr>
            <w:tcW w:w="1533" w:type="dxa"/>
            <w:vAlign w:val="center"/>
          </w:tcPr>
          <w:p w:rsidR="006A272F" w:rsidRDefault="00D3629B">
            <w:pPr>
              <w:jc w:val="center"/>
            </w:pPr>
            <w:r>
              <w:rPr>
                <w:color w:val="000000"/>
                <w:sz w:val="24"/>
              </w:rPr>
              <w:t>14</w:t>
            </w:r>
            <w:r>
              <w:rPr>
                <w:color w:val="000000"/>
                <w:sz w:val="24"/>
              </w:rPr>
              <w:t>鄂供销</w:t>
            </w:r>
            <w:r>
              <w:rPr>
                <w:color w:val="000000"/>
                <w:sz w:val="24"/>
              </w:rPr>
              <w:t>CP002</w:t>
            </w:r>
          </w:p>
        </w:tc>
        <w:tc>
          <w:tcPr>
            <w:tcW w:w="1394" w:type="dxa"/>
            <w:vAlign w:val="center"/>
          </w:tcPr>
          <w:p w:rsidR="006A272F" w:rsidRDefault="00D3629B">
            <w:pPr>
              <w:jc w:val="right"/>
            </w:pPr>
            <w:r>
              <w:rPr>
                <w:color w:val="000000"/>
                <w:sz w:val="24"/>
              </w:rPr>
              <w:t>300,000</w:t>
            </w:r>
          </w:p>
        </w:tc>
        <w:tc>
          <w:tcPr>
            <w:tcW w:w="1944" w:type="dxa"/>
            <w:vAlign w:val="center"/>
          </w:tcPr>
          <w:p w:rsidR="006A272F" w:rsidRDefault="00D3629B">
            <w:pPr>
              <w:jc w:val="right"/>
            </w:pPr>
            <w:r>
              <w:rPr>
                <w:color w:val="000000"/>
                <w:sz w:val="24"/>
              </w:rPr>
              <w:t>30,018,000.00</w:t>
            </w:r>
          </w:p>
        </w:tc>
        <w:tc>
          <w:tcPr>
            <w:tcW w:w="1389" w:type="dxa"/>
            <w:vAlign w:val="center"/>
          </w:tcPr>
          <w:p w:rsidR="006A272F" w:rsidRDefault="00D3629B">
            <w:pPr>
              <w:jc w:val="right"/>
            </w:pPr>
            <w:r>
              <w:rPr>
                <w:color w:val="000000"/>
                <w:sz w:val="24"/>
              </w:rPr>
              <w:t>8.88</w:t>
            </w:r>
          </w:p>
        </w:tc>
      </w:tr>
      <w:tr w:rsidR="006A272F">
        <w:trPr>
          <w:jc w:val="center"/>
        </w:trPr>
        <w:tc>
          <w:tcPr>
            <w:tcW w:w="1075" w:type="dxa"/>
            <w:vAlign w:val="center"/>
          </w:tcPr>
          <w:p w:rsidR="006A272F" w:rsidRDefault="00D3629B">
            <w:pPr>
              <w:jc w:val="center"/>
            </w:pPr>
            <w:r>
              <w:rPr>
                <w:color w:val="000000"/>
                <w:sz w:val="24"/>
              </w:rPr>
              <w:t>3</w:t>
            </w:r>
          </w:p>
        </w:tc>
        <w:tc>
          <w:tcPr>
            <w:tcW w:w="1533" w:type="dxa"/>
            <w:vAlign w:val="center"/>
          </w:tcPr>
          <w:p w:rsidR="006A272F" w:rsidRDefault="00D3629B">
            <w:pPr>
              <w:jc w:val="center"/>
            </w:pPr>
            <w:r>
              <w:rPr>
                <w:color w:val="000000"/>
                <w:sz w:val="24"/>
              </w:rPr>
              <w:t>041452047</w:t>
            </w:r>
          </w:p>
        </w:tc>
        <w:tc>
          <w:tcPr>
            <w:tcW w:w="1533" w:type="dxa"/>
            <w:vAlign w:val="center"/>
          </w:tcPr>
          <w:p w:rsidR="006A272F" w:rsidRDefault="00D3629B">
            <w:pPr>
              <w:jc w:val="center"/>
            </w:pPr>
            <w:r>
              <w:rPr>
                <w:color w:val="000000"/>
                <w:sz w:val="24"/>
              </w:rPr>
              <w:t>14</w:t>
            </w:r>
            <w:r>
              <w:rPr>
                <w:color w:val="000000"/>
                <w:sz w:val="24"/>
              </w:rPr>
              <w:t>南方水泥</w:t>
            </w:r>
            <w:r>
              <w:rPr>
                <w:color w:val="000000"/>
                <w:sz w:val="24"/>
              </w:rPr>
              <w:t>CP004</w:t>
            </w:r>
          </w:p>
        </w:tc>
        <w:tc>
          <w:tcPr>
            <w:tcW w:w="1394" w:type="dxa"/>
            <w:vAlign w:val="center"/>
          </w:tcPr>
          <w:p w:rsidR="006A272F" w:rsidRDefault="00D3629B">
            <w:pPr>
              <w:jc w:val="right"/>
            </w:pPr>
            <w:r>
              <w:rPr>
                <w:color w:val="000000"/>
                <w:sz w:val="24"/>
              </w:rPr>
              <w:t>300,000</w:t>
            </w:r>
          </w:p>
        </w:tc>
        <w:tc>
          <w:tcPr>
            <w:tcW w:w="1944" w:type="dxa"/>
            <w:vAlign w:val="center"/>
          </w:tcPr>
          <w:p w:rsidR="006A272F" w:rsidRDefault="00D3629B">
            <w:pPr>
              <w:jc w:val="right"/>
            </w:pPr>
            <w:r>
              <w:rPr>
                <w:color w:val="000000"/>
                <w:sz w:val="24"/>
              </w:rPr>
              <w:t>30,006,000.00</w:t>
            </w:r>
          </w:p>
        </w:tc>
        <w:tc>
          <w:tcPr>
            <w:tcW w:w="1389" w:type="dxa"/>
            <w:vAlign w:val="center"/>
          </w:tcPr>
          <w:p w:rsidR="006A272F" w:rsidRDefault="00D3629B">
            <w:pPr>
              <w:jc w:val="right"/>
            </w:pPr>
            <w:r>
              <w:rPr>
                <w:color w:val="000000"/>
                <w:sz w:val="24"/>
              </w:rPr>
              <w:t>8.87</w:t>
            </w:r>
          </w:p>
        </w:tc>
      </w:tr>
      <w:tr w:rsidR="006A272F">
        <w:trPr>
          <w:jc w:val="center"/>
        </w:trPr>
        <w:tc>
          <w:tcPr>
            <w:tcW w:w="1075" w:type="dxa"/>
            <w:vAlign w:val="center"/>
          </w:tcPr>
          <w:p w:rsidR="006A272F" w:rsidRDefault="00D3629B">
            <w:pPr>
              <w:jc w:val="center"/>
            </w:pPr>
            <w:r>
              <w:rPr>
                <w:color w:val="000000"/>
                <w:sz w:val="24"/>
              </w:rPr>
              <w:t>4</w:t>
            </w:r>
          </w:p>
        </w:tc>
        <w:tc>
          <w:tcPr>
            <w:tcW w:w="1533" w:type="dxa"/>
            <w:vAlign w:val="center"/>
          </w:tcPr>
          <w:p w:rsidR="006A272F" w:rsidRDefault="00D3629B">
            <w:pPr>
              <w:jc w:val="center"/>
            </w:pPr>
            <w:r>
              <w:rPr>
                <w:color w:val="000000"/>
                <w:sz w:val="24"/>
              </w:rPr>
              <w:t>124440</w:t>
            </w:r>
          </w:p>
        </w:tc>
        <w:tc>
          <w:tcPr>
            <w:tcW w:w="1533" w:type="dxa"/>
            <w:vAlign w:val="center"/>
          </w:tcPr>
          <w:p w:rsidR="006A272F" w:rsidRDefault="00D3629B">
            <w:pPr>
              <w:jc w:val="center"/>
            </w:pPr>
            <w:r>
              <w:rPr>
                <w:color w:val="000000"/>
                <w:sz w:val="24"/>
              </w:rPr>
              <w:t>13</w:t>
            </w:r>
            <w:r>
              <w:rPr>
                <w:color w:val="000000"/>
                <w:sz w:val="24"/>
              </w:rPr>
              <w:t>宁德投</w:t>
            </w:r>
          </w:p>
        </w:tc>
        <w:tc>
          <w:tcPr>
            <w:tcW w:w="1394" w:type="dxa"/>
            <w:vAlign w:val="center"/>
          </w:tcPr>
          <w:p w:rsidR="006A272F" w:rsidRDefault="00D3629B">
            <w:pPr>
              <w:jc w:val="right"/>
            </w:pPr>
            <w:r>
              <w:rPr>
                <w:color w:val="000000"/>
                <w:sz w:val="24"/>
              </w:rPr>
              <w:t>200,000</w:t>
            </w:r>
          </w:p>
        </w:tc>
        <w:tc>
          <w:tcPr>
            <w:tcW w:w="1944" w:type="dxa"/>
            <w:vAlign w:val="center"/>
          </w:tcPr>
          <w:p w:rsidR="006A272F" w:rsidRDefault="00D3629B">
            <w:pPr>
              <w:jc w:val="right"/>
            </w:pPr>
            <w:r>
              <w:rPr>
                <w:color w:val="000000"/>
                <w:sz w:val="24"/>
              </w:rPr>
              <w:t>20,980,000.00</w:t>
            </w:r>
          </w:p>
        </w:tc>
        <w:tc>
          <w:tcPr>
            <w:tcW w:w="1389" w:type="dxa"/>
            <w:vAlign w:val="center"/>
          </w:tcPr>
          <w:p w:rsidR="006A272F" w:rsidRDefault="00D3629B">
            <w:pPr>
              <w:jc w:val="right"/>
            </w:pPr>
            <w:r>
              <w:rPr>
                <w:color w:val="000000"/>
                <w:sz w:val="24"/>
              </w:rPr>
              <w:t>6.21</w:t>
            </w:r>
          </w:p>
        </w:tc>
      </w:tr>
      <w:tr w:rsidR="006A272F">
        <w:trPr>
          <w:jc w:val="center"/>
        </w:trPr>
        <w:tc>
          <w:tcPr>
            <w:tcW w:w="1075" w:type="dxa"/>
            <w:vAlign w:val="center"/>
          </w:tcPr>
          <w:p w:rsidR="006A272F" w:rsidRDefault="00D3629B">
            <w:pPr>
              <w:jc w:val="center"/>
            </w:pPr>
            <w:r>
              <w:rPr>
                <w:color w:val="000000"/>
                <w:sz w:val="24"/>
              </w:rPr>
              <w:t>5</w:t>
            </w:r>
          </w:p>
        </w:tc>
        <w:tc>
          <w:tcPr>
            <w:tcW w:w="1533" w:type="dxa"/>
            <w:vAlign w:val="center"/>
          </w:tcPr>
          <w:p w:rsidR="006A272F" w:rsidRDefault="00D3629B">
            <w:pPr>
              <w:jc w:val="center"/>
            </w:pPr>
            <w:r>
              <w:rPr>
                <w:color w:val="000000"/>
                <w:sz w:val="24"/>
              </w:rPr>
              <w:t>122527</w:t>
            </w:r>
          </w:p>
        </w:tc>
        <w:tc>
          <w:tcPr>
            <w:tcW w:w="1533" w:type="dxa"/>
            <w:vAlign w:val="center"/>
          </w:tcPr>
          <w:p w:rsidR="006A272F" w:rsidRDefault="00D3629B">
            <w:pPr>
              <w:jc w:val="center"/>
            </w:pPr>
            <w:r>
              <w:rPr>
                <w:color w:val="000000"/>
                <w:sz w:val="24"/>
              </w:rPr>
              <w:t>12</w:t>
            </w:r>
            <w:r>
              <w:rPr>
                <w:color w:val="000000"/>
                <w:sz w:val="24"/>
              </w:rPr>
              <w:t>温国投</w:t>
            </w:r>
          </w:p>
        </w:tc>
        <w:tc>
          <w:tcPr>
            <w:tcW w:w="1394" w:type="dxa"/>
            <w:vAlign w:val="center"/>
          </w:tcPr>
          <w:p w:rsidR="006A272F" w:rsidRDefault="00D3629B">
            <w:pPr>
              <w:jc w:val="right"/>
            </w:pPr>
            <w:r>
              <w:rPr>
                <w:color w:val="000000"/>
                <w:sz w:val="24"/>
              </w:rPr>
              <w:t>200,000</w:t>
            </w:r>
          </w:p>
        </w:tc>
        <w:tc>
          <w:tcPr>
            <w:tcW w:w="1944" w:type="dxa"/>
            <w:vAlign w:val="center"/>
          </w:tcPr>
          <w:p w:rsidR="006A272F" w:rsidRDefault="00D3629B">
            <w:pPr>
              <w:jc w:val="right"/>
            </w:pPr>
            <w:r>
              <w:rPr>
                <w:color w:val="000000"/>
                <w:sz w:val="24"/>
              </w:rPr>
              <w:t>20,964,000.00</w:t>
            </w:r>
          </w:p>
        </w:tc>
        <w:tc>
          <w:tcPr>
            <w:tcW w:w="1389" w:type="dxa"/>
            <w:vAlign w:val="center"/>
          </w:tcPr>
          <w:p w:rsidR="006A272F" w:rsidRDefault="00D3629B">
            <w:pPr>
              <w:jc w:val="right"/>
            </w:pPr>
            <w:r>
              <w:rPr>
                <w:color w:val="000000"/>
                <w:sz w:val="24"/>
              </w:rPr>
              <w:t>6.20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0"/>
        <w:gridCol w:w="1485"/>
        <w:gridCol w:w="1461"/>
        <w:gridCol w:w="1481"/>
        <w:gridCol w:w="1502"/>
        <w:gridCol w:w="1479"/>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6A272F">
        <w:trPr>
          <w:jc w:val="center"/>
        </w:trPr>
        <w:tc>
          <w:tcPr>
            <w:tcW w:w="0" w:type="auto"/>
            <w:vAlign w:val="center"/>
          </w:tcPr>
          <w:p w:rsidR="006A272F" w:rsidRDefault="00D3629B">
            <w:pPr>
              <w:jc w:val="center"/>
            </w:pPr>
            <w:r>
              <w:rPr>
                <w:color w:val="000000"/>
                <w:sz w:val="24"/>
              </w:rPr>
              <w:t>1</w:t>
            </w:r>
          </w:p>
        </w:tc>
        <w:tc>
          <w:tcPr>
            <w:tcW w:w="0" w:type="auto"/>
            <w:vAlign w:val="center"/>
          </w:tcPr>
          <w:p w:rsidR="006A272F" w:rsidRDefault="00D3629B">
            <w:pPr>
              <w:jc w:val="center"/>
            </w:pPr>
            <w:r>
              <w:rPr>
                <w:color w:val="000000"/>
                <w:sz w:val="24"/>
              </w:rPr>
              <w:t>1489029</w:t>
            </w:r>
          </w:p>
        </w:tc>
        <w:tc>
          <w:tcPr>
            <w:tcW w:w="0" w:type="auto"/>
            <w:vAlign w:val="center"/>
          </w:tcPr>
          <w:p w:rsidR="006A272F" w:rsidRDefault="00D3629B">
            <w:pPr>
              <w:jc w:val="center"/>
            </w:pPr>
            <w:r>
              <w:rPr>
                <w:color w:val="000000"/>
                <w:sz w:val="24"/>
              </w:rPr>
              <w:t>14</w:t>
            </w:r>
            <w:r>
              <w:rPr>
                <w:color w:val="000000"/>
                <w:sz w:val="24"/>
              </w:rPr>
              <w:t>东元</w:t>
            </w:r>
            <w:r>
              <w:rPr>
                <w:color w:val="000000"/>
                <w:sz w:val="24"/>
              </w:rPr>
              <w:t>1A</w:t>
            </w:r>
          </w:p>
        </w:tc>
        <w:tc>
          <w:tcPr>
            <w:tcW w:w="0" w:type="auto"/>
            <w:vAlign w:val="center"/>
          </w:tcPr>
          <w:p w:rsidR="006A272F" w:rsidRDefault="00D3629B">
            <w:pPr>
              <w:jc w:val="right"/>
            </w:pPr>
            <w:r>
              <w:rPr>
                <w:color w:val="000000"/>
                <w:sz w:val="24"/>
              </w:rPr>
              <w:t>100,000</w:t>
            </w:r>
          </w:p>
        </w:tc>
        <w:tc>
          <w:tcPr>
            <w:tcW w:w="0" w:type="auto"/>
            <w:vAlign w:val="center"/>
          </w:tcPr>
          <w:p w:rsidR="006A272F" w:rsidRDefault="00D3629B">
            <w:pPr>
              <w:jc w:val="right"/>
            </w:pPr>
            <w:r>
              <w:rPr>
                <w:color w:val="000000"/>
                <w:sz w:val="24"/>
              </w:rPr>
              <w:t>4,944,000.00</w:t>
            </w:r>
          </w:p>
        </w:tc>
        <w:tc>
          <w:tcPr>
            <w:tcW w:w="0" w:type="auto"/>
            <w:vAlign w:val="center"/>
          </w:tcPr>
          <w:p w:rsidR="006A272F" w:rsidRDefault="00D3629B">
            <w:pPr>
              <w:jc w:val="right"/>
            </w:pPr>
            <w:r>
              <w:rPr>
                <w:color w:val="000000"/>
                <w:sz w:val="24"/>
              </w:rPr>
              <w:t>1.46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35,710.49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10,168,474.89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159,316.65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10,363,502.03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4D73E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164,569,385.40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115,457,586.44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677,100.79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164,089,438.07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7,974,238.02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124,235,316.72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157,272,248.17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155,311,707.79</w:t>
            </w:r>
          </w:p>
        </w:tc>
      </w:tr>
    </w:tbl>
    <w:p w:rsidR="006A272F" w:rsidRDefault="00D362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4D73E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5812"/>
        <w:gridCol w:w="3119"/>
      </w:tblGrid>
      <w:tr w:rsidR="00D3629B" w:rsidRPr="00AE55CC" w:rsidTr="004D73E3">
        <w:tc>
          <w:tcPr>
            <w:tcW w:w="5812"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3119"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jc w:val="right"/>
              <w:rPr>
                <w:sz w:val="24"/>
              </w:rPr>
            </w:pPr>
            <w:r w:rsidRPr="00AE55CC">
              <w:rPr>
                <w:color w:val="000000"/>
                <w:sz w:val="24"/>
              </w:rPr>
              <w:t>10,072,734.64</w:t>
            </w:r>
          </w:p>
        </w:tc>
      </w:tr>
      <w:tr w:rsidR="00D3629B" w:rsidRPr="00AE55CC" w:rsidTr="004D73E3">
        <w:tc>
          <w:tcPr>
            <w:tcW w:w="5812"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3119"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jc w:val="right"/>
              <w:rPr>
                <w:color w:val="000000"/>
                <w:kern w:val="0"/>
                <w:sz w:val="24"/>
              </w:rPr>
            </w:pPr>
            <w:r w:rsidRPr="00AE55CC">
              <w:rPr>
                <w:color w:val="000000"/>
                <w:sz w:val="24"/>
              </w:rPr>
              <w:t>-</w:t>
            </w:r>
          </w:p>
        </w:tc>
      </w:tr>
      <w:tr w:rsidR="00D3629B" w:rsidRPr="00AE55CC" w:rsidTr="004D73E3">
        <w:tc>
          <w:tcPr>
            <w:tcW w:w="5812"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3119"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jc w:val="right"/>
              <w:rPr>
                <w:color w:val="000000"/>
                <w:kern w:val="0"/>
                <w:sz w:val="24"/>
              </w:rPr>
            </w:pPr>
            <w:r w:rsidRPr="00AE55CC">
              <w:rPr>
                <w:color w:val="000000"/>
                <w:sz w:val="24"/>
              </w:rPr>
              <w:t>-</w:t>
            </w:r>
          </w:p>
        </w:tc>
      </w:tr>
      <w:tr w:rsidR="00D3629B" w:rsidRPr="00AE55CC" w:rsidTr="004D73E3">
        <w:tc>
          <w:tcPr>
            <w:tcW w:w="5812"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adjustRightInd w:val="0"/>
              <w:snapToGrid w:val="0"/>
              <w:spacing w:line="360" w:lineRule="exact"/>
              <w:rPr>
                <w:color w:val="000000"/>
                <w:sz w:val="24"/>
              </w:rPr>
            </w:pPr>
            <w:r w:rsidRPr="00AE55CC">
              <w:rPr>
                <w:color w:val="000000"/>
                <w:sz w:val="24"/>
              </w:rPr>
              <w:t>报告期期末管理人持有的本基金份额</w:t>
            </w:r>
          </w:p>
        </w:tc>
        <w:tc>
          <w:tcPr>
            <w:tcW w:w="3119"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jc w:val="right"/>
              <w:rPr>
                <w:sz w:val="24"/>
              </w:rPr>
            </w:pPr>
            <w:r w:rsidRPr="00AE55CC">
              <w:rPr>
                <w:color w:val="000000"/>
                <w:sz w:val="24"/>
              </w:rPr>
              <w:t>10,072,734.64</w:t>
            </w:r>
          </w:p>
        </w:tc>
      </w:tr>
      <w:tr w:rsidR="00D3629B" w:rsidRPr="00AE55CC" w:rsidTr="004D73E3">
        <w:tc>
          <w:tcPr>
            <w:tcW w:w="5812"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3119" w:type="dxa"/>
            <w:tcBorders>
              <w:top w:val="single" w:sz="8" w:space="0" w:color="000000"/>
              <w:left w:val="single" w:sz="8" w:space="0" w:color="000000"/>
              <w:bottom w:val="single" w:sz="8" w:space="0" w:color="000000"/>
              <w:right w:val="single" w:sz="8" w:space="0" w:color="000000"/>
            </w:tcBorders>
            <w:vAlign w:val="center"/>
          </w:tcPr>
          <w:p w:rsidR="00D3629B" w:rsidRPr="00AE55CC" w:rsidRDefault="00D3629B" w:rsidP="00175A82">
            <w:pPr>
              <w:jc w:val="right"/>
              <w:rPr>
                <w:color w:val="000000"/>
                <w:kern w:val="0"/>
                <w:sz w:val="24"/>
              </w:rPr>
            </w:pPr>
            <w:r w:rsidRPr="00AE55CC">
              <w:rPr>
                <w:color w:val="000000"/>
                <w:sz w:val="24"/>
              </w:rPr>
              <w:t>3.22</w:t>
            </w:r>
          </w:p>
        </w:tc>
      </w:tr>
    </w:tbl>
    <w:p w:rsidR="006A272F" w:rsidRDefault="00D362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4D73E3">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205"/>
        <w:gridCol w:w="1368"/>
        <w:gridCol w:w="1109"/>
        <w:gridCol w:w="1518"/>
        <w:gridCol w:w="1555"/>
      </w:tblGrid>
      <w:tr w:rsidR="00B47574" w:rsidRPr="007F52FA" w:rsidTr="008455A0">
        <w:trPr>
          <w:trHeight w:val="543"/>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8455A0">
        <w:trPr>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3.22%</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3.20%</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8455A0">
            <w:pPr>
              <w:adjustRightInd w:val="0"/>
              <w:snapToGrid w:val="0"/>
              <w:spacing w:before="29" w:line="288" w:lineRule="auto"/>
              <w:ind w:right="120"/>
              <w:jc w:val="left"/>
              <w:rPr>
                <w:rFonts w:eastAsiaTheme="minorEastAsia"/>
                <w:kern w:val="0"/>
                <w:sz w:val="24"/>
              </w:rPr>
            </w:pPr>
            <w:r w:rsidRPr="007F52FA">
              <w:rPr>
                <w:rFonts w:eastAsiaTheme="minorEastAsia"/>
                <w:kern w:val="0"/>
                <w:sz w:val="24"/>
              </w:rPr>
              <w:t>不低于三年</w:t>
            </w:r>
          </w:p>
        </w:tc>
      </w:tr>
      <w:tr w:rsidR="00B47574" w:rsidRPr="007F52FA" w:rsidTr="008455A0">
        <w:trPr>
          <w:trHeight w:val="790"/>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455A0">
        <w:trPr>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基金经理等人员</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455A0">
        <w:trPr>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基金管理人股东</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455A0">
        <w:trPr>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8455A0">
        <w:trPr>
          <w:jc w:val="center"/>
        </w:trPr>
        <w:tc>
          <w:tcPr>
            <w:tcW w:w="1346"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65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74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3.22%</w:t>
            </w:r>
          </w:p>
        </w:tc>
        <w:tc>
          <w:tcPr>
            <w:tcW w:w="600"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821"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3.20%</w:t>
            </w:r>
          </w:p>
        </w:tc>
        <w:tc>
          <w:tcPr>
            <w:tcW w:w="842" w:type="pct"/>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C14DF">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4D73E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6A272F" w:rsidRDefault="00D3629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17" w:rsidRDefault="000A1817">
      <w:r>
        <w:separator/>
      </w:r>
    </w:p>
  </w:endnote>
  <w:endnote w:type="continuationSeparator" w:id="0">
    <w:p w:rsidR="000A1817" w:rsidRDefault="000A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6A272F">
      <w:rPr>
        <w:kern w:val="0"/>
        <w:szCs w:val="21"/>
      </w:rPr>
      <w:fldChar w:fldCharType="begin"/>
    </w:r>
    <w:r>
      <w:rPr>
        <w:kern w:val="0"/>
        <w:szCs w:val="21"/>
      </w:rPr>
      <w:instrText xml:space="preserve"> PAGE </w:instrText>
    </w:r>
    <w:r w:rsidR="006A272F">
      <w:rPr>
        <w:kern w:val="0"/>
        <w:szCs w:val="21"/>
      </w:rPr>
      <w:fldChar w:fldCharType="separate"/>
    </w:r>
    <w:r w:rsidR="008455A0">
      <w:rPr>
        <w:noProof/>
        <w:kern w:val="0"/>
        <w:szCs w:val="21"/>
      </w:rPr>
      <w:t>1</w:t>
    </w:r>
    <w:r w:rsidR="006A272F">
      <w:rPr>
        <w:kern w:val="0"/>
        <w:szCs w:val="21"/>
      </w:rPr>
      <w:fldChar w:fldCharType="end"/>
    </w:r>
    <w:r>
      <w:rPr>
        <w:rFonts w:hint="eastAsia"/>
        <w:kern w:val="0"/>
        <w:szCs w:val="21"/>
      </w:rPr>
      <w:t>页共</w:t>
    </w:r>
    <w:r w:rsidR="006A272F">
      <w:rPr>
        <w:kern w:val="0"/>
        <w:szCs w:val="21"/>
      </w:rPr>
      <w:fldChar w:fldCharType="begin"/>
    </w:r>
    <w:r>
      <w:rPr>
        <w:kern w:val="0"/>
        <w:szCs w:val="21"/>
      </w:rPr>
      <w:instrText xml:space="preserve"> NUMPAGES </w:instrText>
    </w:r>
    <w:r w:rsidR="006A272F">
      <w:rPr>
        <w:kern w:val="0"/>
        <w:szCs w:val="21"/>
      </w:rPr>
      <w:fldChar w:fldCharType="separate"/>
    </w:r>
    <w:r w:rsidR="008455A0">
      <w:rPr>
        <w:noProof/>
        <w:kern w:val="0"/>
        <w:szCs w:val="21"/>
      </w:rPr>
      <w:t>12</w:t>
    </w:r>
    <w:r w:rsidR="006A272F">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6A272F">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17" w:rsidRDefault="000A1817">
      <w:r>
        <w:separator/>
      </w:r>
    </w:p>
  </w:footnote>
  <w:footnote w:type="continuationSeparator" w:id="0">
    <w:p w:rsidR="000A1817" w:rsidRDefault="000A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8455A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18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3E3"/>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272F"/>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55A0"/>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8FA"/>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6BA4"/>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629B"/>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D3CA525-DE4D-4646-BEAB-AE659118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EF4E-7C88-4434-8166-52529A7A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159</TotalTime>
  <Pages>12</Pages>
  <Words>1103</Words>
  <Characters>6289</Characters>
  <Application>Microsoft Office Word</Application>
  <DocSecurity>0</DocSecurity>
  <Lines>52</Lines>
  <Paragraphs>14</Paragraphs>
  <ScaleCrop>false</ScaleCrop>
  <Company>TRT. Ltd. Co.</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338</cp:revision>
  <cp:lastPrinted>2007-07-19T00:46:00Z</cp:lastPrinted>
  <dcterms:created xsi:type="dcterms:W3CDTF">2014-01-17T06:19:00Z</dcterms:created>
  <dcterms:modified xsi:type="dcterms:W3CDTF">2014-10-21T03:13:00Z</dcterms:modified>
</cp:coreProperties>
</file>