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72406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62176" w:rsidRDefault="00C823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30,418,962.33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w:t>
            </w:r>
            <w:r w:rsidRPr="00414345">
              <w:rPr>
                <w:color w:val="000000"/>
                <w:kern w:val="0"/>
                <w:sz w:val="24"/>
                <w:szCs w:val="24"/>
              </w:rPr>
              <w:lastRenderedPageBreak/>
              <w:t>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82345" w:rsidRPr="00414345" w:rsidTr="00C8234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82345" w:rsidRPr="00414345" w:rsidTr="00C823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132,381.94</w:t>
            </w:r>
          </w:p>
        </w:tc>
      </w:tr>
      <w:tr w:rsidR="00C82345" w:rsidRPr="00414345" w:rsidTr="00C823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5,528,186.76</w:t>
            </w:r>
          </w:p>
        </w:tc>
      </w:tr>
      <w:tr w:rsidR="00C82345" w:rsidRPr="00414345" w:rsidTr="00C823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0.1736</w:t>
            </w:r>
          </w:p>
        </w:tc>
      </w:tr>
      <w:tr w:rsidR="00C82345" w:rsidRPr="00414345" w:rsidTr="00C823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35,244,567.14</w:t>
            </w:r>
          </w:p>
        </w:tc>
      </w:tr>
      <w:tr w:rsidR="00C82345" w:rsidRPr="00414345" w:rsidTr="00C8234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1.159</w:t>
            </w:r>
          </w:p>
        </w:tc>
      </w:tr>
    </w:tbl>
    <w:p w:rsidR="00462176" w:rsidRDefault="00C823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62176" w:rsidRDefault="00C82345">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3</w:t>
      </w:r>
      <w:r w:rsidRPr="00414345">
        <w:rPr>
          <w:color w:val="000000"/>
          <w:sz w:val="24"/>
          <w:szCs w:val="24"/>
        </w:rPr>
        <w:t>、自《公开募集证券投资基金运作管理办法》生效日（</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8</w:t>
      </w:r>
      <w:r w:rsidRPr="00414345">
        <w:rPr>
          <w:color w:val="000000"/>
          <w:sz w:val="24"/>
          <w:szCs w:val="24"/>
        </w:rPr>
        <w:t>日）起至本报告期末，本基金连续</w:t>
      </w:r>
      <w:r w:rsidRPr="00414345">
        <w:rPr>
          <w:color w:val="000000"/>
          <w:sz w:val="24"/>
          <w:szCs w:val="24"/>
        </w:rPr>
        <w:t>37</w:t>
      </w:r>
      <w:r w:rsidRPr="00414345">
        <w:rPr>
          <w:color w:val="000000"/>
          <w:sz w:val="24"/>
          <w:szCs w:val="24"/>
        </w:rPr>
        <w:t>个工作日基金资产净值低于五千万元。</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62176">
        <w:trPr>
          <w:jc w:val="center"/>
        </w:trPr>
        <w:tc>
          <w:tcPr>
            <w:tcW w:w="1701" w:type="dxa"/>
            <w:vAlign w:val="center"/>
          </w:tcPr>
          <w:p w:rsidR="00462176" w:rsidRDefault="00C82345">
            <w:pPr>
              <w:jc w:val="left"/>
            </w:pPr>
            <w:r>
              <w:rPr>
                <w:color w:val="000000"/>
                <w:sz w:val="24"/>
                <w:szCs w:val="24"/>
              </w:rPr>
              <w:t>过去三个月</w:t>
            </w:r>
          </w:p>
        </w:tc>
        <w:tc>
          <w:tcPr>
            <w:tcW w:w="1045" w:type="dxa"/>
            <w:vAlign w:val="center"/>
          </w:tcPr>
          <w:p w:rsidR="00462176" w:rsidRDefault="00C82345">
            <w:pPr>
              <w:jc w:val="center"/>
            </w:pPr>
            <w:r>
              <w:rPr>
                <w:color w:val="000000"/>
                <w:sz w:val="24"/>
                <w:szCs w:val="24"/>
              </w:rPr>
              <w:t>17.90%</w:t>
            </w:r>
          </w:p>
        </w:tc>
        <w:tc>
          <w:tcPr>
            <w:tcW w:w="1344" w:type="dxa"/>
            <w:vAlign w:val="center"/>
          </w:tcPr>
          <w:p w:rsidR="00462176" w:rsidRDefault="00C82345">
            <w:pPr>
              <w:jc w:val="center"/>
            </w:pPr>
            <w:r>
              <w:rPr>
                <w:color w:val="000000"/>
                <w:sz w:val="24"/>
                <w:szCs w:val="24"/>
              </w:rPr>
              <w:t>0.82%</w:t>
            </w:r>
          </w:p>
        </w:tc>
        <w:tc>
          <w:tcPr>
            <w:tcW w:w="1194" w:type="dxa"/>
            <w:vAlign w:val="center"/>
          </w:tcPr>
          <w:p w:rsidR="00462176" w:rsidRDefault="00C82345">
            <w:pPr>
              <w:jc w:val="center"/>
            </w:pPr>
            <w:r>
              <w:rPr>
                <w:color w:val="000000"/>
                <w:sz w:val="24"/>
                <w:szCs w:val="24"/>
              </w:rPr>
              <w:t>10.26%</w:t>
            </w:r>
          </w:p>
        </w:tc>
        <w:tc>
          <w:tcPr>
            <w:tcW w:w="1492" w:type="dxa"/>
            <w:vAlign w:val="center"/>
          </w:tcPr>
          <w:p w:rsidR="00462176" w:rsidRDefault="00C82345">
            <w:pPr>
              <w:jc w:val="center"/>
            </w:pPr>
            <w:r>
              <w:rPr>
                <w:color w:val="000000"/>
                <w:sz w:val="24"/>
                <w:szCs w:val="24"/>
              </w:rPr>
              <w:t>0.67%</w:t>
            </w:r>
          </w:p>
        </w:tc>
        <w:tc>
          <w:tcPr>
            <w:tcW w:w="1194" w:type="dxa"/>
            <w:vAlign w:val="center"/>
          </w:tcPr>
          <w:p w:rsidR="00462176" w:rsidRDefault="00C82345">
            <w:pPr>
              <w:jc w:val="center"/>
            </w:pPr>
            <w:r>
              <w:rPr>
                <w:color w:val="000000"/>
                <w:sz w:val="24"/>
                <w:szCs w:val="24"/>
              </w:rPr>
              <w:t>7.64%</w:t>
            </w:r>
          </w:p>
        </w:tc>
        <w:tc>
          <w:tcPr>
            <w:tcW w:w="898" w:type="dxa"/>
            <w:vAlign w:val="center"/>
          </w:tcPr>
          <w:p w:rsidR="00462176" w:rsidRDefault="00C82345">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5"/>
        <w:gridCol w:w="709"/>
        <w:gridCol w:w="1559"/>
        <w:gridCol w:w="1560"/>
        <w:gridCol w:w="1312"/>
        <w:gridCol w:w="2673"/>
      </w:tblGrid>
      <w:tr w:rsidR="00286BEF" w:rsidRPr="00414345" w:rsidTr="00C82345">
        <w:trPr>
          <w:trHeight w:val="292"/>
          <w:jc w:val="center"/>
        </w:trPr>
        <w:tc>
          <w:tcPr>
            <w:tcW w:w="105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709"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312"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C82345">
        <w:trPr>
          <w:jc w:val="center"/>
        </w:trPr>
        <w:tc>
          <w:tcPr>
            <w:tcW w:w="105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709"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312"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62176" w:rsidTr="00C82345">
        <w:trPr>
          <w:jc w:val="center"/>
        </w:trPr>
        <w:tc>
          <w:tcPr>
            <w:tcW w:w="1055" w:type="dxa"/>
            <w:vAlign w:val="center"/>
          </w:tcPr>
          <w:p w:rsidR="00462176" w:rsidRDefault="00C82345">
            <w:pPr>
              <w:jc w:val="center"/>
            </w:pPr>
            <w:r>
              <w:rPr>
                <w:color w:val="000000"/>
                <w:sz w:val="24"/>
                <w:szCs w:val="24"/>
              </w:rPr>
              <w:t>龙向东</w:t>
            </w:r>
          </w:p>
        </w:tc>
        <w:tc>
          <w:tcPr>
            <w:tcW w:w="709" w:type="dxa"/>
            <w:vAlign w:val="center"/>
          </w:tcPr>
          <w:p w:rsidR="00462176" w:rsidRDefault="00C82345">
            <w:pPr>
              <w:jc w:val="center"/>
            </w:pPr>
            <w:r>
              <w:rPr>
                <w:color w:val="000000"/>
                <w:sz w:val="24"/>
                <w:szCs w:val="24"/>
              </w:rPr>
              <w:t>本基金的基金经理，公司量化投资部总经理</w:t>
            </w:r>
          </w:p>
        </w:tc>
        <w:tc>
          <w:tcPr>
            <w:tcW w:w="1559" w:type="dxa"/>
            <w:vAlign w:val="center"/>
          </w:tcPr>
          <w:p w:rsidR="00462176" w:rsidRDefault="00C82345">
            <w:pPr>
              <w:jc w:val="center"/>
            </w:pPr>
            <w:r>
              <w:rPr>
                <w:color w:val="000000"/>
                <w:sz w:val="24"/>
                <w:szCs w:val="24"/>
              </w:rPr>
              <w:t>2012-08-03</w:t>
            </w:r>
          </w:p>
        </w:tc>
        <w:tc>
          <w:tcPr>
            <w:tcW w:w="1560" w:type="dxa"/>
            <w:vAlign w:val="center"/>
          </w:tcPr>
          <w:p w:rsidR="00462176" w:rsidRDefault="00C82345">
            <w:pPr>
              <w:jc w:val="center"/>
            </w:pPr>
            <w:r>
              <w:rPr>
                <w:color w:val="000000"/>
                <w:sz w:val="24"/>
                <w:szCs w:val="24"/>
              </w:rPr>
              <w:t>-</w:t>
            </w:r>
          </w:p>
        </w:tc>
        <w:tc>
          <w:tcPr>
            <w:tcW w:w="1312" w:type="dxa"/>
            <w:vAlign w:val="center"/>
          </w:tcPr>
          <w:p w:rsidR="00462176" w:rsidRDefault="00C82345">
            <w:pPr>
              <w:jc w:val="center"/>
            </w:pPr>
            <w:r>
              <w:rPr>
                <w:color w:val="000000"/>
                <w:sz w:val="24"/>
                <w:szCs w:val="24"/>
              </w:rPr>
              <w:t>5</w:t>
            </w:r>
            <w:r>
              <w:rPr>
                <w:color w:val="000000"/>
                <w:sz w:val="24"/>
                <w:szCs w:val="24"/>
              </w:rPr>
              <w:t>年</w:t>
            </w:r>
          </w:p>
        </w:tc>
        <w:tc>
          <w:tcPr>
            <w:tcW w:w="2673" w:type="dxa"/>
            <w:vAlign w:val="center"/>
          </w:tcPr>
          <w:p w:rsidR="00462176" w:rsidRDefault="00C82345">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62176" w:rsidRDefault="00C8234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62176" w:rsidRDefault="00C8234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62176" w:rsidRDefault="00C8234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62176" w:rsidRDefault="00C82345">
      <w:pPr>
        <w:spacing w:before="29" w:line="288" w:lineRule="auto"/>
        <w:ind w:firstLineChars="200" w:firstLine="480"/>
        <w:rPr>
          <w:color w:val="000000"/>
          <w:sz w:val="24"/>
          <w:szCs w:val="24"/>
        </w:rPr>
      </w:pPr>
      <w:r>
        <w:rPr>
          <w:color w:val="000000"/>
          <w:sz w:val="24"/>
          <w:szCs w:val="24"/>
        </w:rPr>
        <w:t>过去三个月阿尔法基金业绩有所改善的原因有二：首先，基于过去的投资实践和市场先生的教训，梳理完善了逻辑推理</w:t>
      </w:r>
      <w:r>
        <w:rPr>
          <w:color w:val="000000"/>
          <w:sz w:val="24"/>
          <w:szCs w:val="24"/>
        </w:rPr>
        <w:t>--</w:t>
      </w:r>
      <w:r>
        <w:rPr>
          <w:color w:val="000000"/>
          <w:sz w:val="24"/>
          <w:szCs w:val="24"/>
        </w:rPr>
        <w:t>数据验证的投资分析框架，改善了仓位选择、风格配置和组合构建；其次，在驱动市场的诸多因素中紧抓核心驱动因素，并依此构建投资组合，把对的事情做对。</w:t>
      </w:r>
    </w:p>
    <w:p w:rsidR="00462176" w:rsidRDefault="00C82345">
      <w:pPr>
        <w:spacing w:before="29" w:line="288" w:lineRule="auto"/>
        <w:ind w:firstLineChars="200" w:firstLine="480"/>
        <w:rPr>
          <w:color w:val="000000"/>
          <w:sz w:val="24"/>
          <w:szCs w:val="24"/>
        </w:rPr>
      </w:pPr>
      <w:r>
        <w:rPr>
          <w:color w:val="000000"/>
          <w:sz w:val="24"/>
          <w:szCs w:val="24"/>
        </w:rPr>
        <w:t>回顾本轮市场演绎，有助于我们判断下一阶段市场的变化方向和发展路径。具体而言，本轮行情驱动因素是投资者对于中长期预期转乐观之后的增量资金行情。演变过程也非静态不变，而是动态变化的：初期是基本面和政策面的对冲、僵持；然后大超市场预期的汇丰</w:t>
      </w:r>
      <w:r>
        <w:rPr>
          <w:color w:val="000000"/>
          <w:sz w:val="24"/>
          <w:szCs w:val="24"/>
        </w:rPr>
        <w:t>PMI</w:t>
      </w:r>
      <w:r>
        <w:rPr>
          <w:color w:val="000000"/>
          <w:sz w:val="24"/>
          <w:szCs w:val="24"/>
        </w:rPr>
        <w:t>数据启动了经济阶段性改善后的补涨行情；投资者对改革红利的预期提升了风险偏好；融资融券增量数据揭示了进一步演化的投资者情绪，去年以来的存量行情转变为增量行情。</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10</w:t>
      </w:r>
      <w:r w:rsidRPr="00414345">
        <w:rPr>
          <w:color w:val="000000"/>
          <w:sz w:val="24"/>
          <w:szCs w:val="24"/>
        </w:rPr>
        <w:t>月份，十八届四中全会将在北京召开；各项深水区的改革措施频频出台；这些都预示下一阶段市场的核心关注点在于改革预期提升市场风险偏好。在</w:t>
      </w:r>
      <w:r w:rsidRPr="00414345">
        <w:rPr>
          <w:color w:val="000000"/>
          <w:sz w:val="24"/>
          <w:szCs w:val="24"/>
        </w:rPr>
        <w:t>DDM</w:t>
      </w:r>
      <w:r w:rsidRPr="00414345">
        <w:rPr>
          <w:color w:val="000000"/>
          <w:sz w:val="24"/>
          <w:szCs w:val="24"/>
        </w:rPr>
        <w:t>对股市的分析框架内，当下强调更多的是预期作用下的风险溢价，外在观察指标是股市流动性；但股市流动性是果而非因；如果有更多的改革措施出台，让投资者看到市场机制自如发挥作用、企业盈利大幅改善的前景，就会有更多的资金流入股市，进一步提升股市流动性；但在这一过程中部分投资者前期投资获利了结的操作或带来短期波动，需要密切观察。方向和节奏的双重把握对于四季度的操作至为重要。</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1.159</w:t>
      </w:r>
      <w:r w:rsidRPr="00414345">
        <w:rPr>
          <w:color w:val="000000"/>
          <w:sz w:val="24"/>
          <w:szCs w:val="24"/>
        </w:rPr>
        <w:t>元，本报告期份额净值增长率为</w:t>
      </w:r>
      <w:r w:rsidRPr="00414345">
        <w:rPr>
          <w:color w:val="000000"/>
          <w:sz w:val="24"/>
          <w:szCs w:val="24"/>
        </w:rPr>
        <w:t>17.90%</w:t>
      </w:r>
      <w:r w:rsidRPr="00414345">
        <w:rPr>
          <w:color w:val="000000"/>
          <w:sz w:val="24"/>
          <w:szCs w:val="24"/>
        </w:rPr>
        <w:t>，同期业绩比较基准增长率为</w:t>
      </w:r>
      <w:r w:rsidRPr="00414345">
        <w:rPr>
          <w:color w:val="000000"/>
          <w:sz w:val="24"/>
          <w:szCs w:val="24"/>
        </w:rPr>
        <w:t>10.26%</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32,471,397.61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32,471,397.61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3,199,677.15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108,042.49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35,804,017.25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754"/>
        <w:gridCol w:w="2631"/>
        <w:gridCol w:w="1638"/>
      </w:tblGrid>
      <w:tr w:rsidR="00531F10" w:rsidRPr="00414345" w:rsidTr="00C8234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1,004,715.00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2.85</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C6370">
            <w:pPr>
              <w:spacing w:before="29" w:line="288" w:lineRule="auto"/>
              <w:jc w:val="right"/>
              <w:rPr>
                <w:sz w:val="24"/>
                <w:szCs w:val="24"/>
              </w:rPr>
            </w:pPr>
            <w:r w:rsidRPr="00414345">
              <w:rPr>
                <w:sz w:val="24"/>
                <w:szCs w:val="24"/>
              </w:rPr>
              <w:t>677,798.67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C6370">
            <w:pPr>
              <w:spacing w:before="29" w:line="288" w:lineRule="auto"/>
              <w:jc w:val="right"/>
              <w:rPr>
                <w:sz w:val="24"/>
                <w:szCs w:val="24"/>
              </w:rPr>
            </w:pPr>
            <w:r w:rsidRPr="00414345">
              <w:rPr>
                <w:sz w:val="24"/>
                <w:szCs w:val="24"/>
              </w:rPr>
              <w:t>1.92</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15,959,623.76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45.28</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1,668,321.59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1,001,517.66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3,515,052.92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9.97</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640,685.80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82345">
            <w:pPr>
              <w:adjustRightInd w:val="0"/>
              <w:snapToGrid w:val="0"/>
              <w:spacing w:before="29" w:line="288" w:lineRule="auto"/>
              <w:jc w:val="left"/>
              <w:rPr>
                <w:sz w:val="24"/>
                <w:szCs w:val="24"/>
              </w:rPr>
            </w:pPr>
            <w:r w:rsidRPr="00414345">
              <w:rPr>
                <w:sz w:val="24"/>
                <w:szCs w:val="24"/>
              </w:rPr>
              <w:t>信息传输、软件和信息技术服务业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491,334.64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4,661,436.17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13.23</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1,218,890.92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1,030,195.48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346,620.00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255,205.00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C8234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75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63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32,471,397.61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62176">
        <w:trPr>
          <w:jc w:val="center"/>
        </w:trPr>
        <w:tc>
          <w:tcPr>
            <w:tcW w:w="855" w:type="dxa"/>
            <w:vAlign w:val="center"/>
          </w:tcPr>
          <w:p w:rsidR="00462176" w:rsidRDefault="00C82345">
            <w:pPr>
              <w:jc w:val="center"/>
            </w:pPr>
            <w:r>
              <w:rPr>
                <w:color w:val="000000"/>
                <w:sz w:val="24"/>
                <w:szCs w:val="24"/>
              </w:rPr>
              <w:t>1</w:t>
            </w:r>
          </w:p>
        </w:tc>
        <w:tc>
          <w:tcPr>
            <w:tcW w:w="1334" w:type="dxa"/>
            <w:vAlign w:val="center"/>
          </w:tcPr>
          <w:p w:rsidR="00462176" w:rsidRDefault="00C82345">
            <w:pPr>
              <w:jc w:val="center"/>
            </w:pPr>
            <w:r>
              <w:rPr>
                <w:color w:val="000000"/>
                <w:sz w:val="24"/>
                <w:szCs w:val="24"/>
              </w:rPr>
              <w:t>601318</w:t>
            </w:r>
          </w:p>
        </w:tc>
        <w:tc>
          <w:tcPr>
            <w:tcW w:w="1777" w:type="dxa"/>
            <w:vAlign w:val="center"/>
          </w:tcPr>
          <w:p w:rsidR="00462176" w:rsidRDefault="00C82345">
            <w:pPr>
              <w:jc w:val="center"/>
            </w:pPr>
            <w:r>
              <w:rPr>
                <w:color w:val="000000"/>
                <w:sz w:val="24"/>
                <w:szCs w:val="24"/>
              </w:rPr>
              <w:t>中国平安</w:t>
            </w:r>
          </w:p>
        </w:tc>
        <w:tc>
          <w:tcPr>
            <w:tcW w:w="1334" w:type="dxa"/>
            <w:vAlign w:val="center"/>
          </w:tcPr>
          <w:p w:rsidR="00462176" w:rsidRDefault="00C82345">
            <w:pPr>
              <w:jc w:val="right"/>
            </w:pPr>
            <w:r>
              <w:rPr>
                <w:color w:val="000000"/>
                <w:sz w:val="24"/>
                <w:szCs w:val="24"/>
              </w:rPr>
              <w:t>29,413</w:t>
            </w:r>
          </w:p>
        </w:tc>
        <w:tc>
          <w:tcPr>
            <w:tcW w:w="1924" w:type="dxa"/>
            <w:vAlign w:val="center"/>
          </w:tcPr>
          <w:p w:rsidR="00462176" w:rsidRDefault="00C82345">
            <w:pPr>
              <w:jc w:val="right"/>
            </w:pPr>
            <w:r>
              <w:rPr>
                <w:color w:val="000000"/>
                <w:sz w:val="24"/>
                <w:szCs w:val="24"/>
              </w:rPr>
              <w:t>1,215,933.42</w:t>
            </w:r>
          </w:p>
        </w:tc>
        <w:tc>
          <w:tcPr>
            <w:tcW w:w="1644" w:type="dxa"/>
            <w:vAlign w:val="center"/>
          </w:tcPr>
          <w:p w:rsidR="00462176" w:rsidRDefault="00C82345">
            <w:pPr>
              <w:jc w:val="right"/>
            </w:pPr>
            <w:r>
              <w:rPr>
                <w:color w:val="000000"/>
                <w:sz w:val="24"/>
                <w:szCs w:val="24"/>
              </w:rPr>
              <w:t>3.45</w:t>
            </w:r>
          </w:p>
        </w:tc>
      </w:tr>
      <w:tr w:rsidR="00462176">
        <w:trPr>
          <w:jc w:val="center"/>
        </w:trPr>
        <w:tc>
          <w:tcPr>
            <w:tcW w:w="855" w:type="dxa"/>
            <w:vAlign w:val="center"/>
          </w:tcPr>
          <w:p w:rsidR="00462176" w:rsidRDefault="00C82345">
            <w:pPr>
              <w:jc w:val="center"/>
            </w:pPr>
            <w:r>
              <w:rPr>
                <w:color w:val="000000"/>
                <w:sz w:val="24"/>
                <w:szCs w:val="24"/>
              </w:rPr>
              <w:t>2</w:t>
            </w:r>
          </w:p>
        </w:tc>
        <w:tc>
          <w:tcPr>
            <w:tcW w:w="1334" w:type="dxa"/>
            <w:vAlign w:val="center"/>
          </w:tcPr>
          <w:p w:rsidR="00462176" w:rsidRDefault="00C82345">
            <w:pPr>
              <w:jc w:val="center"/>
            </w:pPr>
            <w:r>
              <w:rPr>
                <w:color w:val="000000"/>
                <w:sz w:val="24"/>
                <w:szCs w:val="24"/>
              </w:rPr>
              <w:t>000592</w:t>
            </w:r>
          </w:p>
        </w:tc>
        <w:tc>
          <w:tcPr>
            <w:tcW w:w="1777" w:type="dxa"/>
            <w:vAlign w:val="center"/>
          </w:tcPr>
          <w:p w:rsidR="00462176" w:rsidRDefault="00C82345">
            <w:pPr>
              <w:jc w:val="center"/>
            </w:pPr>
            <w:r>
              <w:rPr>
                <w:color w:val="000000"/>
                <w:sz w:val="24"/>
                <w:szCs w:val="24"/>
              </w:rPr>
              <w:t>平潭发展</w:t>
            </w:r>
          </w:p>
        </w:tc>
        <w:tc>
          <w:tcPr>
            <w:tcW w:w="1334" w:type="dxa"/>
            <w:vAlign w:val="center"/>
          </w:tcPr>
          <w:p w:rsidR="00462176" w:rsidRDefault="00C82345">
            <w:pPr>
              <w:jc w:val="right"/>
            </w:pPr>
            <w:r>
              <w:rPr>
                <w:color w:val="000000"/>
                <w:sz w:val="24"/>
                <w:szCs w:val="24"/>
              </w:rPr>
              <w:t>80,700</w:t>
            </w:r>
          </w:p>
        </w:tc>
        <w:tc>
          <w:tcPr>
            <w:tcW w:w="1924" w:type="dxa"/>
            <w:vAlign w:val="center"/>
          </w:tcPr>
          <w:p w:rsidR="00462176" w:rsidRDefault="00C82345">
            <w:pPr>
              <w:jc w:val="right"/>
            </w:pPr>
            <w:r>
              <w:rPr>
                <w:color w:val="000000"/>
                <w:sz w:val="24"/>
                <w:szCs w:val="24"/>
              </w:rPr>
              <w:t>1,004,715.00</w:t>
            </w:r>
          </w:p>
        </w:tc>
        <w:tc>
          <w:tcPr>
            <w:tcW w:w="1644" w:type="dxa"/>
            <w:vAlign w:val="center"/>
          </w:tcPr>
          <w:p w:rsidR="00462176" w:rsidRDefault="00C82345">
            <w:pPr>
              <w:jc w:val="right"/>
            </w:pPr>
            <w:r>
              <w:rPr>
                <w:color w:val="000000"/>
                <w:sz w:val="24"/>
                <w:szCs w:val="24"/>
              </w:rPr>
              <w:t>2.85</w:t>
            </w:r>
          </w:p>
        </w:tc>
      </w:tr>
      <w:tr w:rsidR="00462176">
        <w:trPr>
          <w:jc w:val="center"/>
        </w:trPr>
        <w:tc>
          <w:tcPr>
            <w:tcW w:w="855" w:type="dxa"/>
            <w:vAlign w:val="center"/>
          </w:tcPr>
          <w:p w:rsidR="00462176" w:rsidRDefault="00C82345">
            <w:pPr>
              <w:jc w:val="center"/>
            </w:pPr>
            <w:r>
              <w:rPr>
                <w:color w:val="000000"/>
                <w:sz w:val="24"/>
                <w:szCs w:val="24"/>
              </w:rPr>
              <w:t>3</w:t>
            </w:r>
          </w:p>
        </w:tc>
        <w:tc>
          <w:tcPr>
            <w:tcW w:w="1334" w:type="dxa"/>
            <w:vAlign w:val="center"/>
          </w:tcPr>
          <w:p w:rsidR="00462176" w:rsidRDefault="00C82345">
            <w:pPr>
              <w:jc w:val="center"/>
            </w:pPr>
            <w:r>
              <w:rPr>
                <w:color w:val="000000"/>
                <w:sz w:val="24"/>
                <w:szCs w:val="24"/>
              </w:rPr>
              <w:t>000768</w:t>
            </w:r>
          </w:p>
        </w:tc>
        <w:tc>
          <w:tcPr>
            <w:tcW w:w="1777" w:type="dxa"/>
            <w:vAlign w:val="center"/>
          </w:tcPr>
          <w:p w:rsidR="00462176" w:rsidRDefault="00C82345">
            <w:pPr>
              <w:jc w:val="center"/>
            </w:pPr>
            <w:r>
              <w:rPr>
                <w:color w:val="000000"/>
                <w:sz w:val="24"/>
                <w:szCs w:val="24"/>
              </w:rPr>
              <w:t>中航飞机</w:t>
            </w:r>
          </w:p>
        </w:tc>
        <w:tc>
          <w:tcPr>
            <w:tcW w:w="1334" w:type="dxa"/>
            <w:vAlign w:val="center"/>
          </w:tcPr>
          <w:p w:rsidR="00462176" w:rsidRDefault="00C82345">
            <w:pPr>
              <w:jc w:val="right"/>
            </w:pPr>
            <w:r>
              <w:rPr>
                <w:color w:val="000000"/>
                <w:sz w:val="24"/>
                <w:szCs w:val="24"/>
              </w:rPr>
              <w:t>62,400</w:t>
            </w:r>
          </w:p>
        </w:tc>
        <w:tc>
          <w:tcPr>
            <w:tcW w:w="1924" w:type="dxa"/>
            <w:vAlign w:val="center"/>
          </w:tcPr>
          <w:p w:rsidR="00462176" w:rsidRDefault="00C82345">
            <w:pPr>
              <w:jc w:val="right"/>
            </w:pPr>
            <w:r>
              <w:rPr>
                <w:color w:val="000000"/>
                <w:sz w:val="24"/>
                <w:szCs w:val="24"/>
              </w:rPr>
              <w:t>985,296.00</w:t>
            </w:r>
          </w:p>
        </w:tc>
        <w:tc>
          <w:tcPr>
            <w:tcW w:w="1644" w:type="dxa"/>
            <w:vAlign w:val="center"/>
          </w:tcPr>
          <w:p w:rsidR="00462176" w:rsidRDefault="00C82345">
            <w:pPr>
              <w:jc w:val="right"/>
            </w:pPr>
            <w:r>
              <w:rPr>
                <w:color w:val="000000"/>
                <w:sz w:val="24"/>
                <w:szCs w:val="24"/>
              </w:rPr>
              <w:t>2.80</w:t>
            </w:r>
          </w:p>
        </w:tc>
      </w:tr>
      <w:tr w:rsidR="00462176">
        <w:trPr>
          <w:jc w:val="center"/>
        </w:trPr>
        <w:tc>
          <w:tcPr>
            <w:tcW w:w="855" w:type="dxa"/>
            <w:vAlign w:val="center"/>
          </w:tcPr>
          <w:p w:rsidR="00462176" w:rsidRDefault="00C82345">
            <w:pPr>
              <w:jc w:val="center"/>
            </w:pPr>
            <w:r>
              <w:rPr>
                <w:color w:val="000000"/>
                <w:sz w:val="24"/>
                <w:szCs w:val="24"/>
              </w:rPr>
              <w:t>4</w:t>
            </w:r>
          </w:p>
        </w:tc>
        <w:tc>
          <w:tcPr>
            <w:tcW w:w="1334" w:type="dxa"/>
            <w:vAlign w:val="center"/>
          </w:tcPr>
          <w:p w:rsidR="00462176" w:rsidRDefault="00C82345">
            <w:pPr>
              <w:jc w:val="center"/>
            </w:pPr>
            <w:r>
              <w:rPr>
                <w:color w:val="000000"/>
                <w:sz w:val="24"/>
                <w:szCs w:val="24"/>
              </w:rPr>
              <w:t>600000</w:t>
            </w:r>
          </w:p>
        </w:tc>
        <w:tc>
          <w:tcPr>
            <w:tcW w:w="1777" w:type="dxa"/>
            <w:vAlign w:val="center"/>
          </w:tcPr>
          <w:p w:rsidR="00462176" w:rsidRDefault="00C82345">
            <w:pPr>
              <w:jc w:val="center"/>
            </w:pPr>
            <w:r>
              <w:rPr>
                <w:color w:val="000000"/>
                <w:sz w:val="24"/>
                <w:szCs w:val="24"/>
              </w:rPr>
              <w:t>浦发银行</w:t>
            </w:r>
          </w:p>
        </w:tc>
        <w:tc>
          <w:tcPr>
            <w:tcW w:w="1334" w:type="dxa"/>
            <w:vAlign w:val="center"/>
          </w:tcPr>
          <w:p w:rsidR="00462176" w:rsidRDefault="00C82345">
            <w:pPr>
              <w:jc w:val="right"/>
            </w:pPr>
            <w:r>
              <w:rPr>
                <w:color w:val="000000"/>
                <w:sz w:val="24"/>
                <w:szCs w:val="24"/>
              </w:rPr>
              <w:t>92,365</w:t>
            </w:r>
          </w:p>
        </w:tc>
        <w:tc>
          <w:tcPr>
            <w:tcW w:w="1924" w:type="dxa"/>
            <w:vAlign w:val="center"/>
          </w:tcPr>
          <w:p w:rsidR="00462176" w:rsidRDefault="00C82345">
            <w:pPr>
              <w:jc w:val="right"/>
            </w:pPr>
            <w:r>
              <w:rPr>
                <w:color w:val="000000"/>
                <w:sz w:val="24"/>
                <w:szCs w:val="24"/>
              </w:rPr>
              <w:t>900,558.75</w:t>
            </w:r>
          </w:p>
        </w:tc>
        <w:tc>
          <w:tcPr>
            <w:tcW w:w="1644" w:type="dxa"/>
            <w:vAlign w:val="center"/>
          </w:tcPr>
          <w:p w:rsidR="00462176" w:rsidRDefault="00C82345">
            <w:pPr>
              <w:jc w:val="right"/>
            </w:pPr>
            <w:r>
              <w:rPr>
                <w:color w:val="000000"/>
                <w:sz w:val="24"/>
                <w:szCs w:val="24"/>
              </w:rPr>
              <w:t>2.56</w:t>
            </w:r>
          </w:p>
        </w:tc>
      </w:tr>
      <w:tr w:rsidR="00462176">
        <w:trPr>
          <w:jc w:val="center"/>
        </w:trPr>
        <w:tc>
          <w:tcPr>
            <w:tcW w:w="855" w:type="dxa"/>
            <w:vAlign w:val="center"/>
          </w:tcPr>
          <w:p w:rsidR="00462176" w:rsidRDefault="00C82345">
            <w:pPr>
              <w:jc w:val="center"/>
            </w:pPr>
            <w:r>
              <w:rPr>
                <w:color w:val="000000"/>
                <w:sz w:val="24"/>
                <w:szCs w:val="24"/>
              </w:rPr>
              <w:t>5</w:t>
            </w:r>
          </w:p>
        </w:tc>
        <w:tc>
          <w:tcPr>
            <w:tcW w:w="1334" w:type="dxa"/>
            <w:vAlign w:val="center"/>
          </w:tcPr>
          <w:p w:rsidR="00462176" w:rsidRDefault="00C82345">
            <w:pPr>
              <w:jc w:val="center"/>
            </w:pPr>
            <w:r>
              <w:rPr>
                <w:color w:val="000000"/>
                <w:sz w:val="24"/>
                <w:szCs w:val="24"/>
              </w:rPr>
              <w:t>002400</w:t>
            </w:r>
          </w:p>
        </w:tc>
        <w:tc>
          <w:tcPr>
            <w:tcW w:w="1777" w:type="dxa"/>
            <w:vAlign w:val="center"/>
          </w:tcPr>
          <w:p w:rsidR="00462176" w:rsidRDefault="00C82345">
            <w:pPr>
              <w:jc w:val="center"/>
            </w:pPr>
            <w:r>
              <w:rPr>
                <w:color w:val="000000"/>
                <w:sz w:val="24"/>
                <w:szCs w:val="24"/>
              </w:rPr>
              <w:t>省广股份</w:t>
            </w:r>
          </w:p>
        </w:tc>
        <w:tc>
          <w:tcPr>
            <w:tcW w:w="1334" w:type="dxa"/>
            <w:vAlign w:val="center"/>
          </w:tcPr>
          <w:p w:rsidR="00462176" w:rsidRDefault="00C82345">
            <w:pPr>
              <w:jc w:val="right"/>
            </w:pPr>
            <w:r>
              <w:rPr>
                <w:color w:val="000000"/>
                <w:sz w:val="24"/>
                <w:szCs w:val="24"/>
              </w:rPr>
              <w:t>29,500</w:t>
            </w:r>
          </w:p>
        </w:tc>
        <w:tc>
          <w:tcPr>
            <w:tcW w:w="1924" w:type="dxa"/>
            <w:vAlign w:val="center"/>
          </w:tcPr>
          <w:p w:rsidR="00462176" w:rsidRDefault="00C82345">
            <w:pPr>
              <w:jc w:val="right"/>
            </w:pPr>
            <w:r>
              <w:rPr>
                <w:color w:val="000000"/>
                <w:sz w:val="24"/>
                <w:szCs w:val="24"/>
              </w:rPr>
              <w:t>741,630.00</w:t>
            </w:r>
          </w:p>
        </w:tc>
        <w:tc>
          <w:tcPr>
            <w:tcW w:w="1644" w:type="dxa"/>
            <w:vAlign w:val="center"/>
          </w:tcPr>
          <w:p w:rsidR="00462176" w:rsidRDefault="00C82345">
            <w:pPr>
              <w:jc w:val="right"/>
            </w:pPr>
            <w:r>
              <w:rPr>
                <w:color w:val="000000"/>
                <w:sz w:val="24"/>
                <w:szCs w:val="24"/>
              </w:rPr>
              <w:t>2.10</w:t>
            </w:r>
          </w:p>
        </w:tc>
      </w:tr>
      <w:tr w:rsidR="00462176">
        <w:trPr>
          <w:jc w:val="center"/>
        </w:trPr>
        <w:tc>
          <w:tcPr>
            <w:tcW w:w="855" w:type="dxa"/>
            <w:vAlign w:val="center"/>
          </w:tcPr>
          <w:p w:rsidR="00462176" w:rsidRDefault="00C82345">
            <w:pPr>
              <w:jc w:val="center"/>
            </w:pPr>
            <w:r>
              <w:rPr>
                <w:color w:val="000000"/>
                <w:sz w:val="24"/>
                <w:szCs w:val="24"/>
              </w:rPr>
              <w:t>6</w:t>
            </w:r>
          </w:p>
        </w:tc>
        <w:tc>
          <w:tcPr>
            <w:tcW w:w="1334" w:type="dxa"/>
            <w:vAlign w:val="center"/>
          </w:tcPr>
          <w:p w:rsidR="00462176" w:rsidRDefault="00C82345">
            <w:pPr>
              <w:jc w:val="center"/>
            </w:pPr>
            <w:r>
              <w:rPr>
                <w:color w:val="000000"/>
                <w:sz w:val="24"/>
                <w:szCs w:val="24"/>
              </w:rPr>
              <w:t>600109</w:t>
            </w:r>
          </w:p>
        </w:tc>
        <w:tc>
          <w:tcPr>
            <w:tcW w:w="1777" w:type="dxa"/>
            <w:vAlign w:val="center"/>
          </w:tcPr>
          <w:p w:rsidR="00462176" w:rsidRDefault="00C82345">
            <w:pPr>
              <w:jc w:val="center"/>
            </w:pPr>
            <w:r>
              <w:rPr>
                <w:color w:val="000000"/>
                <w:sz w:val="24"/>
                <w:szCs w:val="24"/>
              </w:rPr>
              <w:t>国金证券</w:t>
            </w:r>
          </w:p>
        </w:tc>
        <w:tc>
          <w:tcPr>
            <w:tcW w:w="1334" w:type="dxa"/>
            <w:vAlign w:val="center"/>
          </w:tcPr>
          <w:p w:rsidR="00462176" w:rsidRDefault="00C82345">
            <w:pPr>
              <w:jc w:val="right"/>
            </w:pPr>
            <w:r>
              <w:rPr>
                <w:color w:val="000000"/>
                <w:sz w:val="24"/>
                <w:szCs w:val="24"/>
              </w:rPr>
              <w:t>31,300</w:t>
            </w:r>
          </w:p>
        </w:tc>
        <w:tc>
          <w:tcPr>
            <w:tcW w:w="1924" w:type="dxa"/>
            <w:vAlign w:val="center"/>
          </w:tcPr>
          <w:p w:rsidR="00462176" w:rsidRDefault="00C82345">
            <w:pPr>
              <w:jc w:val="right"/>
            </w:pPr>
            <w:r>
              <w:rPr>
                <w:color w:val="000000"/>
                <w:sz w:val="24"/>
                <w:szCs w:val="24"/>
              </w:rPr>
              <w:t>731,168.00</w:t>
            </w:r>
          </w:p>
        </w:tc>
        <w:tc>
          <w:tcPr>
            <w:tcW w:w="1644" w:type="dxa"/>
            <w:vAlign w:val="center"/>
          </w:tcPr>
          <w:p w:rsidR="00462176" w:rsidRDefault="00C82345">
            <w:pPr>
              <w:jc w:val="right"/>
            </w:pPr>
            <w:r>
              <w:rPr>
                <w:color w:val="000000"/>
                <w:sz w:val="24"/>
                <w:szCs w:val="24"/>
              </w:rPr>
              <w:t>2.07</w:t>
            </w:r>
          </w:p>
        </w:tc>
      </w:tr>
      <w:tr w:rsidR="00462176">
        <w:trPr>
          <w:jc w:val="center"/>
        </w:trPr>
        <w:tc>
          <w:tcPr>
            <w:tcW w:w="855" w:type="dxa"/>
            <w:vAlign w:val="center"/>
          </w:tcPr>
          <w:p w:rsidR="00462176" w:rsidRDefault="00C82345">
            <w:pPr>
              <w:jc w:val="center"/>
            </w:pPr>
            <w:r>
              <w:rPr>
                <w:color w:val="000000"/>
                <w:sz w:val="24"/>
                <w:szCs w:val="24"/>
              </w:rPr>
              <w:t>7</w:t>
            </w:r>
          </w:p>
        </w:tc>
        <w:tc>
          <w:tcPr>
            <w:tcW w:w="1334" w:type="dxa"/>
            <w:vAlign w:val="center"/>
          </w:tcPr>
          <w:p w:rsidR="00462176" w:rsidRDefault="00C82345">
            <w:pPr>
              <w:jc w:val="center"/>
            </w:pPr>
            <w:r>
              <w:rPr>
                <w:color w:val="000000"/>
                <w:sz w:val="24"/>
                <w:szCs w:val="24"/>
              </w:rPr>
              <w:t>300005</w:t>
            </w:r>
          </w:p>
        </w:tc>
        <w:tc>
          <w:tcPr>
            <w:tcW w:w="1777" w:type="dxa"/>
            <w:vAlign w:val="center"/>
          </w:tcPr>
          <w:p w:rsidR="00462176" w:rsidRDefault="00C82345">
            <w:pPr>
              <w:jc w:val="center"/>
            </w:pPr>
            <w:r>
              <w:rPr>
                <w:color w:val="000000"/>
                <w:sz w:val="24"/>
                <w:szCs w:val="24"/>
              </w:rPr>
              <w:t>探路者</w:t>
            </w:r>
          </w:p>
        </w:tc>
        <w:tc>
          <w:tcPr>
            <w:tcW w:w="1334" w:type="dxa"/>
            <w:vAlign w:val="center"/>
          </w:tcPr>
          <w:p w:rsidR="00462176" w:rsidRDefault="00C82345">
            <w:pPr>
              <w:jc w:val="right"/>
            </w:pPr>
            <w:r>
              <w:rPr>
                <w:color w:val="000000"/>
                <w:sz w:val="24"/>
                <w:szCs w:val="24"/>
              </w:rPr>
              <w:t>41,435</w:t>
            </w:r>
          </w:p>
        </w:tc>
        <w:tc>
          <w:tcPr>
            <w:tcW w:w="1924" w:type="dxa"/>
            <w:vAlign w:val="center"/>
          </w:tcPr>
          <w:p w:rsidR="00462176" w:rsidRDefault="00C82345">
            <w:pPr>
              <w:jc w:val="right"/>
            </w:pPr>
            <w:r>
              <w:rPr>
                <w:color w:val="000000"/>
                <w:sz w:val="24"/>
                <w:szCs w:val="24"/>
              </w:rPr>
              <w:t>725,112.50</w:t>
            </w:r>
          </w:p>
        </w:tc>
        <w:tc>
          <w:tcPr>
            <w:tcW w:w="1644" w:type="dxa"/>
            <w:vAlign w:val="center"/>
          </w:tcPr>
          <w:p w:rsidR="00462176" w:rsidRDefault="00C82345">
            <w:pPr>
              <w:jc w:val="right"/>
            </w:pPr>
            <w:r>
              <w:rPr>
                <w:color w:val="000000"/>
                <w:sz w:val="24"/>
                <w:szCs w:val="24"/>
              </w:rPr>
              <w:t>2.06</w:t>
            </w:r>
          </w:p>
        </w:tc>
      </w:tr>
      <w:tr w:rsidR="00462176">
        <w:trPr>
          <w:jc w:val="center"/>
        </w:trPr>
        <w:tc>
          <w:tcPr>
            <w:tcW w:w="855" w:type="dxa"/>
            <w:vAlign w:val="center"/>
          </w:tcPr>
          <w:p w:rsidR="00462176" w:rsidRDefault="00C82345">
            <w:pPr>
              <w:jc w:val="center"/>
            </w:pPr>
            <w:r>
              <w:rPr>
                <w:color w:val="000000"/>
                <w:sz w:val="24"/>
                <w:szCs w:val="24"/>
              </w:rPr>
              <w:t>8</w:t>
            </w:r>
          </w:p>
        </w:tc>
        <w:tc>
          <w:tcPr>
            <w:tcW w:w="1334" w:type="dxa"/>
            <w:vAlign w:val="center"/>
          </w:tcPr>
          <w:p w:rsidR="00462176" w:rsidRDefault="00C82345">
            <w:pPr>
              <w:jc w:val="center"/>
            </w:pPr>
            <w:r>
              <w:rPr>
                <w:color w:val="000000"/>
                <w:sz w:val="24"/>
                <w:szCs w:val="24"/>
              </w:rPr>
              <w:t>300137</w:t>
            </w:r>
          </w:p>
        </w:tc>
        <w:tc>
          <w:tcPr>
            <w:tcW w:w="1777" w:type="dxa"/>
            <w:vAlign w:val="center"/>
          </w:tcPr>
          <w:p w:rsidR="00462176" w:rsidRDefault="00C82345">
            <w:pPr>
              <w:jc w:val="center"/>
            </w:pPr>
            <w:r>
              <w:rPr>
                <w:color w:val="000000"/>
                <w:sz w:val="24"/>
                <w:szCs w:val="24"/>
              </w:rPr>
              <w:t>先河环保</w:t>
            </w:r>
          </w:p>
        </w:tc>
        <w:tc>
          <w:tcPr>
            <w:tcW w:w="1334" w:type="dxa"/>
            <w:vAlign w:val="center"/>
          </w:tcPr>
          <w:p w:rsidR="00462176" w:rsidRDefault="00C82345">
            <w:pPr>
              <w:jc w:val="right"/>
            </w:pPr>
            <w:r>
              <w:rPr>
                <w:color w:val="000000"/>
                <w:sz w:val="24"/>
                <w:szCs w:val="24"/>
              </w:rPr>
              <w:t>36,744</w:t>
            </w:r>
          </w:p>
        </w:tc>
        <w:tc>
          <w:tcPr>
            <w:tcW w:w="1924" w:type="dxa"/>
            <w:vAlign w:val="center"/>
          </w:tcPr>
          <w:p w:rsidR="00462176" w:rsidRDefault="00C82345">
            <w:pPr>
              <w:jc w:val="right"/>
            </w:pPr>
            <w:r>
              <w:rPr>
                <w:color w:val="000000"/>
                <w:sz w:val="24"/>
                <w:szCs w:val="24"/>
              </w:rPr>
              <w:t>570,634.32</w:t>
            </w:r>
          </w:p>
        </w:tc>
        <w:tc>
          <w:tcPr>
            <w:tcW w:w="1644" w:type="dxa"/>
            <w:vAlign w:val="center"/>
          </w:tcPr>
          <w:p w:rsidR="00462176" w:rsidRDefault="00C82345">
            <w:pPr>
              <w:jc w:val="right"/>
            </w:pPr>
            <w:r>
              <w:rPr>
                <w:color w:val="000000"/>
                <w:sz w:val="24"/>
                <w:szCs w:val="24"/>
              </w:rPr>
              <w:t>1.62</w:t>
            </w:r>
          </w:p>
        </w:tc>
      </w:tr>
      <w:tr w:rsidR="00462176">
        <w:trPr>
          <w:jc w:val="center"/>
        </w:trPr>
        <w:tc>
          <w:tcPr>
            <w:tcW w:w="855" w:type="dxa"/>
            <w:vAlign w:val="center"/>
          </w:tcPr>
          <w:p w:rsidR="00462176" w:rsidRDefault="00C82345">
            <w:pPr>
              <w:jc w:val="center"/>
            </w:pPr>
            <w:r>
              <w:rPr>
                <w:color w:val="000000"/>
                <w:sz w:val="24"/>
                <w:szCs w:val="24"/>
              </w:rPr>
              <w:t>9</w:t>
            </w:r>
          </w:p>
        </w:tc>
        <w:tc>
          <w:tcPr>
            <w:tcW w:w="1334" w:type="dxa"/>
            <w:vAlign w:val="center"/>
          </w:tcPr>
          <w:p w:rsidR="00462176" w:rsidRDefault="00C82345">
            <w:pPr>
              <w:jc w:val="center"/>
            </w:pPr>
            <w:r>
              <w:rPr>
                <w:color w:val="000000"/>
                <w:sz w:val="24"/>
                <w:szCs w:val="24"/>
              </w:rPr>
              <w:t>600015</w:t>
            </w:r>
          </w:p>
        </w:tc>
        <w:tc>
          <w:tcPr>
            <w:tcW w:w="1777" w:type="dxa"/>
            <w:vAlign w:val="center"/>
          </w:tcPr>
          <w:p w:rsidR="00462176" w:rsidRDefault="00C82345">
            <w:pPr>
              <w:jc w:val="center"/>
            </w:pPr>
            <w:r>
              <w:rPr>
                <w:color w:val="000000"/>
                <w:sz w:val="24"/>
                <w:szCs w:val="24"/>
              </w:rPr>
              <w:t>华夏银行</w:t>
            </w:r>
          </w:p>
        </w:tc>
        <w:tc>
          <w:tcPr>
            <w:tcW w:w="1334" w:type="dxa"/>
            <w:vAlign w:val="center"/>
          </w:tcPr>
          <w:p w:rsidR="00462176" w:rsidRDefault="00C82345">
            <w:pPr>
              <w:jc w:val="right"/>
            </w:pPr>
            <w:r>
              <w:rPr>
                <w:color w:val="000000"/>
                <w:sz w:val="24"/>
                <w:szCs w:val="24"/>
              </w:rPr>
              <w:t>65,200</w:t>
            </w:r>
          </w:p>
        </w:tc>
        <w:tc>
          <w:tcPr>
            <w:tcW w:w="1924" w:type="dxa"/>
            <w:vAlign w:val="center"/>
          </w:tcPr>
          <w:p w:rsidR="00462176" w:rsidRDefault="00C82345">
            <w:pPr>
              <w:jc w:val="right"/>
            </w:pPr>
            <w:r>
              <w:rPr>
                <w:color w:val="000000"/>
                <w:sz w:val="24"/>
                <w:szCs w:val="24"/>
              </w:rPr>
              <w:t>553,548.00</w:t>
            </w:r>
          </w:p>
        </w:tc>
        <w:tc>
          <w:tcPr>
            <w:tcW w:w="1644" w:type="dxa"/>
            <w:vAlign w:val="center"/>
          </w:tcPr>
          <w:p w:rsidR="00462176" w:rsidRDefault="00C82345">
            <w:pPr>
              <w:jc w:val="right"/>
            </w:pPr>
            <w:r>
              <w:rPr>
                <w:color w:val="000000"/>
                <w:sz w:val="24"/>
                <w:szCs w:val="24"/>
              </w:rPr>
              <w:t>1.57</w:t>
            </w:r>
          </w:p>
        </w:tc>
      </w:tr>
      <w:tr w:rsidR="00462176">
        <w:trPr>
          <w:jc w:val="center"/>
        </w:trPr>
        <w:tc>
          <w:tcPr>
            <w:tcW w:w="855" w:type="dxa"/>
            <w:vAlign w:val="center"/>
          </w:tcPr>
          <w:p w:rsidR="00462176" w:rsidRDefault="00C82345">
            <w:pPr>
              <w:jc w:val="center"/>
            </w:pPr>
            <w:r>
              <w:rPr>
                <w:color w:val="000000"/>
                <w:sz w:val="24"/>
                <w:szCs w:val="24"/>
              </w:rPr>
              <w:t>10</w:t>
            </w:r>
          </w:p>
        </w:tc>
        <w:tc>
          <w:tcPr>
            <w:tcW w:w="1334" w:type="dxa"/>
            <w:vAlign w:val="center"/>
          </w:tcPr>
          <w:p w:rsidR="00462176" w:rsidRDefault="00C82345">
            <w:pPr>
              <w:jc w:val="center"/>
            </w:pPr>
            <w:r>
              <w:rPr>
                <w:color w:val="000000"/>
                <w:sz w:val="24"/>
                <w:szCs w:val="24"/>
              </w:rPr>
              <w:t>600816</w:t>
            </w:r>
          </w:p>
        </w:tc>
        <w:tc>
          <w:tcPr>
            <w:tcW w:w="1777" w:type="dxa"/>
            <w:vAlign w:val="center"/>
          </w:tcPr>
          <w:p w:rsidR="00462176" w:rsidRDefault="00C82345">
            <w:pPr>
              <w:jc w:val="center"/>
            </w:pPr>
            <w:r>
              <w:rPr>
                <w:color w:val="000000"/>
                <w:sz w:val="24"/>
                <w:szCs w:val="24"/>
              </w:rPr>
              <w:t>安信信托</w:t>
            </w:r>
          </w:p>
        </w:tc>
        <w:tc>
          <w:tcPr>
            <w:tcW w:w="1334" w:type="dxa"/>
            <w:vAlign w:val="center"/>
          </w:tcPr>
          <w:p w:rsidR="00462176" w:rsidRDefault="00C82345">
            <w:pPr>
              <w:jc w:val="right"/>
            </w:pPr>
            <w:r>
              <w:rPr>
                <w:color w:val="000000"/>
                <w:sz w:val="24"/>
                <w:szCs w:val="24"/>
              </w:rPr>
              <w:t>25,200</w:t>
            </w:r>
          </w:p>
        </w:tc>
        <w:tc>
          <w:tcPr>
            <w:tcW w:w="1924" w:type="dxa"/>
            <w:vAlign w:val="center"/>
          </w:tcPr>
          <w:p w:rsidR="00462176" w:rsidRDefault="00C82345">
            <w:pPr>
              <w:jc w:val="right"/>
            </w:pPr>
            <w:r>
              <w:rPr>
                <w:color w:val="000000"/>
                <w:sz w:val="24"/>
                <w:szCs w:val="24"/>
              </w:rPr>
              <w:t>542,808</w:t>
            </w:r>
            <w:bookmarkStart w:id="0" w:name="_GoBack"/>
            <w:bookmarkEnd w:id="0"/>
            <w:r>
              <w:rPr>
                <w:color w:val="000000"/>
                <w:sz w:val="24"/>
                <w:szCs w:val="24"/>
              </w:rPr>
              <w:t>.00</w:t>
            </w:r>
          </w:p>
        </w:tc>
        <w:tc>
          <w:tcPr>
            <w:tcW w:w="1644" w:type="dxa"/>
            <w:vAlign w:val="center"/>
          </w:tcPr>
          <w:p w:rsidR="00462176" w:rsidRDefault="00C82345">
            <w:pPr>
              <w:jc w:val="right"/>
            </w:pPr>
            <w:r>
              <w:rPr>
                <w:color w:val="000000"/>
                <w:sz w:val="24"/>
                <w:szCs w:val="24"/>
              </w:rPr>
              <w:t>1.54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24,900.00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884F18" w:rsidP="00C15CAC">
            <w:pPr>
              <w:spacing w:before="29" w:line="288" w:lineRule="auto"/>
              <w:ind w:left="17"/>
              <w:jc w:val="right"/>
              <w:rPr>
                <w:color w:val="000000"/>
                <w:sz w:val="24"/>
                <w:szCs w:val="24"/>
              </w:rPr>
            </w:pPr>
            <w:r>
              <w:rPr>
                <w:rFonts w:hint="eastAsia"/>
                <w:color w:val="000000"/>
                <w:sz w:val="24"/>
                <w:szCs w:val="24"/>
              </w:rPr>
              <w:t>-</w:t>
            </w:r>
          </w:p>
        </w:tc>
        <w:tc>
          <w:tcPr>
            <w:tcW w:w="1729" w:type="dxa"/>
            <w:vAlign w:val="center"/>
          </w:tcPr>
          <w:p w:rsidR="00AC592E" w:rsidRPr="00414345" w:rsidRDefault="00884F18" w:rsidP="00C15CAC">
            <w:pPr>
              <w:spacing w:before="29" w:line="288" w:lineRule="auto"/>
              <w:ind w:left="17"/>
              <w:jc w:val="right"/>
              <w:rPr>
                <w:color w:val="000000"/>
                <w:sz w:val="24"/>
                <w:szCs w:val="24"/>
              </w:rPr>
            </w:pPr>
            <w:r>
              <w:rPr>
                <w:rFonts w:hint="eastAsia"/>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24,900.00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62176">
        <w:trPr>
          <w:jc w:val="center"/>
        </w:trPr>
        <w:tc>
          <w:tcPr>
            <w:tcW w:w="850" w:type="dxa"/>
            <w:vAlign w:val="center"/>
          </w:tcPr>
          <w:p w:rsidR="00462176" w:rsidRDefault="00C82345">
            <w:pPr>
              <w:jc w:val="center"/>
            </w:pPr>
            <w:r>
              <w:rPr>
                <w:color w:val="000000"/>
                <w:sz w:val="24"/>
                <w:szCs w:val="24"/>
              </w:rPr>
              <w:t>1</w:t>
            </w:r>
          </w:p>
        </w:tc>
        <w:tc>
          <w:tcPr>
            <w:tcW w:w="1475" w:type="dxa"/>
            <w:vAlign w:val="center"/>
          </w:tcPr>
          <w:p w:rsidR="00462176" w:rsidRDefault="00C82345">
            <w:pPr>
              <w:jc w:val="center"/>
            </w:pPr>
            <w:r>
              <w:rPr>
                <w:color w:val="000000"/>
                <w:sz w:val="24"/>
                <w:szCs w:val="24"/>
              </w:rPr>
              <w:t>128008</w:t>
            </w:r>
          </w:p>
        </w:tc>
        <w:tc>
          <w:tcPr>
            <w:tcW w:w="1769" w:type="dxa"/>
            <w:vAlign w:val="center"/>
          </w:tcPr>
          <w:p w:rsidR="00462176" w:rsidRDefault="00C82345">
            <w:pPr>
              <w:jc w:val="center"/>
            </w:pPr>
            <w:r>
              <w:rPr>
                <w:color w:val="000000"/>
                <w:sz w:val="24"/>
                <w:szCs w:val="24"/>
              </w:rPr>
              <w:t>齐峰转债</w:t>
            </w:r>
          </w:p>
        </w:tc>
        <w:tc>
          <w:tcPr>
            <w:tcW w:w="1387" w:type="dxa"/>
            <w:vAlign w:val="center"/>
          </w:tcPr>
          <w:p w:rsidR="00462176" w:rsidRDefault="00C82345">
            <w:pPr>
              <w:jc w:val="right"/>
            </w:pPr>
            <w:r>
              <w:rPr>
                <w:color w:val="000000"/>
                <w:sz w:val="24"/>
                <w:szCs w:val="24"/>
              </w:rPr>
              <w:t>249</w:t>
            </w:r>
          </w:p>
        </w:tc>
        <w:tc>
          <w:tcPr>
            <w:tcW w:w="2150" w:type="dxa"/>
            <w:vAlign w:val="center"/>
          </w:tcPr>
          <w:p w:rsidR="00462176" w:rsidRDefault="00C82345">
            <w:pPr>
              <w:jc w:val="right"/>
            </w:pPr>
            <w:r>
              <w:rPr>
                <w:color w:val="000000"/>
                <w:sz w:val="24"/>
                <w:szCs w:val="24"/>
              </w:rPr>
              <w:t>24,900.00</w:t>
            </w:r>
          </w:p>
        </w:tc>
        <w:tc>
          <w:tcPr>
            <w:tcW w:w="1237" w:type="dxa"/>
            <w:vAlign w:val="center"/>
          </w:tcPr>
          <w:p w:rsidR="00462176" w:rsidRDefault="00C82345">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10,340.86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8,478.70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88,623.25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108,042.49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62176">
        <w:trPr>
          <w:jc w:val="center"/>
        </w:trPr>
        <w:tc>
          <w:tcPr>
            <w:tcW w:w="1129" w:type="dxa"/>
            <w:vAlign w:val="center"/>
          </w:tcPr>
          <w:p w:rsidR="00462176" w:rsidRDefault="00C82345">
            <w:pPr>
              <w:jc w:val="center"/>
            </w:pPr>
            <w:r>
              <w:rPr>
                <w:color w:val="000000"/>
                <w:sz w:val="24"/>
                <w:szCs w:val="24"/>
              </w:rPr>
              <w:t>1</w:t>
            </w:r>
          </w:p>
        </w:tc>
        <w:tc>
          <w:tcPr>
            <w:tcW w:w="1356" w:type="dxa"/>
            <w:vAlign w:val="center"/>
          </w:tcPr>
          <w:p w:rsidR="00462176" w:rsidRDefault="00C82345">
            <w:pPr>
              <w:jc w:val="center"/>
            </w:pPr>
            <w:r>
              <w:rPr>
                <w:color w:val="000000"/>
                <w:sz w:val="24"/>
                <w:szCs w:val="24"/>
              </w:rPr>
              <w:t>000592</w:t>
            </w:r>
          </w:p>
        </w:tc>
        <w:tc>
          <w:tcPr>
            <w:tcW w:w="1355" w:type="dxa"/>
            <w:vAlign w:val="center"/>
          </w:tcPr>
          <w:p w:rsidR="00462176" w:rsidRDefault="00C82345">
            <w:pPr>
              <w:jc w:val="center"/>
            </w:pPr>
            <w:r>
              <w:rPr>
                <w:color w:val="000000"/>
                <w:sz w:val="24"/>
                <w:szCs w:val="24"/>
              </w:rPr>
              <w:t>平潭发展</w:t>
            </w:r>
          </w:p>
        </w:tc>
        <w:tc>
          <w:tcPr>
            <w:tcW w:w="1880" w:type="dxa"/>
            <w:vAlign w:val="center"/>
          </w:tcPr>
          <w:p w:rsidR="00462176" w:rsidRDefault="00C82345">
            <w:pPr>
              <w:jc w:val="right"/>
            </w:pPr>
            <w:r>
              <w:rPr>
                <w:color w:val="000000"/>
                <w:sz w:val="24"/>
                <w:szCs w:val="24"/>
              </w:rPr>
              <w:t>1,004,715.00</w:t>
            </w:r>
          </w:p>
        </w:tc>
        <w:tc>
          <w:tcPr>
            <w:tcW w:w="1724" w:type="dxa"/>
            <w:vAlign w:val="center"/>
          </w:tcPr>
          <w:p w:rsidR="00462176" w:rsidRDefault="00C82345">
            <w:pPr>
              <w:jc w:val="right"/>
            </w:pPr>
            <w:r>
              <w:rPr>
                <w:color w:val="000000"/>
                <w:sz w:val="24"/>
                <w:szCs w:val="24"/>
              </w:rPr>
              <w:t>2.85</w:t>
            </w:r>
          </w:p>
        </w:tc>
        <w:tc>
          <w:tcPr>
            <w:tcW w:w="1424" w:type="dxa"/>
            <w:vAlign w:val="center"/>
          </w:tcPr>
          <w:p w:rsidR="00462176" w:rsidRPr="0041191E" w:rsidRDefault="0041191E">
            <w:pPr>
              <w:jc w:val="right"/>
              <w:rPr>
                <w:color w:val="000000"/>
                <w:sz w:val="24"/>
                <w:szCs w:val="24"/>
              </w:rPr>
            </w:pPr>
            <w:r w:rsidRPr="0041191E">
              <w:rPr>
                <w:rFonts w:hint="eastAsia"/>
                <w:color w:val="000000"/>
                <w:sz w:val="24"/>
                <w:szCs w:val="24"/>
              </w:rPr>
              <w:t>重大事项</w:t>
            </w:r>
          </w:p>
        </w:tc>
      </w:tr>
      <w:tr w:rsidR="00462176">
        <w:trPr>
          <w:jc w:val="center"/>
        </w:trPr>
        <w:tc>
          <w:tcPr>
            <w:tcW w:w="1129" w:type="dxa"/>
            <w:vAlign w:val="center"/>
          </w:tcPr>
          <w:p w:rsidR="00462176" w:rsidRDefault="00C82345">
            <w:pPr>
              <w:jc w:val="center"/>
            </w:pPr>
            <w:r>
              <w:rPr>
                <w:color w:val="000000"/>
                <w:sz w:val="24"/>
                <w:szCs w:val="24"/>
              </w:rPr>
              <w:t>2</w:t>
            </w:r>
          </w:p>
        </w:tc>
        <w:tc>
          <w:tcPr>
            <w:tcW w:w="1356" w:type="dxa"/>
            <w:vAlign w:val="center"/>
          </w:tcPr>
          <w:p w:rsidR="00462176" w:rsidRDefault="00C82345">
            <w:pPr>
              <w:jc w:val="center"/>
            </w:pPr>
            <w:r>
              <w:rPr>
                <w:color w:val="000000"/>
                <w:sz w:val="24"/>
                <w:szCs w:val="24"/>
              </w:rPr>
              <w:t>000768</w:t>
            </w:r>
          </w:p>
        </w:tc>
        <w:tc>
          <w:tcPr>
            <w:tcW w:w="1355" w:type="dxa"/>
            <w:vAlign w:val="center"/>
          </w:tcPr>
          <w:p w:rsidR="00462176" w:rsidRDefault="00C82345">
            <w:pPr>
              <w:jc w:val="center"/>
            </w:pPr>
            <w:r>
              <w:rPr>
                <w:color w:val="000000"/>
                <w:sz w:val="24"/>
                <w:szCs w:val="24"/>
              </w:rPr>
              <w:t>中航飞机</w:t>
            </w:r>
          </w:p>
        </w:tc>
        <w:tc>
          <w:tcPr>
            <w:tcW w:w="1880" w:type="dxa"/>
            <w:vAlign w:val="center"/>
          </w:tcPr>
          <w:p w:rsidR="00462176" w:rsidRDefault="00C82345">
            <w:pPr>
              <w:jc w:val="right"/>
            </w:pPr>
            <w:r>
              <w:rPr>
                <w:color w:val="000000"/>
                <w:sz w:val="24"/>
                <w:szCs w:val="24"/>
              </w:rPr>
              <w:t>985,296.00</w:t>
            </w:r>
          </w:p>
        </w:tc>
        <w:tc>
          <w:tcPr>
            <w:tcW w:w="1724" w:type="dxa"/>
            <w:vAlign w:val="center"/>
          </w:tcPr>
          <w:p w:rsidR="00462176" w:rsidRDefault="00C82345">
            <w:pPr>
              <w:jc w:val="right"/>
            </w:pPr>
            <w:r>
              <w:rPr>
                <w:color w:val="000000"/>
                <w:sz w:val="24"/>
                <w:szCs w:val="24"/>
              </w:rPr>
              <w:t>2.80</w:t>
            </w:r>
          </w:p>
        </w:tc>
        <w:tc>
          <w:tcPr>
            <w:tcW w:w="1424" w:type="dxa"/>
            <w:vAlign w:val="center"/>
          </w:tcPr>
          <w:p w:rsidR="00462176" w:rsidRPr="0041191E" w:rsidRDefault="0041191E">
            <w:pPr>
              <w:jc w:val="right"/>
              <w:rPr>
                <w:color w:val="000000"/>
                <w:sz w:val="24"/>
                <w:szCs w:val="24"/>
              </w:rPr>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33,332,065.78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1,482,342.62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4,395,446.07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30,418,962.33</w:t>
            </w:r>
          </w:p>
        </w:tc>
      </w:tr>
    </w:tbl>
    <w:p w:rsidR="00462176" w:rsidRDefault="00C823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2406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875"/>
        <w:gridCol w:w="2993"/>
      </w:tblGrid>
      <w:tr w:rsidR="00ED2620" w:rsidRPr="00ED2620" w:rsidTr="006415FF">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415FF">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415FF">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415FF">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7E64D8"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415FF">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7E64D8" w:rsidP="00C15CAC">
            <w:pPr>
              <w:spacing w:line="288" w:lineRule="auto"/>
              <w:jc w:val="right"/>
              <w:rPr>
                <w:rFonts w:eastAsiaTheme="minorEastAsia"/>
                <w:color w:val="000000"/>
                <w:kern w:val="0"/>
                <w:sz w:val="24"/>
                <w:szCs w:val="24"/>
              </w:rPr>
            </w:pPr>
            <w:r>
              <w:rPr>
                <w:rFonts w:eastAsiaTheme="minorEastAsia" w:hint="eastAsia"/>
                <w:color w:val="000000"/>
                <w:sz w:val="24"/>
              </w:rPr>
              <w:t>6</w:t>
            </w:r>
            <w:r w:rsidR="005B10CE">
              <w:rPr>
                <w:rFonts w:eastAsiaTheme="minorEastAsia" w:hint="eastAsia"/>
                <w:color w:val="000000"/>
                <w:sz w:val="24"/>
              </w:rPr>
              <w:t>5</w:t>
            </w:r>
            <w:r>
              <w:rPr>
                <w:rFonts w:eastAsiaTheme="minorEastAsia" w:hint="eastAsia"/>
                <w:color w:val="000000"/>
                <w:sz w:val="24"/>
              </w:rPr>
              <w:t>.</w:t>
            </w:r>
            <w:r w:rsidR="005B10CE">
              <w:rPr>
                <w:rFonts w:eastAsiaTheme="minorEastAsia" w:hint="eastAsia"/>
                <w:color w:val="000000"/>
                <w:sz w:val="24"/>
              </w:rPr>
              <w:t>77</w:t>
            </w:r>
          </w:p>
        </w:tc>
      </w:tr>
    </w:tbl>
    <w:p w:rsidR="00462176" w:rsidRDefault="00C8234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日起恢复按市场价格进行估值；本基金对其所持有的东华软件（证券代码：</w:t>
      </w:r>
      <w:r w:rsidRPr="00414345">
        <w:rPr>
          <w:color w:val="000000"/>
          <w:sz w:val="24"/>
          <w:szCs w:val="24"/>
        </w:rPr>
        <w:t>002065</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2406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62176" w:rsidRDefault="00C823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、《交银施罗德阿尔法核心股票型证券投资基金基金合同》；</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、《交银施罗德阿尔法核心股票型证券投资基金招募说明书》；</w:t>
      </w:r>
      <w:r>
        <w:rPr>
          <w:color w:val="000000"/>
          <w:sz w:val="24"/>
          <w:szCs w:val="24"/>
        </w:rPr>
        <w:t xml:space="preserve"> </w:t>
      </w:r>
    </w:p>
    <w:p w:rsidR="00462176" w:rsidRDefault="00C8234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、《交银施罗德阿尔法核心股票型证券投资基金托管协议》；</w:t>
      </w:r>
    </w:p>
    <w:p w:rsidR="00462176" w:rsidRDefault="00C8234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462176" w:rsidRDefault="00C8234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62176" w:rsidRDefault="00C8234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62176" w:rsidRDefault="00C8234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33448">
      <w:rPr>
        <w:kern w:val="0"/>
        <w:szCs w:val="21"/>
      </w:rPr>
      <w:fldChar w:fldCharType="begin"/>
    </w:r>
    <w:r>
      <w:rPr>
        <w:kern w:val="0"/>
        <w:szCs w:val="21"/>
      </w:rPr>
      <w:instrText xml:space="preserve"> PAGE </w:instrText>
    </w:r>
    <w:r w:rsidR="00933448">
      <w:rPr>
        <w:kern w:val="0"/>
        <w:szCs w:val="21"/>
      </w:rPr>
      <w:fldChar w:fldCharType="separate"/>
    </w:r>
    <w:r w:rsidR="000700A2">
      <w:rPr>
        <w:noProof/>
        <w:kern w:val="0"/>
        <w:szCs w:val="21"/>
      </w:rPr>
      <w:t>8</w:t>
    </w:r>
    <w:r w:rsidR="00933448">
      <w:rPr>
        <w:kern w:val="0"/>
        <w:szCs w:val="21"/>
      </w:rPr>
      <w:fldChar w:fldCharType="end"/>
    </w:r>
    <w:r>
      <w:rPr>
        <w:rFonts w:hint="eastAsia"/>
        <w:kern w:val="0"/>
        <w:szCs w:val="21"/>
      </w:rPr>
      <w:t>页共</w:t>
    </w:r>
    <w:r w:rsidR="00933448">
      <w:rPr>
        <w:kern w:val="0"/>
        <w:szCs w:val="21"/>
      </w:rPr>
      <w:fldChar w:fldCharType="begin"/>
    </w:r>
    <w:r>
      <w:rPr>
        <w:kern w:val="0"/>
        <w:szCs w:val="21"/>
      </w:rPr>
      <w:instrText xml:space="preserve"> NUMPAGES </w:instrText>
    </w:r>
    <w:r w:rsidR="00933448">
      <w:rPr>
        <w:kern w:val="0"/>
        <w:szCs w:val="21"/>
      </w:rPr>
      <w:fldChar w:fldCharType="separate"/>
    </w:r>
    <w:r w:rsidR="000700A2">
      <w:rPr>
        <w:noProof/>
        <w:kern w:val="0"/>
        <w:szCs w:val="21"/>
      </w:rPr>
      <w:t>11</w:t>
    </w:r>
    <w:r w:rsidR="0093344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700A2"/>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6370"/>
    <w:rsid w:val="001C79F2"/>
    <w:rsid w:val="001D6A4B"/>
    <w:rsid w:val="001E4630"/>
    <w:rsid w:val="001F0964"/>
    <w:rsid w:val="001F30DA"/>
    <w:rsid w:val="001F5DC5"/>
    <w:rsid w:val="00200FAB"/>
    <w:rsid w:val="00213821"/>
    <w:rsid w:val="00213DFB"/>
    <w:rsid w:val="00217B92"/>
    <w:rsid w:val="0022309F"/>
    <w:rsid w:val="00224294"/>
    <w:rsid w:val="002252DB"/>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5F2F"/>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191E"/>
    <w:rsid w:val="00414345"/>
    <w:rsid w:val="004149AC"/>
    <w:rsid w:val="0042009D"/>
    <w:rsid w:val="004216D2"/>
    <w:rsid w:val="00426096"/>
    <w:rsid w:val="00427F58"/>
    <w:rsid w:val="00433805"/>
    <w:rsid w:val="00443869"/>
    <w:rsid w:val="00460575"/>
    <w:rsid w:val="00462176"/>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10CE"/>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15FF"/>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4064"/>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E64D8"/>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4F18"/>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448"/>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34A"/>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3010"/>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2345"/>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1BA5FD10-66A4-4A39-B97A-0DB1DED6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F71E-0F7B-41FB-B95B-75178B66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10</cp:revision>
  <dcterms:created xsi:type="dcterms:W3CDTF">2014-10-15T07:25:00Z</dcterms:created>
  <dcterms:modified xsi:type="dcterms:W3CDTF">2014-10-21T03:15:00Z</dcterms:modified>
</cp:coreProperties>
</file>