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2014</w:t>
      </w:r>
      <w:r w:rsidRPr="006C615F">
        <w:rPr>
          <w:b/>
          <w:sz w:val="36"/>
          <w:szCs w:val="36"/>
        </w:rPr>
        <w:t>年第</w:t>
      </w:r>
      <w:r w:rsidRPr="006C615F">
        <w:rPr>
          <w:b/>
          <w:sz w:val="36"/>
          <w:szCs w:val="36"/>
        </w:rPr>
        <w:t>3</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2014</w:t>
      </w:r>
      <w:r w:rsidRPr="006C615F">
        <w:rPr>
          <w:b/>
          <w:sz w:val="36"/>
          <w:szCs w:val="36"/>
        </w:rPr>
        <w:t>年</w:t>
      </w:r>
      <w:r w:rsidRPr="006C615F">
        <w:rPr>
          <w:b/>
          <w:sz w:val="36"/>
          <w:szCs w:val="36"/>
        </w:rPr>
        <w:t>9</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二〇一四年十月二十四日</w:t>
      </w:r>
    </w:p>
    <w:p w:rsidR="00220542" w:rsidRPr="00324C76" w:rsidRDefault="00220542" w:rsidP="00AD203A">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BF73CF" w:rsidRDefault="0028410D">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F73CF" w:rsidRDefault="0028410D">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10</w:t>
      </w:r>
      <w:r>
        <w:rPr>
          <w:color w:val="000000"/>
          <w:sz w:val="24"/>
        </w:rPr>
        <w:t>月</w:t>
      </w:r>
      <w:r>
        <w:rPr>
          <w:color w:val="000000"/>
          <w:sz w:val="24"/>
        </w:rPr>
        <w:t>23</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F73CF" w:rsidRDefault="0028410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F73CF" w:rsidRDefault="0028410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F73CF" w:rsidRDefault="0028410D">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2014</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9</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AD203A">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479"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479"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64,433,855.70</w:t>
            </w:r>
            <w:r w:rsidR="0083349B" w:rsidRPr="00324C76">
              <w:rPr>
                <w:color w:val="000000"/>
                <w:kern w:val="0"/>
                <w:sz w:val="24"/>
              </w:rPr>
              <w:t>份</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AD203A">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28410D" w:rsidRPr="00324C76" w:rsidTr="0028410D">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2014</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w:t>
            </w:r>
            <w:r w:rsidRPr="00324C76">
              <w:rPr>
                <w:color w:val="000000"/>
                <w:sz w:val="24"/>
              </w:rPr>
              <w:t>-2014</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28410D" w:rsidRPr="00324C76" w:rsidTr="0028410D">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-297,357.35</w:t>
            </w:r>
          </w:p>
        </w:tc>
      </w:tr>
      <w:tr w:rsidR="0028410D" w:rsidRPr="00324C76" w:rsidTr="0028410D">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6,245,906.83</w:t>
            </w:r>
          </w:p>
        </w:tc>
      </w:tr>
      <w:tr w:rsidR="0028410D" w:rsidRPr="00324C76" w:rsidTr="0028410D">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0.1190</w:t>
            </w:r>
          </w:p>
        </w:tc>
      </w:tr>
      <w:tr w:rsidR="0028410D" w:rsidRPr="00324C76" w:rsidTr="0028410D">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64,730,963.66</w:t>
            </w:r>
          </w:p>
        </w:tc>
      </w:tr>
      <w:tr w:rsidR="0028410D" w:rsidRPr="00324C76" w:rsidTr="0028410D">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1.005</w:t>
            </w:r>
          </w:p>
        </w:tc>
      </w:tr>
    </w:tbl>
    <w:p w:rsidR="00BF73CF" w:rsidRDefault="0028410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BF73CF">
        <w:trPr>
          <w:jc w:val="center"/>
        </w:trPr>
        <w:tc>
          <w:tcPr>
            <w:tcW w:w="1469" w:type="dxa"/>
            <w:vAlign w:val="center"/>
          </w:tcPr>
          <w:p w:rsidR="00BF73CF" w:rsidRDefault="0028410D">
            <w:pPr>
              <w:jc w:val="left"/>
            </w:pPr>
            <w:r>
              <w:rPr>
                <w:color w:val="000000"/>
                <w:sz w:val="24"/>
              </w:rPr>
              <w:t>过去三个月</w:t>
            </w:r>
          </w:p>
        </w:tc>
        <w:tc>
          <w:tcPr>
            <w:tcW w:w="1150" w:type="dxa"/>
            <w:vAlign w:val="center"/>
          </w:tcPr>
          <w:p w:rsidR="00BF73CF" w:rsidRDefault="0028410D">
            <w:pPr>
              <w:jc w:val="center"/>
            </w:pPr>
            <w:r>
              <w:rPr>
                <w:color w:val="000000"/>
                <w:sz w:val="24"/>
              </w:rPr>
              <w:t>14.33%</w:t>
            </w:r>
          </w:p>
        </w:tc>
        <w:tc>
          <w:tcPr>
            <w:tcW w:w="1223" w:type="dxa"/>
            <w:vAlign w:val="center"/>
          </w:tcPr>
          <w:p w:rsidR="00BF73CF" w:rsidRDefault="0028410D">
            <w:pPr>
              <w:jc w:val="center"/>
            </w:pPr>
            <w:r>
              <w:rPr>
                <w:color w:val="000000"/>
                <w:sz w:val="24"/>
              </w:rPr>
              <w:t>0.88%</w:t>
            </w:r>
          </w:p>
        </w:tc>
        <w:tc>
          <w:tcPr>
            <w:tcW w:w="1244" w:type="dxa"/>
            <w:vAlign w:val="center"/>
          </w:tcPr>
          <w:p w:rsidR="00BF73CF" w:rsidRDefault="0028410D">
            <w:pPr>
              <w:jc w:val="center"/>
            </w:pPr>
            <w:r>
              <w:rPr>
                <w:color w:val="000000"/>
                <w:sz w:val="24"/>
              </w:rPr>
              <w:t>14.05%</w:t>
            </w:r>
          </w:p>
        </w:tc>
        <w:tc>
          <w:tcPr>
            <w:tcW w:w="1251" w:type="dxa"/>
            <w:vAlign w:val="center"/>
          </w:tcPr>
          <w:p w:rsidR="00BF73CF" w:rsidRDefault="0028410D">
            <w:pPr>
              <w:jc w:val="center"/>
            </w:pPr>
            <w:r>
              <w:rPr>
                <w:color w:val="000000"/>
                <w:sz w:val="24"/>
              </w:rPr>
              <w:t>0.90%</w:t>
            </w:r>
          </w:p>
        </w:tc>
        <w:tc>
          <w:tcPr>
            <w:tcW w:w="1263" w:type="dxa"/>
            <w:vAlign w:val="center"/>
          </w:tcPr>
          <w:p w:rsidR="00BF73CF" w:rsidRDefault="0028410D">
            <w:pPr>
              <w:jc w:val="center"/>
            </w:pPr>
            <w:r>
              <w:rPr>
                <w:color w:val="000000"/>
                <w:sz w:val="24"/>
              </w:rPr>
              <w:t>0.28%</w:t>
            </w:r>
          </w:p>
        </w:tc>
        <w:tc>
          <w:tcPr>
            <w:tcW w:w="1268" w:type="dxa"/>
            <w:vAlign w:val="center"/>
          </w:tcPr>
          <w:p w:rsidR="00BF73CF" w:rsidRDefault="0028410D">
            <w:pPr>
              <w:jc w:val="center"/>
            </w:pPr>
            <w:r>
              <w:rPr>
                <w:color w:val="000000"/>
                <w:sz w:val="24"/>
              </w:rPr>
              <w:t>-0.02%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F00C35" w:rsidRPr="00324C76">
        <w:rPr>
          <w:b/>
          <w:bCs/>
          <w:color w:val="000000"/>
          <w:sz w:val="24"/>
        </w:rPr>
        <w:t>自基金合同生效以来基金份额累计净值增长率变动及其与同期业绩比较基准收益率变动的比较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2014</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AD203A">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BF73CF">
        <w:trPr>
          <w:jc w:val="center"/>
        </w:trPr>
        <w:tc>
          <w:tcPr>
            <w:tcW w:w="846" w:type="dxa"/>
            <w:vAlign w:val="center"/>
          </w:tcPr>
          <w:p w:rsidR="00BF73CF" w:rsidRDefault="0028410D">
            <w:pPr>
              <w:jc w:val="center"/>
            </w:pPr>
            <w:r>
              <w:rPr>
                <w:color w:val="000000"/>
                <w:sz w:val="24"/>
              </w:rPr>
              <w:t>蔡铮</w:t>
            </w:r>
          </w:p>
        </w:tc>
        <w:tc>
          <w:tcPr>
            <w:tcW w:w="845" w:type="dxa"/>
            <w:vAlign w:val="center"/>
          </w:tcPr>
          <w:p w:rsidR="00BF73CF" w:rsidRDefault="0028410D">
            <w:pPr>
              <w:jc w:val="center"/>
            </w:pPr>
            <w:r>
              <w:rPr>
                <w:color w:val="000000"/>
                <w:sz w:val="24"/>
              </w:rPr>
              <w:t>本基金及深证</w:t>
            </w:r>
            <w:r>
              <w:rPr>
                <w:color w:val="000000"/>
                <w:sz w:val="24"/>
              </w:rPr>
              <w:t>300</w:t>
            </w:r>
            <w:r>
              <w:rPr>
                <w:color w:val="000000"/>
                <w:sz w:val="24"/>
              </w:rPr>
              <w:t>价值</w:t>
            </w:r>
            <w:r>
              <w:rPr>
                <w:color w:val="000000"/>
                <w:sz w:val="24"/>
              </w:rPr>
              <w:t>ETF</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549" w:type="dxa"/>
            <w:vAlign w:val="center"/>
          </w:tcPr>
          <w:p w:rsidR="00BF73CF" w:rsidRDefault="0028410D">
            <w:pPr>
              <w:jc w:val="center"/>
            </w:pPr>
            <w:r>
              <w:rPr>
                <w:color w:val="000000"/>
                <w:sz w:val="24"/>
              </w:rPr>
              <w:t>2012-12-27</w:t>
            </w:r>
          </w:p>
        </w:tc>
        <w:tc>
          <w:tcPr>
            <w:tcW w:w="1548" w:type="dxa"/>
            <w:vAlign w:val="center"/>
          </w:tcPr>
          <w:p w:rsidR="00BF73CF" w:rsidRDefault="0028410D">
            <w:pPr>
              <w:jc w:val="center"/>
            </w:pPr>
            <w:r>
              <w:rPr>
                <w:color w:val="000000"/>
                <w:sz w:val="24"/>
              </w:rPr>
              <w:t>-</w:t>
            </w:r>
          </w:p>
        </w:tc>
        <w:tc>
          <w:tcPr>
            <w:tcW w:w="1407" w:type="dxa"/>
            <w:vAlign w:val="center"/>
          </w:tcPr>
          <w:p w:rsidR="00BF73CF" w:rsidRDefault="0028410D">
            <w:pPr>
              <w:jc w:val="center"/>
            </w:pPr>
            <w:r>
              <w:rPr>
                <w:color w:val="000000"/>
                <w:sz w:val="24"/>
              </w:rPr>
              <w:t>5</w:t>
            </w:r>
            <w:r>
              <w:rPr>
                <w:color w:val="000000"/>
                <w:sz w:val="24"/>
              </w:rPr>
              <w:t>年</w:t>
            </w:r>
          </w:p>
        </w:tc>
        <w:tc>
          <w:tcPr>
            <w:tcW w:w="2673" w:type="dxa"/>
            <w:vAlign w:val="center"/>
          </w:tcPr>
          <w:p w:rsidR="00BF73CF" w:rsidRDefault="0028410D">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 xml:space="preserve"> </w:t>
      </w:r>
      <w:r w:rsidRPr="00324C76">
        <w:rPr>
          <w:sz w:val="24"/>
        </w:rPr>
        <w:t>公平交易制度的执行情况</w:t>
      </w:r>
    </w:p>
    <w:p w:rsidR="00BF73CF" w:rsidRDefault="0028410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F73CF" w:rsidRDefault="0028410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F73CF" w:rsidRDefault="0028410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w:t>
      </w:r>
      <w:r w:rsidRPr="00324C76">
        <w:rPr>
          <w:color w:val="000000"/>
          <w:sz w:val="24"/>
        </w:rPr>
        <w:t>,</w:t>
      </w:r>
      <w:r w:rsidRPr="00324C76">
        <w:rPr>
          <w:color w:val="000000"/>
          <w:sz w:val="24"/>
        </w:rPr>
        <w:t>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BF73CF" w:rsidRDefault="0028410D">
      <w:pPr>
        <w:spacing w:before="29" w:line="288" w:lineRule="auto"/>
        <w:ind w:firstLineChars="200" w:firstLine="480"/>
        <w:rPr>
          <w:color w:val="000000"/>
          <w:sz w:val="24"/>
        </w:rPr>
      </w:pPr>
      <w:r>
        <w:rPr>
          <w:color w:val="000000"/>
          <w:sz w:val="24"/>
        </w:rPr>
        <w:t>2014</w:t>
      </w:r>
      <w:r>
        <w:rPr>
          <w:color w:val="000000"/>
          <w:sz w:val="24"/>
        </w:rPr>
        <w:t>年第三季度，国内经济增速整体企稳，流动性宽松，各项改革出现加速迹象。在这种经济环境下，资本市场中无论是周期蓝筹股还是中小市值股均一定程度上受益，总体反应积极。本基金为跟踪基准指数的指数基金，在本季度内获得较为可喜的上涨。</w:t>
      </w:r>
    </w:p>
    <w:p w:rsidR="004D6E34" w:rsidRPr="00324C76" w:rsidRDefault="00E27AF2" w:rsidP="00B04217">
      <w:pPr>
        <w:spacing w:before="29" w:line="288" w:lineRule="auto"/>
        <w:ind w:firstLineChars="200" w:firstLine="480"/>
        <w:rPr>
          <w:color w:val="000000"/>
          <w:sz w:val="24"/>
        </w:rPr>
      </w:pPr>
      <w:r w:rsidRPr="00324C76">
        <w:rPr>
          <w:color w:val="000000"/>
          <w:sz w:val="24"/>
        </w:rPr>
        <w:t>展望未来，在微刺激的经济政策背景下，预计货币政策仍将保持相对稳定，经济增速较为平稳，股市在温和的外部环境下预计整体风险不大。在整体政策着力于改革与结构调整的大趋势下，市场或将进入良性可持续的发展阶段。</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2014</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1.005</w:t>
      </w:r>
      <w:r w:rsidRPr="00324C76">
        <w:rPr>
          <w:color w:val="000000"/>
          <w:sz w:val="24"/>
        </w:rPr>
        <w:t>元，本报告期份额净值增长率为</w:t>
      </w:r>
      <w:r w:rsidRPr="00324C76">
        <w:rPr>
          <w:color w:val="000000"/>
          <w:sz w:val="24"/>
        </w:rPr>
        <w:t>14.33%</w:t>
      </w:r>
      <w:r w:rsidRPr="00324C76">
        <w:rPr>
          <w:color w:val="000000"/>
          <w:sz w:val="24"/>
        </w:rPr>
        <w:t>，同期业绩比较</w:t>
      </w:r>
      <w:bookmarkStart w:id="1" w:name="_GoBack"/>
      <w:bookmarkEnd w:id="1"/>
      <w:r w:rsidRPr="00324C76">
        <w:rPr>
          <w:color w:val="000000"/>
          <w:sz w:val="24"/>
        </w:rPr>
        <w:t>基准增长率为</w:t>
      </w:r>
      <w:r w:rsidRPr="00324C76">
        <w:rPr>
          <w:color w:val="000000"/>
          <w:sz w:val="24"/>
        </w:rPr>
        <w:t>14.05%</w:t>
      </w:r>
      <w:r w:rsidRPr="00324C76">
        <w:rPr>
          <w:color w:val="000000"/>
          <w:sz w:val="24"/>
        </w:rPr>
        <w:t>。本报告期内本基金的日均跟踪偏离度为</w:t>
      </w:r>
      <w:r w:rsidRPr="00324C76">
        <w:rPr>
          <w:color w:val="000000"/>
          <w:sz w:val="24"/>
        </w:rPr>
        <w:t>0.06%</w:t>
      </w:r>
      <w:r w:rsidRPr="00324C76">
        <w:rPr>
          <w:color w:val="000000"/>
          <w:sz w:val="24"/>
        </w:rPr>
        <w:t>，跟踪误差为</w:t>
      </w:r>
      <w:r w:rsidRPr="00324C76">
        <w:rPr>
          <w:color w:val="000000"/>
          <w:sz w:val="24"/>
        </w:rPr>
        <w:t>0.07%</w:t>
      </w:r>
      <w:r w:rsidRPr="00324C76">
        <w:rPr>
          <w:color w:val="000000"/>
          <w:sz w:val="24"/>
        </w:rPr>
        <w:t>。</w:t>
      </w:r>
    </w:p>
    <w:p w:rsidR="008A22A5" w:rsidRPr="00324C76" w:rsidRDefault="008A22A5" w:rsidP="00B04217">
      <w:pPr>
        <w:spacing w:before="29" w:line="288" w:lineRule="auto"/>
        <w:rPr>
          <w:kern w:val="0"/>
          <w:sz w:val="24"/>
        </w:rPr>
      </w:pPr>
    </w:p>
    <w:p w:rsidR="00220542" w:rsidRPr="00324C76" w:rsidRDefault="00220542" w:rsidP="00AD203A">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797,203.16</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1.20</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797,203.16</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1.20</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60,037,352.50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90.53</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4,085,191.46</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6.16</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1,399,374.22</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2.11</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66,319,121.34</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BF73CF">
        <w:trPr>
          <w:jc w:val="center"/>
        </w:trPr>
        <w:tc>
          <w:tcPr>
            <w:tcW w:w="1265" w:type="dxa"/>
            <w:vAlign w:val="center"/>
          </w:tcPr>
          <w:p w:rsidR="00BF73CF" w:rsidRDefault="0028410D">
            <w:pPr>
              <w:jc w:val="center"/>
            </w:pPr>
            <w:r>
              <w:rPr>
                <w:sz w:val="24"/>
              </w:rPr>
              <w:t>1</w:t>
            </w:r>
          </w:p>
        </w:tc>
        <w:tc>
          <w:tcPr>
            <w:tcW w:w="1266" w:type="dxa"/>
            <w:vAlign w:val="center"/>
          </w:tcPr>
          <w:p w:rsidR="00BF73CF" w:rsidRDefault="0028410D">
            <w:pPr>
              <w:jc w:val="center"/>
            </w:pPr>
            <w:r>
              <w:rPr>
                <w:sz w:val="24"/>
              </w:rPr>
              <w:t>深证</w:t>
            </w:r>
            <w:r>
              <w:rPr>
                <w:sz w:val="24"/>
              </w:rPr>
              <w:t>300</w:t>
            </w:r>
            <w:r>
              <w:rPr>
                <w:sz w:val="24"/>
              </w:rPr>
              <w:t>价值交易型开放式指数证券投资基金</w:t>
            </w:r>
          </w:p>
        </w:tc>
        <w:tc>
          <w:tcPr>
            <w:tcW w:w="1267" w:type="dxa"/>
            <w:vAlign w:val="center"/>
          </w:tcPr>
          <w:p w:rsidR="00BF73CF" w:rsidRDefault="0028410D">
            <w:pPr>
              <w:jc w:val="center"/>
            </w:pPr>
            <w:r>
              <w:rPr>
                <w:sz w:val="24"/>
              </w:rPr>
              <w:t>股票型</w:t>
            </w:r>
          </w:p>
        </w:tc>
        <w:tc>
          <w:tcPr>
            <w:tcW w:w="1267" w:type="dxa"/>
            <w:vAlign w:val="center"/>
          </w:tcPr>
          <w:p w:rsidR="00BF73CF" w:rsidRDefault="0028410D">
            <w:pPr>
              <w:jc w:val="center"/>
            </w:pPr>
            <w:r>
              <w:rPr>
                <w:sz w:val="24"/>
              </w:rPr>
              <w:t>交易型开放式</w:t>
            </w:r>
          </w:p>
        </w:tc>
        <w:tc>
          <w:tcPr>
            <w:tcW w:w="1267" w:type="dxa"/>
            <w:vAlign w:val="center"/>
          </w:tcPr>
          <w:p w:rsidR="00BF73CF" w:rsidRDefault="0028410D">
            <w:pPr>
              <w:jc w:val="center"/>
            </w:pPr>
            <w:r>
              <w:rPr>
                <w:sz w:val="24"/>
              </w:rPr>
              <w:t>交银施罗德基金管理有限公司</w:t>
            </w:r>
          </w:p>
        </w:tc>
        <w:tc>
          <w:tcPr>
            <w:tcW w:w="1268" w:type="dxa"/>
            <w:vAlign w:val="center"/>
          </w:tcPr>
          <w:p w:rsidR="00BF73CF" w:rsidRDefault="0028410D">
            <w:pPr>
              <w:jc w:val="right"/>
            </w:pPr>
            <w:r>
              <w:rPr>
                <w:sz w:val="24"/>
              </w:rPr>
              <w:t>60,037,352.50</w:t>
            </w:r>
          </w:p>
        </w:tc>
        <w:tc>
          <w:tcPr>
            <w:tcW w:w="1268" w:type="dxa"/>
            <w:vAlign w:val="center"/>
          </w:tcPr>
          <w:p w:rsidR="00BF73CF" w:rsidRDefault="0028410D">
            <w:pPr>
              <w:jc w:val="right"/>
            </w:pPr>
            <w:r>
              <w:rPr>
                <w:sz w:val="24"/>
              </w:rPr>
              <w:t>92.75</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28410D">
            <w:pPr>
              <w:spacing w:before="29" w:line="288" w:lineRule="auto"/>
              <w:jc w:val="right"/>
              <w:rPr>
                <w:sz w:val="24"/>
              </w:rPr>
            </w:pPr>
            <w:r w:rsidRPr="00324C76">
              <w:rPr>
                <w:sz w:val="24"/>
              </w:rPr>
              <w:t>22,674.00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28410D">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503,361.18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0.78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30,774.20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8,631.65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7,486.47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11,278.94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3,680.85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70,040.07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116,643.45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7,672.10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14,960.25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797,203.16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1.23</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BF73CF">
        <w:trPr>
          <w:jc w:val="center"/>
        </w:trPr>
        <w:tc>
          <w:tcPr>
            <w:tcW w:w="849" w:type="dxa"/>
            <w:vAlign w:val="center"/>
          </w:tcPr>
          <w:p w:rsidR="00BF73CF" w:rsidRDefault="0028410D">
            <w:pPr>
              <w:jc w:val="center"/>
            </w:pPr>
            <w:r>
              <w:rPr>
                <w:color w:val="000000"/>
                <w:sz w:val="24"/>
              </w:rPr>
              <w:t>1</w:t>
            </w:r>
          </w:p>
        </w:tc>
        <w:tc>
          <w:tcPr>
            <w:tcW w:w="1327" w:type="dxa"/>
            <w:vAlign w:val="center"/>
          </w:tcPr>
          <w:p w:rsidR="00BF73CF" w:rsidRDefault="0028410D">
            <w:pPr>
              <w:jc w:val="center"/>
            </w:pPr>
            <w:r>
              <w:rPr>
                <w:color w:val="000000"/>
                <w:sz w:val="24"/>
              </w:rPr>
              <w:t>000002</w:t>
            </w:r>
          </w:p>
        </w:tc>
        <w:tc>
          <w:tcPr>
            <w:tcW w:w="1621" w:type="dxa"/>
            <w:vAlign w:val="center"/>
          </w:tcPr>
          <w:p w:rsidR="00BF73CF" w:rsidRDefault="0028410D">
            <w:pPr>
              <w:jc w:val="center"/>
            </w:pPr>
            <w:r>
              <w:rPr>
                <w:color w:val="000000"/>
                <w:sz w:val="24"/>
              </w:rPr>
              <w:t>万</w:t>
            </w:r>
            <w:r>
              <w:rPr>
                <w:color w:val="000000"/>
                <w:sz w:val="24"/>
              </w:rPr>
              <w:t xml:space="preserve">  </w:t>
            </w:r>
            <w:r>
              <w:rPr>
                <w:color w:val="000000"/>
                <w:sz w:val="24"/>
              </w:rPr>
              <w:t>科Ａ</w:t>
            </w:r>
          </w:p>
        </w:tc>
        <w:tc>
          <w:tcPr>
            <w:tcW w:w="1769" w:type="dxa"/>
            <w:vAlign w:val="center"/>
          </w:tcPr>
          <w:p w:rsidR="00BF73CF" w:rsidRDefault="0028410D">
            <w:pPr>
              <w:jc w:val="right"/>
            </w:pPr>
            <w:r>
              <w:rPr>
                <w:color w:val="000000"/>
                <w:sz w:val="24"/>
              </w:rPr>
              <w:t>7,040</w:t>
            </w:r>
          </w:p>
        </w:tc>
        <w:tc>
          <w:tcPr>
            <w:tcW w:w="2211" w:type="dxa"/>
            <w:vAlign w:val="center"/>
          </w:tcPr>
          <w:p w:rsidR="00BF73CF" w:rsidRDefault="0028410D">
            <w:pPr>
              <w:jc w:val="right"/>
            </w:pPr>
            <w:r>
              <w:rPr>
                <w:color w:val="000000"/>
                <w:sz w:val="24"/>
              </w:rPr>
              <w:t>64,627.20</w:t>
            </w:r>
          </w:p>
        </w:tc>
        <w:tc>
          <w:tcPr>
            <w:tcW w:w="1091" w:type="dxa"/>
            <w:vAlign w:val="center"/>
          </w:tcPr>
          <w:p w:rsidR="00BF73CF" w:rsidRDefault="0028410D">
            <w:pPr>
              <w:jc w:val="right"/>
            </w:pPr>
            <w:r>
              <w:rPr>
                <w:color w:val="000000"/>
                <w:sz w:val="24"/>
              </w:rPr>
              <w:t>0.10</w:t>
            </w:r>
          </w:p>
        </w:tc>
      </w:tr>
      <w:tr w:rsidR="00BF73CF">
        <w:trPr>
          <w:jc w:val="center"/>
        </w:trPr>
        <w:tc>
          <w:tcPr>
            <w:tcW w:w="849" w:type="dxa"/>
            <w:vAlign w:val="center"/>
          </w:tcPr>
          <w:p w:rsidR="00BF73CF" w:rsidRDefault="0028410D">
            <w:pPr>
              <w:jc w:val="center"/>
            </w:pPr>
            <w:r>
              <w:rPr>
                <w:color w:val="000000"/>
                <w:sz w:val="24"/>
              </w:rPr>
              <w:t>2</w:t>
            </w:r>
          </w:p>
        </w:tc>
        <w:tc>
          <w:tcPr>
            <w:tcW w:w="1327" w:type="dxa"/>
            <w:vAlign w:val="center"/>
          </w:tcPr>
          <w:p w:rsidR="00BF73CF" w:rsidRDefault="0028410D">
            <w:pPr>
              <w:jc w:val="center"/>
            </w:pPr>
            <w:r>
              <w:rPr>
                <w:color w:val="000000"/>
                <w:sz w:val="24"/>
              </w:rPr>
              <w:t>000651</w:t>
            </w:r>
          </w:p>
        </w:tc>
        <w:tc>
          <w:tcPr>
            <w:tcW w:w="1621" w:type="dxa"/>
            <w:vAlign w:val="center"/>
          </w:tcPr>
          <w:p w:rsidR="00BF73CF" w:rsidRDefault="0028410D">
            <w:pPr>
              <w:jc w:val="center"/>
            </w:pPr>
            <w:r>
              <w:rPr>
                <w:color w:val="000000"/>
                <w:sz w:val="24"/>
              </w:rPr>
              <w:t>格力电器</w:t>
            </w:r>
          </w:p>
        </w:tc>
        <w:tc>
          <w:tcPr>
            <w:tcW w:w="1769" w:type="dxa"/>
            <w:vAlign w:val="center"/>
          </w:tcPr>
          <w:p w:rsidR="00BF73CF" w:rsidRDefault="0028410D">
            <w:pPr>
              <w:jc w:val="right"/>
            </w:pPr>
            <w:r>
              <w:rPr>
                <w:color w:val="000000"/>
                <w:sz w:val="24"/>
              </w:rPr>
              <w:t>1,871</w:t>
            </w:r>
          </w:p>
        </w:tc>
        <w:tc>
          <w:tcPr>
            <w:tcW w:w="2211" w:type="dxa"/>
            <w:vAlign w:val="center"/>
          </w:tcPr>
          <w:p w:rsidR="00BF73CF" w:rsidRDefault="0028410D">
            <w:pPr>
              <w:jc w:val="right"/>
            </w:pPr>
            <w:r>
              <w:rPr>
                <w:color w:val="000000"/>
                <w:sz w:val="24"/>
              </w:rPr>
              <w:t>51,882.83</w:t>
            </w:r>
          </w:p>
        </w:tc>
        <w:tc>
          <w:tcPr>
            <w:tcW w:w="1091" w:type="dxa"/>
            <w:vAlign w:val="center"/>
          </w:tcPr>
          <w:p w:rsidR="00BF73CF" w:rsidRDefault="0028410D">
            <w:pPr>
              <w:jc w:val="right"/>
            </w:pPr>
            <w:r>
              <w:rPr>
                <w:color w:val="000000"/>
                <w:sz w:val="24"/>
              </w:rPr>
              <w:t>0.08</w:t>
            </w:r>
          </w:p>
        </w:tc>
      </w:tr>
      <w:tr w:rsidR="00BF73CF">
        <w:trPr>
          <w:jc w:val="center"/>
        </w:trPr>
        <w:tc>
          <w:tcPr>
            <w:tcW w:w="849" w:type="dxa"/>
            <w:vAlign w:val="center"/>
          </w:tcPr>
          <w:p w:rsidR="00BF73CF" w:rsidRDefault="0028410D">
            <w:pPr>
              <w:jc w:val="center"/>
            </w:pPr>
            <w:r>
              <w:rPr>
                <w:color w:val="000000"/>
                <w:sz w:val="24"/>
              </w:rPr>
              <w:t>3</w:t>
            </w:r>
          </w:p>
        </w:tc>
        <w:tc>
          <w:tcPr>
            <w:tcW w:w="1327" w:type="dxa"/>
            <w:vAlign w:val="center"/>
          </w:tcPr>
          <w:p w:rsidR="00BF73CF" w:rsidRDefault="0028410D">
            <w:pPr>
              <w:jc w:val="center"/>
            </w:pPr>
            <w:r>
              <w:rPr>
                <w:color w:val="000000"/>
                <w:sz w:val="24"/>
              </w:rPr>
              <w:t>000001</w:t>
            </w:r>
          </w:p>
        </w:tc>
        <w:tc>
          <w:tcPr>
            <w:tcW w:w="1621" w:type="dxa"/>
            <w:vAlign w:val="center"/>
          </w:tcPr>
          <w:p w:rsidR="00BF73CF" w:rsidRDefault="0028410D">
            <w:pPr>
              <w:jc w:val="center"/>
            </w:pPr>
            <w:r>
              <w:rPr>
                <w:color w:val="000000"/>
                <w:sz w:val="24"/>
              </w:rPr>
              <w:t>平安银行</w:t>
            </w:r>
          </w:p>
        </w:tc>
        <w:tc>
          <w:tcPr>
            <w:tcW w:w="1769" w:type="dxa"/>
            <w:vAlign w:val="center"/>
          </w:tcPr>
          <w:p w:rsidR="00BF73CF" w:rsidRDefault="0028410D">
            <w:pPr>
              <w:jc w:val="right"/>
            </w:pPr>
            <w:r>
              <w:rPr>
                <w:color w:val="000000"/>
                <w:sz w:val="24"/>
              </w:rPr>
              <w:t>4,112</w:t>
            </w:r>
          </w:p>
        </w:tc>
        <w:tc>
          <w:tcPr>
            <w:tcW w:w="2211" w:type="dxa"/>
            <w:vAlign w:val="center"/>
          </w:tcPr>
          <w:p w:rsidR="00BF73CF" w:rsidRDefault="0028410D">
            <w:pPr>
              <w:jc w:val="right"/>
            </w:pPr>
            <w:r>
              <w:rPr>
                <w:color w:val="000000"/>
                <w:sz w:val="24"/>
              </w:rPr>
              <w:t>41,695.68</w:t>
            </w:r>
          </w:p>
        </w:tc>
        <w:tc>
          <w:tcPr>
            <w:tcW w:w="1091" w:type="dxa"/>
            <w:vAlign w:val="center"/>
          </w:tcPr>
          <w:p w:rsidR="00BF73CF" w:rsidRDefault="0028410D">
            <w:pPr>
              <w:jc w:val="right"/>
            </w:pPr>
            <w:r>
              <w:rPr>
                <w:color w:val="000000"/>
                <w:sz w:val="24"/>
              </w:rPr>
              <w:t>0.06</w:t>
            </w:r>
          </w:p>
        </w:tc>
      </w:tr>
      <w:tr w:rsidR="00BF73CF">
        <w:trPr>
          <w:jc w:val="center"/>
        </w:trPr>
        <w:tc>
          <w:tcPr>
            <w:tcW w:w="849" w:type="dxa"/>
            <w:vAlign w:val="center"/>
          </w:tcPr>
          <w:p w:rsidR="00BF73CF" w:rsidRDefault="0028410D">
            <w:pPr>
              <w:jc w:val="center"/>
            </w:pPr>
            <w:r>
              <w:rPr>
                <w:color w:val="000000"/>
                <w:sz w:val="24"/>
              </w:rPr>
              <w:t>4</w:t>
            </w:r>
          </w:p>
        </w:tc>
        <w:tc>
          <w:tcPr>
            <w:tcW w:w="1327" w:type="dxa"/>
            <w:vAlign w:val="center"/>
          </w:tcPr>
          <w:p w:rsidR="00BF73CF" w:rsidRDefault="0028410D">
            <w:pPr>
              <w:jc w:val="center"/>
            </w:pPr>
            <w:r>
              <w:rPr>
                <w:color w:val="000000"/>
                <w:sz w:val="24"/>
              </w:rPr>
              <w:t>000333</w:t>
            </w:r>
          </w:p>
        </w:tc>
        <w:tc>
          <w:tcPr>
            <w:tcW w:w="1621" w:type="dxa"/>
            <w:vAlign w:val="center"/>
          </w:tcPr>
          <w:p w:rsidR="00BF73CF" w:rsidRDefault="0028410D">
            <w:pPr>
              <w:jc w:val="center"/>
            </w:pPr>
            <w:r>
              <w:rPr>
                <w:color w:val="000000"/>
                <w:sz w:val="24"/>
              </w:rPr>
              <w:t>美的集团</w:t>
            </w:r>
          </w:p>
        </w:tc>
        <w:tc>
          <w:tcPr>
            <w:tcW w:w="1769" w:type="dxa"/>
            <w:vAlign w:val="center"/>
          </w:tcPr>
          <w:p w:rsidR="00BF73CF" w:rsidRDefault="0028410D">
            <w:pPr>
              <w:jc w:val="right"/>
            </w:pPr>
            <w:r>
              <w:rPr>
                <w:color w:val="000000"/>
                <w:sz w:val="24"/>
              </w:rPr>
              <w:t>1,504</w:t>
            </w:r>
          </w:p>
        </w:tc>
        <w:tc>
          <w:tcPr>
            <w:tcW w:w="2211" w:type="dxa"/>
            <w:vAlign w:val="center"/>
          </w:tcPr>
          <w:p w:rsidR="00BF73CF" w:rsidRDefault="0028410D">
            <w:pPr>
              <w:jc w:val="right"/>
            </w:pPr>
            <w:r>
              <w:rPr>
                <w:color w:val="000000"/>
                <w:sz w:val="24"/>
              </w:rPr>
              <w:t>29,914.56</w:t>
            </w:r>
          </w:p>
        </w:tc>
        <w:tc>
          <w:tcPr>
            <w:tcW w:w="1091" w:type="dxa"/>
            <w:vAlign w:val="center"/>
          </w:tcPr>
          <w:p w:rsidR="00BF73CF" w:rsidRDefault="0028410D">
            <w:pPr>
              <w:jc w:val="right"/>
            </w:pPr>
            <w:r>
              <w:rPr>
                <w:color w:val="000000"/>
                <w:sz w:val="24"/>
              </w:rPr>
              <w:t>0.05</w:t>
            </w:r>
          </w:p>
        </w:tc>
      </w:tr>
      <w:tr w:rsidR="00BF73CF">
        <w:trPr>
          <w:jc w:val="center"/>
        </w:trPr>
        <w:tc>
          <w:tcPr>
            <w:tcW w:w="849" w:type="dxa"/>
            <w:vAlign w:val="center"/>
          </w:tcPr>
          <w:p w:rsidR="00BF73CF" w:rsidRDefault="0028410D">
            <w:pPr>
              <w:jc w:val="center"/>
            </w:pPr>
            <w:r>
              <w:rPr>
                <w:color w:val="000000"/>
                <w:sz w:val="24"/>
              </w:rPr>
              <w:t>5</w:t>
            </w:r>
          </w:p>
        </w:tc>
        <w:tc>
          <w:tcPr>
            <w:tcW w:w="1327" w:type="dxa"/>
            <w:vAlign w:val="center"/>
          </w:tcPr>
          <w:p w:rsidR="00BF73CF" w:rsidRDefault="0028410D">
            <w:pPr>
              <w:jc w:val="center"/>
            </w:pPr>
            <w:r>
              <w:rPr>
                <w:color w:val="000000"/>
                <w:sz w:val="24"/>
              </w:rPr>
              <w:t>000858</w:t>
            </w:r>
          </w:p>
        </w:tc>
        <w:tc>
          <w:tcPr>
            <w:tcW w:w="1621" w:type="dxa"/>
            <w:vAlign w:val="center"/>
          </w:tcPr>
          <w:p w:rsidR="00BF73CF" w:rsidRDefault="0028410D">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769" w:type="dxa"/>
            <w:vAlign w:val="center"/>
          </w:tcPr>
          <w:p w:rsidR="00BF73CF" w:rsidRDefault="0028410D">
            <w:pPr>
              <w:jc w:val="right"/>
            </w:pPr>
            <w:r>
              <w:rPr>
                <w:color w:val="000000"/>
                <w:sz w:val="24"/>
              </w:rPr>
              <w:t>1,462</w:t>
            </w:r>
          </w:p>
        </w:tc>
        <w:tc>
          <w:tcPr>
            <w:tcW w:w="2211" w:type="dxa"/>
            <w:vAlign w:val="center"/>
          </w:tcPr>
          <w:p w:rsidR="00BF73CF" w:rsidRDefault="0028410D">
            <w:pPr>
              <w:jc w:val="right"/>
            </w:pPr>
            <w:r>
              <w:rPr>
                <w:color w:val="000000"/>
                <w:sz w:val="24"/>
              </w:rPr>
              <w:t>27,003.14</w:t>
            </w:r>
          </w:p>
        </w:tc>
        <w:tc>
          <w:tcPr>
            <w:tcW w:w="1091" w:type="dxa"/>
            <w:vAlign w:val="center"/>
          </w:tcPr>
          <w:p w:rsidR="00BF73CF" w:rsidRDefault="0028410D">
            <w:pPr>
              <w:jc w:val="right"/>
            </w:pPr>
            <w:r>
              <w:rPr>
                <w:color w:val="000000"/>
                <w:sz w:val="24"/>
              </w:rPr>
              <w:t>0.04</w:t>
            </w:r>
          </w:p>
        </w:tc>
      </w:tr>
      <w:tr w:rsidR="00BF73CF">
        <w:trPr>
          <w:jc w:val="center"/>
        </w:trPr>
        <w:tc>
          <w:tcPr>
            <w:tcW w:w="849" w:type="dxa"/>
            <w:vAlign w:val="center"/>
          </w:tcPr>
          <w:p w:rsidR="00BF73CF" w:rsidRDefault="0028410D">
            <w:pPr>
              <w:jc w:val="center"/>
            </w:pPr>
            <w:r>
              <w:rPr>
                <w:color w:val="000000"/>
                <w:sz w:val="24"/>
              </w:rPr>
              <w:t>6</w:t>
            </w:r>
          </w:p>
        </w:tc>
        <w:tc>
          <w:tcPr>
            <w:tcW w:w="1327" w:type="dxa"/>
            <w:vAlign w:val="center"/>
          </w:tcPr>
          <w:p w:rsidR="00BF73CF" w:rsidRDefault="0028410D">
            <w:pPr>
              <w:jc w:val="center"/>
            </w:pPr>
            <w:r>
              <w:rPr>
                <w:color w:val="000000"/>
                <w:sz w:val="24"/>
              </w:rPr>
              <w:t>000625</w:t>
            </w:r>
          </w:p>
        </w:tc>
        <w:tc>
          <w:tcPr>
            <w:tcW w:w="1621" w:type="dxa"/>
            <w:vAlign w:val="center"/>
          </w:tcPr>
          <w:p w:rsidR="00BF73CF" w:rsidRDefault="0028410D">
            <w:pPr>
              <w:jc w:val="center"/>
            </w:pPr>
            <w:r>
              <w:rPr>
                <w:color w:val="000000"/>
                <w:sz w:val="24"/>
              </w:rPr>
              <w:t>长安汽车</w:t>
            </w:r>
          </w:p>
        </w:tc>
        <w:tc>
          <w:tcPr>
            <w:tcW w:w="1769" w:type="dxa"/>
            <w:vAlign w:val="center"/>
          </w:tcPr>
          <w:p w:rsidR="00BF73CF" w:rsidRDefault="0028410D">
            <w:pPr>
              <w:jc w:val="right"/>
            </w:pPr>
            <w:r>
              <w:rPr>
                <w:color w:val="000000"/>
                <w:sz w:val="24"/>
              </w:rPr>
              <w:t>1,661</w:t>
            </w:r>
          </w:p>
        </w:tc>
        <w:tc>
          <w:tcPr>
            <w:tcW w:w="2211" w:type="dxa"/>
            <w:vAlign w:val="center"/>
          </w:tcPr>
          <w:p w:rsidR="00BF73CF" w:rsidRDefault="0028410D">
            <w:pPr>
              <w:jc w:val="right"/>
            </w:pPr>
            <w:r>
              <w:rPr>
                <w:color w:val="000000"/>
                <w:sz w:val="24"/>
              </w:rPr>
              <w:t>22,755.70</w:t>
            </w:r>
          </w:p>
        </w:tc>
        <w:tc>
          <w:tcPr>
            <w:tcW w:w="1091" w:type="dxa"/>
            <w:vAlign w:val="center"/>
          </w:tcPr>
          <w:p w:rsidR="00BF73CF" w:rsidRDefault="0028410D">
            <w:pPr>
              <w:jc w:val="right"/>
            </w:pPr>
            <w:r>
              <w:rPr>
                <w:color w:val="000000"/>
                <w:sz w:val="24"/>
              </w:rPr>
              <w:t>0.04</w:t>
            </w:r>
          </w:p>
        </w:tc>
      </w:tr>
      <w:tr w:rsidR="00BF73CF">
        <w:trPr>
          <w:jc w:val="center"/>
        </w:trPr>
        <w:tc>
          <w:tcPr>
            <w:tcW w:w="849" w:type="dxa"/>
            <w:vAlign w:val="center"/>
          </w:tcPr>
          <w:p w:rsidR="00BF73CF" w:rsidRDefault="0028410D">
            <w:pPr>
              <w:jc w:val="center"/>
            </w:pPr>
            <w:r>
              <w:rPr>
                <w:color w:val="000000"/>
                <w:sz w:val="24"/>
              </w:rPr>
              <w:t>7</w:t>
            </w:r>
          </w:p>
        </w:tc>
        <w:tc>
          <w:tcPr>
            <w:tcW w:w="1327" w:type="dxa"/>
            <w:vAlign w:val="center"/>
          </w:tcPr>
          <w:p w:rsidR="00BF73CF" w:rsidRDefault="0028410D">
            <w:pPr>
              <w:jc w:val="center"/>
            </w:pPr>
            <w:r>
              <w:rPr>
                <w:color w:val="000000"/>
                <w:sz w:val="24"/>
              </w:rPr>
              <w:t>000783</w:t>
            </w:r>
          </w:p>
        </w:tc>
        <w:tc>
          <w:tcPr>
            <w:tcW w:w="1621" w:type="dxa"/>
            <w:vAlign w:val="center"/>
          </w:tcPr>
          <w:p w:rsidR="00BF73CF" w:rsidRDefault="0028410D">
            <w:pPr>
              <w:jc w:val="center"/>
            </w:pPr>
            <w:r>
              <w:rPr>
                <w:color w:val="000000"/>
                <w:sz w:val="24"/>
              </w:rPr>
              <w:t>长江证券</w:t>
            </w:r>
          </w:p>
        </w:tc>
        <w:tc>
          <w:tcPr>
            <w:tcW w:w="1769" w:type="dxa"/>
            <w:vAlign w:val="center"/>
          </w:tcPr>
          <w:p w:rsidR="00BF73CF" w:rsidRDefault="0028410D">
            <w:pPr>
              <w:jc w:val="right"/>
            </w:pPr>
            <w:r>
              <w:rPr>
                <w:color w:val="000000"/>
                <w:sz w:val="24"/>
              </w:rPr>
              <w:t>2,833</w:t>
            </w:r>
          </w:p>
        </w:tc>
        <w:tc>
          <w:tcPr>
            <w:tcW w:w="2211" w:type="dxa"/>
            <w:vAlign w:val="center"/>
          </w:tcPr>
          <w:p w:rsidR="00BF73CF" w:rsidRDefault="0028410D">
            <w:pPr>
              <w:jc w:val="right"/>
            </w:pPr>
            <w:r>
              <w:rPr>
                <w:color w:val="000000"/>
                <w:sz w:val="24"/>
              </w:rPr>
              <w:t>19,349.39</w:t>
            </w:r>
          </w:p>
        </w:tc>
        <w:tc>
          <w:tcPr>
            <w:tcW w:w="1091" w:type="dxa"/>
            <w:vAlign w:val="center"/>
          </w:tcPr>
          <w:p w:rsidR="00BF73CF" w:rsidRDefault="0028410D">
            <w:pPr>
              <w:jc w:val="right"/>
            </w:pPr>
            <w:r>
              <w:rPr>
                <w:color w:val="000000"/>
                <w:sz w:val="24"/>
              </w:rPr>
              <w:t>0.03</w:t>
            </w:r>
          </w:p>
        </w:tc>
      </w:tr>
      <w:tr w:rsidR="00BF73CF">
        <w:trPr>
          <w:jc w:val="center"/>
        </w:trPr>
        <w:tc>
          <w:tcPr>
            <w:tcW w:w="849" w:type="dxa"/>
            <w:vAlign w:val="center"/>
          </w:tcPr>
          <w:p w:rsidR="00BF73CF" w:rsidRDefault="0028410D">
            <w:pPr>
              <w:jc w:val="center"/>
            </w:pPr>
            <w:r>
              <w:rPr>
                <w:color w:val="000000"/>
                <w:sz w:val="24"/>
              </w:rPr>
              <w:t>8</w:t>
            </w:r>
          </w:p>
        </w:tc>
        <w:tc>
          <w:tcPr>
            <w:tcW w:w="1327" w:type="dxa"/>
            <w:vAlign w:val="center"/>
          </w:tcPr>
          <w:p w:rsidR="00BF73CF" w:rsidRDefault="0028410D">
            <w:pPr>
              <w:jc w:val="center"/>
            </w:pPr>
            <w:r>
              <w:rPr>
                <w:color w:val="000000"/>
                <w:sz w:val="24"/>
              </w:rPr>
              <w:t>000725</w:t>
            </w:r>
          </w:p>
        </w:tc>
        <w:tc>
          <w:tcPr>
            <w:tcW w:w="1621" w:type="dxa"/>
            <w:vAlign w:val="center"/>
          </w:tcPr>
          <w:p w:rsidR="00BF73CF" w:rsidRDefault="0028410D">
            <w:pPr>
              <w:jc w:val="center"/>
            </w:pPr>
            <w:r>
              <w:rPr>
                <w:color w:val="000000"/>
                <w:sz w:val="24"/>
              </w:rPr>
              <w:t>京东方Ａ</w:t>
            </w:r>
          </w:p>
        </w:tc>
        <w:tc>
          <w:tcPr>
            <w:tcW w:w="1769" w:type="dxa"/>
            <w:vAlign w:val="center"/>
          </w:tcPr>
          <w:p w:rsidR="00BF73CF" w:rsidRDefault="0028410D">
            <w:pPr>
              <w:jc w:val="right"/>
            </w:pPr>
            <w:r>
              <w:rPr>
                <w:color w:val="000000"/>
                <w:sz w:val="24"/>
              </w:rPr>
              <w:t>7,790</w:t>
            </w:r>
          </w:p>
        </w:tc>
        <w:tc>
          <w:tcPr>
            <w:tcW w:w="2211" w:type="dxa"/>
            <w:vAlign w:val="center"/>
          </w:tcPr>
          <w:p w:rsidR="00BF73CF" w:rsidRDefault="0028410D">
            <w:pPr>
              <w:jc w:val="right"/>
            </w:pPr>
            <w:r>
              <w:rPr>
                <w:color w:val="000000"/>
                <w:sz w:val="24"/>
              </w:rPr>
              <w:t>19,007.60</w:t>
            </w:r>
          </w:p>
        </w:tc>
        <w:tc>
          <w:tcPr>
            <w:tcW w:w="1091" w:type="dxa"/>
            <w:vAlign w:val="center"/>
          </w:tcPr>
          <w:p w:rsidR="00BF73CF" w:rsidRDefault="0028410D">
            <w:pPr>
              <w:jc w:val="right"/>
            </w:pPr>
            <w:r>
              <w:rPr>
                <w:color w:val="000000"/>
                <w:sz w:val="24"/>
              </w:rPr>
              <w:t>0.03</w:t>
            </w:r>
          </w:p>
        </w:tc>
      </w:tr>
      <w:tr w:rsidR="00BF73CF">
        <w:trPr>
          <w:jc w:val="center"/>
        </w:trPr>
        <w:tc>
          <w:tcPr>
            <w:tcW w:w="849" w:type="dxa"/>
            <w:vAlign w:val="center"/>
          </w:tcPr>
          <w:p w:rsidR="00BF73CF" w:rsidRDefault="0028410D">
            <w:pPr>
              <w:jc w:val="center"/>
            </w:pPr>
            <w:r>
              <w:rPr>
                <w:color w:val="000000"/>
                <w:sz w:val="24"/>
              </w:rPr>
              <w:t>9</w:t>
            </w:r>
          </w:p>
        </w:tc>
        <w:tc>
          <w:tcPr>
            <w:tcW w:w="1327" w:type="dxa"/>
            <w:vAlign w:val="center"/>
          </w:tcPr>
          <w:p w:rsidR="00BF73CF" w:rsidRDefault="0028410D">
            <w:pPr>
              <w:jc w:val="center"/>
            </w:pPr>
            <w:r>
              <w:rPr>
                <w:color w:val="000000"/>
                <w:sz w:val="24"/>
              </w:rPr>
              <w:t>000338</w:t>
            </w:r>
          </w:p>
        </w:tc>
        <w:tc>
          <w:tcPr>
            <w:tcW w:w="1621" w:type="dxa"/>
            <w:vAlign w:val="center"/>
          </w:tcPr>
          <w:p w:rsidR="00BF73CF" w:rsidRDefault="0028410D">
            <w:pPr>
              <w:jc w:val="center"/>
            </w:pPr>
            <w:r>
              <w:rPr>
                <w:color w:val="000000"/>
                <w:sz w:val="24"/>
              </w:rPr>
              <w:t>潍柴动力</w:t>
            </w:r>
          </w:p>
        </w:tc>
        <w:tc>
          <w:tcPr>
            <w:tcW w:w="1769" w:type="dxa"/>
            <w:vAlign w:val="center"/>
          </w:tcPr>
          <w:p w:rsidR="00BF73CF" w:rsidRDefault="0028410D">
            <w:pPr>
              <w:jc w:val="right"/>
            </w:pPr>
            <w:r>
              <w:rPr>
                <w:color w:val="000000"/>
                <w:sz w:val="24"/>
              </w:rPr>
              <w:t>852</w:t>
            </w:r>
          </w:p>
        </w:tc>
        <w:tc>
          <w:tcPr>
            <w:tcW w:w="2211" w:type="dxa"/>
            <w:vAlign w:val="center"/>
          </w:tcPr>
          <w:p w:rsidR="00BF73CF" w:rsidRDefault="0028410D">
            <w:pPr>
              <w:jc w:val="right"/>
            </w:pPr>
            <w:r>
              <w:rPr>
                <w:color w:val="000000"/>
                <w:sz w:val="24"/>
              </w:rPr>
              <w:t>17,278.56</w:t>
            </w:r>
          </w:p>
        </w:tc>
        <w:tc>
          <w:tcPr>
            <w:tcW w:w="1091" w:type="dxa"/>
            <w:vAlign w:val="center"/>
          </w:tcPr>
          <w:p w:rsidR="00BF73CF" w:rsidRDefault="0028410D">
            <w:pPr>
              <w:jc w:val="right"/>
            </w:pPr>
            <w:r>
              <w:rPr>
                <w:color w:val="000000"/>
                <w:sz w:val="24"/>
              </w:rPr>
              <w:t>0.03</w:t>
            </w:r>
          </w:p>
        </w:tc>
      </w:tr>
      <w:tr w:rsidR="00BF73CF">
        <w:trPr>
          <w:jc w:val="center"/>
        </w:trPr>
        <w:tc>
          <w:tcPr>
            <w:tcW w:w="849" w:type="dxa"/>
            <w:vAlign w:val="center"/>
          </w:tcPr>
          <w:p w:rsidR="00BF73CF" w:rsidRDefault="0028410D">
            <w:pPr>
              <w:jc w:val="center"/>
            </w:pPr>
            <w:r>
              <w:rPr>
                <w:color w:val="000000"/>
                <w:sz w:val="24"/>
              </w:rPr>
              <w:t>10</w:t>
            </w:r>
          </w:p>
        </w:tc>
        <w:tc>
          <w:tcPr>
            <w:tcW w:w="1327" w:type="dxa"/>
            <w:vAlign w:val="center"/>
          </w:tcPr>
          <w:p w:rsidR="00BF73CF" w:rsidRDefault="0028410D">
            <w:pPr>
              <w:jc w:val="center"/>
            </w:pPr>
            <w:r>
              <w:rPr>
                <w:color w:val="000000"/>
                <w:sz w:val="24"/>
              </w:rPr>
              <w:t>000100</w:t>
            </w:r>
          </w:p>
        </w:tc>
        <w:tc>
          <w:tcPr>
            <w:tcW w:w="1621" w:type="dxa"/>
            <w:vAlign w:val="center"/>
          </w:tcPr>
          <w:p w:rsidR="00BF73CF" w:rsidRDefault="0028410D">
            <w:pPr>
              <w:jc w:val="center"/>
            </w:pPr>
            <w:r>
              <w:rPr>
                <w:color w:val="000000"/>
                <w:sz w:val="24"/>
              </w:rPr>
              <w:t xml:space="preserve">TCL </w:t>
            </w:r>
            <w:r>
              <w:rPr>
                <w:color w:val="000000"/>
                <w:sz w:val="24"/>
              </w:rPr>
              <w:t>集团</w:t>
            </w:r>
          </w:p>
        </w:tc>
        <w:tc>
          <w:tcPr>
            <w:tcW w:w="1769" w:type="dxa"/>
            <w:vAlign w:val="center"/>
          </w:tcPr>
          <w:p w:rsidR="00BF73CF" w:rsidRDefault="0028410D">
            <w:pPr>
              <w:jc w:val="right"/>
            </w:pPr>
            <w:r>
              <w:rPr>
                <w:color w:val="000000"/>
                <w:sz w:val="24"/>
              </w:rPr>
              <w:t>6,292</w:t>
            </w:r>
          </w:p>
        </w:tc>
        <w:tc>
          <w:tcPr>
            <w:tcW w:w="2211" w:type="dxa"/>
            <w:vAlign w:val="center"/>
          </w:tcPr>
          <w:p w:rsidR="00BF73CF" w:rsidRDefault="0028410D">
            <w:pPr>
              <w:jc w:val="right"/>
            </w:pPr>
            <w:r>
              <w:rPr>
                <w:color w:val="000000"/>
                <w:sz w:val="24"/>
              </w:rPr>
              <w:t>16,988.40</w:t>
            </w:r>
          </w:p>
        </w:tc>
        <w:tc>
          <w:tcPr>
            <w:tcW w:w="1091" w:type="dxa"/>
            <w:vAlign w:val="center"/>
          </w:tcPr>
          <w:p w:rsidR="00BF73CF" w:rsidRDefault="0028410D">
            <w:pPr>
              <w:jc w:val="right"/>
            </w:pPr>
            <w:r>
              <w:rPr>
                <w:color w:val="000000"/>
                <w:sz w:val="24"/>
              </w:rPr>
              <w:t>0.03</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AD203A" w:rsidRDefault="002A089C" w:rsidP="00B04217">
      <w:pPr>
        <w:autoSpaceDE w:val="0"/>
        <w:autoSpaceDN w:val="0"/>
        <w:adjustRightInd w:val="0"/>
        <w:spacing w:before="29" w:line="288" w:lineRule="auto"/>
        <w:jc w:val="left"/>
        <w:rPr>
          <w:sz w:val="24"/>
        </w:rPr>
      </w:pPr>
      <w:r w:rsidRPr="00AD203A">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9,064.40</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836,067.50</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870.51</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549,669.55</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3,702.26</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1,399,374.22</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本基金本报告期末前十名股票中不存在流通受限的情况。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AD203A">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48,824,581.82</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34,756,445.05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19,147,171.17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A40C1C" w:rsidRPr="00324C76">
              <w:rPr>
                <w:color w:val="000000"/>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64,433,855.70</w:t>
            </w:r>
          </w:p>
        </w:tc>
      </w:tr>
    </w:tbl>
    <w:p w:rsidR="00BF73CF" w:rsidRDefault="0028410D">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AD203A">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EF07DC" w:rsidRDefault="00F229B7" w:rsidP="00B04217">
      <w:pPr>
        <w:autoSpaceDE w:val="0"/>
        <w:autoSpaceDN w:val="0"/>
        <w:adjustRightInd w:val="0"/>
        <w:spacing w:before="29" w:line="288" w:lineRule="auto"/>
        <w:jc w:val="left"/>
        <w:rPr>
          <w:b/>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220542" w:rsidRPr="00324C76" w:rsidRDefault="00220542" w:rsidP="00AD203A">
      <w:pPr>
        <w:pStyle w:val="1"/>
        <w:spacing w:beforeLines="100" w:before="312" w:afterLines="100" w:after="312" w:line="288" w:lineRule="auto"/>
        <w:jc w:val="center"/>
        <w:rPr>
          <w:kern w:val="0"/>
          <w:sz w:val="24"/>
          <w:szCs w:val="24"/>
        </w:rPr>
      </w:pPr>
      <w:r w:rsidRPr="00324C76">
        <w:rPr>
          <w:kern w:val="0"/>
          <w:sz w:val="24"/>
          <w:szCs w:val="24"/>
        </w:rPr>
        <w:t>§</w:t>
      </w:r>
      <w:r w:rsidR="0083066D" w:rsidRPr="00324C76">
        <w:rPr>
          <w:kern w:val="0"/>
          <w:sz w:val="24"/>
          <w:szCs w:val="24"/>
        </w:rPr>
        <w:t>8</w:t>
      </w:r>
      <w:r w:rsidR="0084595F" w:rsidRPr="00324C76">
        <w:rPr>
          <w:kern w:val="0"/>
          <w:sz w:val="24"/>
          <w:szCs w:val="24"/>
        </w:rPr>
        <w:t xml:space="preserve"> </w:t>
      </w:r>
      <w:r w:rsidRPr="00324C76">
        <w:rPr>
          <w:kern w:val="0"/>
          <w:sz w:val="24"/>
          <w:szCs w:val="24"/>
        </w:rPr>
        <w:t>影响投资者决策的其他重要信息</w:t>
      </w:r>
    </w:p>
    <w:p w:rsidR="00220542" w:rsidRPr="00324C76" w:rsidRDefault="00A40C1C" w:rsidP="00B04217">
      <w:pPr>
        <w:spacing w:before="29" w:line="288" w:lineRule="auto"/>
        <w:ind w:firstLineChars="200" w:firstLine="480"/>
        <w:rPr>
          <w:color w:val="000000"/>
          <w:sz w:val="24"/>
        </w:rPr>
      </w:pPr>
      <w:r w:rsidRPr="00324C76">
        <w:rPr>
          <w:color w:val="000000"/>
          <w:sz w:val="24"/>
        </w:rPr>
        <w:t>依据中国证监会《关于进一步规范证券投资基金估值业务的指导意见》（证监会公告</w:t>
      </w:r>
      <w:r w:rsidRPr="00324C76">
        <w:rPr>
          <w:color w:val="000000"/>
          <w:sz w:val="24"/>
        </w:rPr>
        <w:t>[2008]38</w:t>
      </w:r>
      <w:r w:rsidRPr="00324C76">
        <w:rPr>
          <w:color w:val="000000"/>
          <w:sz w:val="24"/>
        </w:rPr>
        <w:t>号）的有关规定和《关于发布中基协（</w:t>
      </w:r>
      <w:r w:rsidRPr="00324C76">
        <w:rPr>
          <w:color w:val="000000"/>
          <w:sz w:val="24"/>
        </w:rPr>
        <w:t>AMAC</w:t>
      </w:r>
      <w:r w:rsidRPr="00324C76">
        <w:rPr>
          <w:color w:val="000000"/>
          <w:sz w:val="24"/>
        </w:rPr>
        <w:t>）基金行业股票估值指数的通知》的指导意见，经与基金托管人协商一致，本基金对其所持有的</w:t>
      </w:r>
      <w:r w:rsidRPr="00324C76">
        <w:rPr>
          <w:color w:val="000000"/>
          <w:sz w:val="24"/>
        </w:rPr>
        <w:t>TCL</w:t>
      </w:r>
      <w:r w:rsidRPr="00324C76">
        <w:rPr>
          <w:color w:val="000000"/>
          <w:sz w:val="24"/>
        </w:rPr>
        <w:t>集团（证券代码：</w:t>
      </w:r>
      <w:r w:rsidRPr="00324C76">
        <w:rPr>
          <w:color w:val="000000"/>
          <w:sz w:val="24"/>
        </w:rPr>
        <w:t>000100</w:t>
      </w:r>
      <w:r w:rsidRPr="00324C76">
        <w:rPr>
          <w:color w:val="000000"/>
          <w:sz w:val="24"/>
        </w:rPr>
        <w:t>）股票自</w:t>
      </w:r>
      <w:r w:rsidRPr="00324C76">
        <w:rPr>
          <w:color w:val="000000"/>
          <w:sz w:val="24"/>
        </w:rPr>
        <w:t>2014</w:t>
      </w:r>
      <w:r w:rsidRPr="00324C76">
        <w:rPr>
          <w:color w:val="000000"/>
          <w:sz w:val="24"/>
        </w:rPr>
        <w:t>年</w:t>
      </w:r>
      <w:r w:rsidRPr="00324C76">
        <w:rPr>
          <w:color w:val="000000"/>
          <w:sz w:val="24"/>
        </w:rPr>
        <w:t>8</w:t>
      </w:r>
      <w:r w:rsidRPr="00324C76">
        <w:rPr>
          <w:color w:val="000000"/>
          <w:sz w:val="24"/>
        </w:rPr>
        <w:t>月</w:t>
      </w:r>
      <w:r w:rsidRPr="00324C76">
        <w:rPr>
          <w:color w:val="000000"/>
          <w:sz w:val="24"/>
        </w:rPr>
        <w:t>5</w:t>
      </w:r>
      <w:r w:rsidRPr="00324C76">
        <w:rPr>
          <w:color w:val="000000"/>
          <w:sz w:val="24"/>
        </w:rPr>
        <w:t>日起按照指数收益法进行估值，并已于</w:t>
      </w:r>
      <w:r w:rsidRPr="00324C76">
        <w:rPr>
          <w:color w:val="000000"/>
          <w:sz w:val="24"/>
        </w:rPr>
        <w:t>2014</w:t>
      </w:r>
      <w:r w:rsidRPr="00324C76">
        <w:rPr>
          <w:color w:val="000000"/>
          <w:sz w:val="24"/>
        </w:rPr>
        <w:t>年</w:t>
      </w:r>
      <w:r w:rsidRPr="00324C76">
        <w:rPr>
          <w:color w:val="000000"/>
          <w:sz w:val="24"/>
        </w:rPr>
        <w:t>8</w:t>
      </w:r>
      <w:r w:rsidRPr="00324C76">
        <w:rPr>
          <w:color w:val="000000"/>
          <w:sz w:val="24"/>
        </w:rPr>
        <w:t>月</w:t>
      </w:r>
      <w:r w:rsidRPr="00324C76">
        <w:rPr>
          <w:color w:val="000000"/>
          <w:sz w:val="24"/>
        </w:rPr>
        <w:t>15</w:t>
      </w:r>
      <w:r w:rsidRPr="00324C76">
        <w:rPr>
          <w:color w:val="000000"/>
          <w:sz w:val="24"/>
        </w:rPr>
        <w:t>日起恢复按市场价格进行估值。</w:t>
      </w:r>
    </w:p>
    <w:p w:rsidR="00E42623" w:rsidRPr="00324C76" w:rsidRDefault="00E42623" w:rsidP="00B04217">
      <w:pPr>
        <w:spacing w:before="29" w:line="288" w:lineRule="auto"/>
        <w:ind w:firstLineChars="200" w:firstLine="480"/>
        <w:rPr>
          <w:color w:val="000000"/>
          <w:sz w:val="24"/>
        </w:rPr>
      </w:pPr>
    </w:p>
    <w:p w:rsidR="006A0A24" w:rsidRPr="00495FAB" w:rsidRDefault="00220542" w:rsidP="00AD203A">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9</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9</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BF73CF" w:rsidRDefault="0028410D">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BF73CF" w:rsidRDefault="0028410D">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BF73CF" w:rsidRDefault="0028410D">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BF73CF" w:rsidRDefault="0028410D">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BF73CF" w:rsidRDefault="0028410D">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BF73CF" w:rsidRDefault="0028410D">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BF73CF" w:rsidRDefault="0028410D">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9.3</w:t>
      </w:r>
      <w:r w:rsidR="00446862" w:rsidRPr="00324C76">
        <w:rPr>
          <w:b/>
          <w:sz w:val="24"/>
        </w:rPr>
        <w:t xml:space="preserve"> </w:t>
      </w:r>
      <w:r w:rsidR="00220542" w:rsidRPr="00324C76">
        <w:rPr>
          <w:b/>
          <w:sz w:val="24"/>
        </w:rPr>
        <w:t>查阅方式</w:t>
      </w:r>
    </w:p>
    <w:p w:rsidR="00BF73CF" w:rsidRDefault="0028410D">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7A6" w:rsidRDefault="00F237A6">
      <w:r>
        <w:separator/>
      </w:r>
    </w:p>
  </w:endnote>
  <w:endnote w:type="continuationSeparator" w:id="0">
    <w:p w:rsidR="00F237A6" w:rsidRDefault="00F23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7208B8">
      <w:rPr>
        <w:kern w:val="0"/>
        <w:szCs w:val="21"/>
      </w:rPr>
      <w:fldChar w:fldCharType="begin"/>
    </w:r>
    <w:r>
      <w:rPr>
        <w:kern w:val="0"/>
        <w:szCs w:val="21"/>
      </w:rPr>
      <w:instrText xml:space="preserve"> PAGE </w:instrText>
    </w:r>
    <w:r w:rsidR="007208B8">
      <w:rPr>
        <w:kern w:val="0"/>
        <w:szCs w:val="21"/>
      </w:rPr>
      <w:fldChar w:fldCharType="separate"/>
    </w:r>
    <w:r w:rsidR="008D676B">
      <w:rPr>
        <w:noProof/>
        <w:kern w:val="0"/>
        <w:szCs w:val="21"/>
      </w:rPr>
      <w:t>11</w:t>
    </w:r>
    <w:r w:rsidR="007208B8">
      <w:rPr>
        <w:kern w:val="0"/>
        <w:szCs w:val="21"/>
      </w:rPr>
      <w:fldChar w:fldCharType="end"/>
    </w:r>
    <w:r>
      <w:rPr>
        <w:rFonts w:hint="eastAsia"/>
        <w:kern w:val="0"/>
        <w:szCs w:val="21"/>
      </w:rPr>
      <w:t>页共</w:t>
    </w:r>
    <w:r w:rsidR="007208B8">
      <w:rPr>
        <w:kern w:val="0"/>
        <w:szCs w:val="21"/>
      </w:rPr>
      <w:fldChar w:fldCharType="begin"/>
    </w:r>
    <w:r>
      <w:rPr>
        <w:kern w:val="0"/>
        <w:szCs w:val="21"/>
      </w:rPr>
      <w:instrText xml:space="preserve"> NUMPAGES </w:instrText>
    </w:r>
    <w:r w:rsidR="007208B8">
      <w:rPr>
        <w:kern w:val="0"/>
        <w:szCs w:val="21"/>
      </w:rPr>
      <w:fldChar w:fldCharType="separate"/>
    </w:r>
    <w:r w:rsidR="008D676B">
      <w:rPr>
        <w:noProof/>
        <w:kern w:val="0"/>
        <w:szCs w:val="21"/>
      </w:rPr>
      <w:t>12</w:t>
    </w:r>
    <w:r w:rsidR="007208B8">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7208B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7A6" w:rsidRDefault="00F237A6">
      <w:r>
        <w:separator/>
      </w:r>
    </w:p>
  </w:footnote>
  <w:footnote w:type="continuationSeparator" w:id="0">
    <w:p w:rsidR="00F237A6" w:rsidRDefault="00F23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36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7D15"/>
    <w:rsid w:val="00035465"/>
    <w:rsid w:val="00037FCF"/>
    <w:rsid w:val="000421B8"/>
    <w:rsid w:val="00043ABF"/>
    <w:rsid w:val="000445E4"/>
    <w:rsid w:val="00045A7E"/>
    <w:rsid w:val="00046A8E"/>
    <w:rsid w:val="000510AB"/>
    <w:rsid w:val="00052864"/>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E0611"/>
    <w:rsid w:val="000E186B"/>
    <w:rsid w:val="000E4456"/>
    <w:rsid w:val="000F175F"/>
    <w:rsid w:val="000F17D1"/>
    <w:rsid w:val="000F5C95"/>
    <w:rsid w:val="000F60FF"/>
    <w:rsid w:val="000F635F"/>
    <w:rsid w:val="000F6C61"/>
    <w:rsid w:val="00100C12"/>
    <w:rsid w:val="001049B6"/>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10D"/>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32E3"/>
    <w:rsid w:val="002D4360"/>
    <w:rsid w:val="002E0FEB"/>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405E"/>
    <w:rsid w:val="003B460A"/>
    <w:rsid w:val="003B57D3"/>
    <w:rsid w:val="003C044A"/>
    <w:rsid w:val="003C1F58"/>
    <w:rsid w:val="003C6409"/>
    <w:rsid w:val="003C792F"/>
    <w:rsid w:val="003D124B"/>
    <w:rsid w:val="003D1893"/>
    <w:rsid w:val="003D18F3"/>
    <w:rsid w:val="003D3D37"/>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80BC8"/>
    <w:rsid w:val="00481265"/>
    <w:rsid w:val="004814BF"/>
    <w:rsid w:val="00481E6C"/>
    <w:rsid w:val="00483508"/>
    <w:rsid w:val="0048587E"/>
    <w:rsid w:val="00486365"/>
    <w:rsid w:val="00486D56"/>
    <w:rsid w:val="00487C2B"/>
    <w:rsid w:val="00487E29"/>
    <w:rsid w:val="004909BF"/>
    <w:rsid w:val="00490A9D"/>
    <w:rsid w:val="00491506"/>
    <w:rsid w:val="0049297D"/>
    <w:rsid w:val="004929F2"/>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779C"/>
    <w:rsid w:val="004F7846"/>
    <w:rsid w:val="005000D4"/>
    <w:rsid w:val="00504850"/>
    <w:rsid w:val="00510CAF"/>
    <w:rsid w:val="005128C5"/>
    <w:rsid w:val="0051478B"/>
    <w:rsid w:val="0051566A"/>
    <w:rsid w:val="00515D7B"/>
    <w:rsid w:val="005166E9"/>
    <w:rsid w:val="0052009E"/>
    <w:rsid w:val="00525E59"/>
    <w:rsid w:val="00526BBC"/>
    <w:rsid w:val="00527176"/>
    <w:rsid w:val="005318CC"/>
    <w:rsid w:val="005348C7"/>
    <w:rsid w:val="005349B1"/>
    <w:rsid w:val="00535766"/>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B9A"/>
    <w:rsid w:val="007004DC"/>
    <w:rsid w:val="00703E8A"/>
    <w:rsid w:val="00711522"/>
    <w:rsid w:val="007124FE"/>
    <w:rsid w:val="00713186"/>
    <w:rsid w:val="00713757"/>
    <w:rsid w:val="00714C63"/>
    <w:rsid w:val="00714DCA"/>
    <w:rsid w:val="00717772"/>
    <w:rsid w:val="007208B8"/>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76B"/>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38C9"/>
    <w:rsid w:val="009664D5"/>
    <w:rsid w:val="00970C69"/>
    <w:rsid w:val="00971114"/>
    <w:rsid w:val="00971F1C"/>
    <w:rsid w:val="0097211D"/>
    <w:rsid w:val="00972E10"/>
    <w:rsid w:val="009746CA"/>
    <w:rsid w:val="0097516E"/>
    <w:rsid w:val="00980733"/>
    <w:rsid w:val="00981963"/>
    <w:rsid w:val="00983C82"/>
    <w:rsid w:val="00984520"/>
    <w:rsid w:val="0098545C"/>
    <w:rsid w:val="00991257"/>
    <w:rsid w:val="00992BA2"/>
    <w:rsid w:val="00992F83"/>
    <w:rsid w:val="00994970"/>
    <w:rsid w:val="0099508A"/>
    <w:rsid w:val="0099581D"/>
    <w:rsid w:val="00995D0B"/>
    <w:rsid w:val="009974EB"/>
    <w:rsid w:val="009A1126"/>
    <w:rsid w:val="009A59AD"/>
    <w:rsid w:val="009A7A14"/>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D036A"/>
    <w:rsid w:val="00AD04BD"/>
    <w:rsid w:val="00AD18BE"/>
    <w:rsid w:val="00AD203A"/>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5735"/>
    <w:rsid w:val="00B77142"/>
    <w:rsid w:val="00B80A2C"/>
    <w:rsid w:val="00B81F60"/>
    <w:rsid w:val="00B841AC"/>
    <w:rsid w:val="00B865B0"/>
    <w:rsid w:val="00B90780"/>
    <w:rsid w:val="00B9240D"/>
    <w:rsid w:val="00BA22A8"/>
    <w:rsid w:val="00BA3E48"/>
    <w:rsid w:val="00BA4BD3"/>
    <w:rsid w:val="00BA574A"/>
    <w:rsid w:val="00BA6DE7"/>
    <w:rsid w:val="00BB0187"/>
    <w:rsid w:val="00BB1EB3"/>
    <w:rsid w:val="00BB2678"/>
    <w:rsid w:val="00BB2A42"/>
    <w:rsid w:val="00BC013A"/>
    <w:rsid w:val="00BC2343"/>
    <w:rsid w:val="00BC3740"/>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3CF"/>
    <w:rsid w:val="00BF7D6A"/>
    <w:rsid w:val="00C013E1"/>
    <w:rsid w:val="00C01611"/>
    <w:rsid w:val="00C02D59"/>
    <w:rsid w:val="00C030B6"/>
    <w:rsid w:val="00C03284"/>
    <w:rsid w:val="00C050D7"/>
    <w:rsid w:val="00C05B5F"/>
    <w:rsid w:val="00C104CC"/>
    <w:rsid w:val="00C136D7"/>
    <w:rsid w:val="00C152FE"/>
    <w:rsid w:val="00C16739"/>
    <w:rsid w:val="00C1675B"/>
    <w:rsid w:val="00C1697D"/>
    <w:rsid w:val="00C1750D"/>
    <w:rsid w:val="00C22CCE"/>
    <w:rsid w:val="00C23BA2"/>
    <w:rsid w:val="00C26024"/>
    <w:rsid w:val="00C30F79"/>
    <w:rsid w:val="00C32AF2"/>
    <w:rsid w:val="00C33204"/>
    <w:rsid w:val="00C338EB"/>
    <w:rsid w:val="00C3465D"/>
    <w:rsid w:val="00C379E9"/>
    <w:rsid w:val="00C438E2"/>
    <w:rsid w:val="00C439FB"/>
    <w:rsid w:val="00C43F23"/>
    <w:rsid w:val="00C50011"/>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B1A"/>
    <w:rsid w:val="00C96F5F"/>
    <w:rsid w:val="00CA5927"/>
    <w:rsid w:val="00CA79EC"/>
    <w:rsid w:val="00CB39C2"/>
    <w:rsid w:val="00CB4C8C"/>
    <w:rsid w:val="00CB6782"/>
    <w:rsid w:val="00CB6AC9"/>
    <w:rsid w:val="00CC02A5"/>
    <w:rsid w:val="00CC080A"/>
    <w:rsid w:val="00CC0D0F"/>
    <w:rsid w:val="00CC33C2"/>
    <w:rsid w:val="00CC6971"/>
    <w:rsid w:val="00CD076B"/>
    <w:rsid w:val="00CD08CC"/>
    <w:rsid w:val="00CD4512"/>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5574C"/>
    <w:rsid w:val="00D6057D"/>
    <w:rsid w:val="00D61982"/>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6193"/>
    <o:shapelayout v:ext="edit">
      <o:idmap v:ext="edit" data="1"/>
    </o:shapelayout>
  </w:shapeDefaults>
  <w:decimalSymbol w:val="."/>
  <w:listSeparator w:val=","/>
  <w15:docId w15:val="{D7F3A467-0AC2-4A60-BDE0-1902C462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4AF21-E3F9-4604-95AA-87A0A90E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311</TotalTime>
  <Pages>12</Pages>
  <Words>1040</Words>
  <Characters>5931</Characters>
  <Application>Microsoft Office Word</Application>
  <DocSecurity>0</DocSecurity>
  <Lines>49</Lines>
  <Paragraphs>13</Paragraphs>
  <ScaleCrop>false</ScaleCrop>
  <Company>TRT. Ltd. Co.</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373</cp:revision>
  <cp:lastPrinted>2007-07-19T00:46:00Z</cp:lastPrinted>
  <dcterms:created xsi:type="dcterms:W3CDTF">2012-11-13T02:08:00Z</dcterms:created>
  <dcterms:modified xsi:type="dcterms:W3CDTF">2014-10-21T03:12:00Z</dcterms:modified>
</cp:coreProperties>
</file>