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交银施罗德先进制造股票证券投资基金</w:t>
      </w:r>
      <w:bookmarkStart w:id="0" w:name="_GoBack"/>
      <w:bookmarkEnd w:id="0"/>
    </w:p>
    <w:p w:rsidR="002279D3" w:rsidRPr="0081286B" w:rsidRDefault="002279D3" w:rsidP="00C15CAC">
      <w:pPr>
        <w:spacing w:before="29" w:line="288" w:lineRule="auto"/>
        <w:jc w:val="center"/>
        <w:rPr>
          <w:b/>
          <w:sz w:val="36"/>
          <w:szCs w:val="36"/>
        </w:rPr>
      </w:pPr>
      <w:r w:rsidRPr="0081286B">
        <w:rPr>
          <w:b/>
          <w:sz w:val="36"/>
          <w:szCs w:val="36"/>
        </w:rPr>
        <w:t>2014</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2014</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二〇一四年十月二十四日</w:t>
      </w:r>
    </w:p>
    <w:p w:rsidR="004061AC" w:rsidRPr="00414345" w:rsidRDefault="004061AC" w:rsidP="00FA475D">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6D678A" w:rsidRDefault="002A54C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6D678A" w:rsidRDefault="002A54C2">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23</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6D678A" w:rsidRDefault="002A54C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6D678A" w:rsidRDefault="002A54C2">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6D678A" w:rsidRDefault="002A54C2">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2014</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FA475D">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AA6513">
        <w:trPr>
          <w:jc w:val="center"/>
        </w:trPr>
        <w:tc>
          <w:tcPr>
            <w:tcW w:w="2835"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479"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交银先进制造股票</w:t>
            </w:r>
          </w:p>
        </w:tc>
      </w:tr>
      <w:tr w:rsidR="00D94B8D" w:rsidRPr="00414345" w:rsidTr="00AA651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519704</w:t>
            </w:r>
          </w:p>
        </w:tc>
      </w:tr>
      <w:tr w:rsidR="001B2F35" w:rsidRPr="00414345" w:rsidTr="00AA6513">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739"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740"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2011</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22</w:t>
            </w:r>
            <w:r w:rsidRPr="00414345">
              <w:rPr>
                <w:color w:val="000000"/>
                <w:kern w:val="0"/>
                <w:sz w:val="24"/>
                <w:szCs w:val="24"/>
              </w:rPr>
              <w:t>日</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669,540,186.58</w:t>
            </w:r>
            <w:r w:rsidRPr="00414345">
              <w:rPr>
                <w:color w:val="000000"/>
                <w:kern w:val="0"/>
                <w:sz w:val="24"/>
                <w:szCs w:val="24"/>
              </w:rPr>
              <w:t>份</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本基金通过重点投资于与装备制造相关的优质企业，把握中国产业结构升级的投资机会，在控制风险并保持基金资产良好的流动性的前提下，力争实现基金资产的长期稳定增值。</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本基金充分发挥基金管理人的研究优势，将严谨、规范化的选股方法与积极主动的投资风格相结合，自下而上挖掘与装备制造相关的上市公司投资机会，以谋求良好收益。</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申银万国装备制造指数收益率</w:t>
            </w:r>
            <w:r w:rsidRPr="00414345">
              <w:rPr>
                <w:color w:val="000000"/>
                <w:kern w:val="0"/>
                <w:sz w:val="24"/>
                <w:szCs w:val="24"/>
              </w:rPr>
              <w:t>+25%×</w:t>
            </w:r>
            <w:r w:rsidRPr="00414345">
              <w:rPr>
                <w:color w:val="000000"/>
                <w:kern w:val="0"/>
                <w:sz w:val="24"/>
                <w:szCs w:val="24"/>
              </w:rPr>
              <w:t>中信标普全债指数收益率</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本基金是一只股票型基金，属于基金中的高风险品种，本基金的风险与预期收益高于混合型基金、债券型基</w:t>
            </w:r>
            <w:r w:rsidRPr="00414345">
              <w:rPr>
                <w:color w:val="000000"/>
                <w:kern w:val="0"/>
                <w:sz w:val="24"/>
                <w:szCs w:val="24"/>
              </w:rPr>
              <w:lastRenderedPageBreak/>
              <w:t>金和货币市场基金。</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AA6513">
        <w:trPr>
          <w:jc w:val="center"/>
        </w:trPr>
        <w:tc>
          <w:tcPr>
            <w:tcW w:w="2835"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479"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FA475D">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2A54C2" w:rsidRPr="00414345" w:rsidTr="002A54C2">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(2014</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-2014</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2A54C2" w:rsidRPr="00414345" w:rsidTr="002A54C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34,400,446.02</w:t>
            </w:r>
          </w:p>
        </w:tc>
      </w:tr>
      <w:tr w:rsidR="002A54C2" w:rsidRPr="00414345" w:rsidTr="002A54C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120,766,581.81</w:t>
            </w:r>
          </w:p>
        </w:tc>
      </w:tr>
      <w:tr w:rsidR="002A54C2" w:rsidRPr="00414345" w:rsidTr="002A54C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0.1836</w:t>
            </w:r>
          </w:p>
        </w:tc>
      </w:tr>
      <w:tr w:rsidR="002A54C2" w:rsidRPr="00414345" w:rsidTr="002A54C2">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912,751,259.11</w:t>
            </w:r>
          </w:p>
        </w:tc>
      </w:tr>
      <w:tr w:rsidR="002A54C2" w:rsidRPr="00414345" w:rsidTr="002A54C2">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1.363</w:t>
            </w:r>
          </w:p>
        </w:tc>
      </w:tr>
    </w:tbl>
    <w:p w:rsidR="006D678A" w:rsidRDefault="002A54C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6D678A">
        <w:trPr>
          <w:jc w:val="center"/>
        </w:trPr>
        <w:tc>
          <w:tcPr>
            <w:tcW w:w="1701" w:type="dxa"/>
            <w:vAlign w:val="center"/>
          </w:tcPr>
          <w:p w:rsidR="006D678A" w:rsidRDefault="002A54C2">
            <w:pPr>
              <w:jc w:val="left"/>
            </w:pPr>
            <w:r>
              <w:rPr>
                <w:color w:val="000000"/>
                <w:sz w:val="24"/>
                <w:szCs w:val="24"/>
              </w:rPr>
              <w:t>过去三个月</w:t>
            </w:r>
          </w:p>
        </w:tc>
        <w:tc>
          <w:tcPr>
            <w:tcW w:w="1045" w:type="dxa"/>
            <w:vAlign w:val="center"/>
          </w:tcPr>
          <w:p w:rsidR="006D678A" w:rsidRDefault="002A54C2">
            <w:pPr>
              <w:jc w:val="center"/>
            </w:pPr>
            <w:r>
              <w:rPr>
                <w:color w:val="000000"/>
                <w:sz w:val="24"/>
                <w:szCs w:val="24"/>
              </w:rPr>
              <w:t>15.90%</w:t>
            </w:r>
          </w:p>
        </w:tc>
        <w:tc>
          <w:tcPr>
            <w:tcW w:w="1344" w:type="dxa"/>
            <w:vAlign w:val="center"/>
          </w:tcPr>
          <w:p w:rsidR="006D678A" w:rsidRDefault="002A54C2">
            <w:pPr>
              <w:jc w:val="center"/>
            </w:pPr>
            <w:r>
              <w:rPr>
                <w:color w:val="000000"/>
                <w:sz w:val="24"/>
                <w:szCs w:val="24"/>
              </w:rPr>
              <w:t>0.93%</w:t>
            </w:r>
          </w:p>
        </w:tc>
        <w:tc>
          <w:tcPr>
            <w:tcW w:w="1194" w:type="dxa"/>
            <w:vAlign w:val="center"/>
          </w:tcPr>
          <w:p w:rsidR="006D678A" w:rsidRDefault="002A54C2">
            <w:pPr>
              <w:jc w:val="center"/>
            </w:pPr>
            <w:r>
              <w:rPr>
                <w:color w:val="000000"/>
                <w:sz w:val="24"/>
                <w:szCs w:val="24"/>
              </w:rPr>
              <w:t>17.29%</w:t>
            </w:r>
          </w:p>
        </w:tc>
        <w:tc>
          <w:tcPr>
            <w:tcW w:w="1492" w:type="dxa"/>
            <w:vAlign w:val="center"/>
          </w:tcPr>
          <w:p w:rsidR="006D678A" w:rsidRDefault="002A54C2">
            <w:pPr>
              <w:jc w:val="center"/>
            </w:pPr>
            <w:r>
              <w:rPr>
                <w:color w:val="000000"/>
                <w:sz w:val="24"/>
                <w:szCs w:val="24"/>
              </w:rPr>
              <w:t>0.75%</w:t>
            </w:r>
          </w:p>
        </w:tc>
        <w:tc>
          <w:tcPr>
            <w:tcW w:w="1194" w:type="dxa"/>
            <w:vAlign w:val="center"/>
          </w:tcPr>
          <w:p w:rsidR="006D678A" w:rsidRDefault="002A54C2">
            <w:pPr>
              <w:jc w:val="center"/>
            </w:pPr>
            <w:r>
              <w:rPr>
                <w:color w:val="000000"/>
                <w:sz w:val="24"/>
                <w:szCs w:val="24"/>
              </w:rPr>
              <w:t>-1.39%</w:t>
            </w:r>
          </w:p>
        </w:tc>
        <w:tc>
          <w:tcPr>
            <w:tcW w:w="898" w:type="dxa"/>
            <w:vAlign w:val="center"/>
          </w:tcPr>
          <w:p w:rsidR="006D678A" w:rsidRDefault="002A54C2">
            <w:pPr>
              <w:jc w:val="center"/>
            </w:pPr>
            <w:r>
              <w:rPr>
                <w:color w:val="000000"/>
                <w:sz w:val="24"/>
                <w:szCs w:val="24"/>
              </w:rPr>
              <w:t>0.18%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875DAC">
        <w:rPr>
          <w:rFonts w:hint="eastAsia"/>
          <w:b/>
          <w:bCs/>
          <w:color w:val="000000"/>
          <w:kern w:val="0"/>
          <w:sz w:val="24"/>
          <w:szCs w:val="24"/>
        </w:rPr>
        <w:t>自</w:t>
      </w:r>
      <w:r w:rsidR="006742DC">
        <w:rPr>
          <w:rFonts w:hint="eastAsia"/>
          <w:b/>
          <w:bCs/>
          <w:color w:val="000000"/>
          <w:sz w:val="24"/>
        </w:rPr>
        <w:t>基金</w:t>
      </w:r>
      <w:r w:rsidR="00570842" w:rsidRPr="00570842">
        <w:rPr>
          <w:rFonts w:hint="eastAsia"/>
          <w:b/>
          <w:bCs/>
          <w:color w:val="000000"/>
          <w:sz w:val="24"/>
        </w:rPr>
        <w:t>合同生效</w:t>
      </w:r>
      <w:r w:rsidR="006742DC">
        <w:rPr>
          <w:rFonts w:hint="eastAsia"/>
          <w:b/>
          <w:bCs/>
          <w:color w:val="000000"/>
          <w:sz w:val="24"/>
        </w:rPr>
        <w:t>以来</w:t>
      </w:r>
      <w:r w:rsidR="00C6002A" w:rsidRPr="00414345">
        <w:rPr>
          <w:b/>
          <w:bCs/>
          <w:color w:val="000000"/>
          <w:sz w:val="24"/>
        </w:rPr>
        <w:t>基金份额累计净值增长率变动及其与同期业绩比较基准收益率变动的比较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交银施罗德先进制造股票证券投资基金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2011</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2014</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FA475D">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6D678A">
        <w:trPr>
          <w:jc w:val="center"/>
        </w:trPr>
        <w:tc>
          <w:tcPr>
            <w:tcW w:w="846" w:type="dxa"/>
            <w:vAlign w:val="center"/>
          </w:tcPr>
          <w:p w:rsidR="006D678A" w:rsidRDefault="002A54C2">
            <w:pPr>
              <w:jc w:val="center"/>
            </w:pPr>
            <w:r>
              <w:rPr>
                <w:color w:val="000000"/>
                <w:sz w:val="24"/>
                <w:szCs w:val="24"/>
              </w:rPr>
              <w:t>王少成</w:t>
            </w:r>
          </w:p>
        </w:tc>
        <w:tc>
          <w:tcPr>
            <w:tcW w:w="845" w:type="dxa"/>
            <w:vAlign w:val="center"/>
          </w:tcPr>
          <w:p w:rsidR="006D678A" w:rsidRDefault="002A54C2">
            <w:pPr>
              <w:jc w:val="center"/>
            </w:pPr>
            <w:r>
              <w:rPr>
                <w:color w:val="000000"/>
                <w:sz w:val="24"/>
                <w:szCs w:val="24"/>
              </w:rPr>
              <w:t>本基金、交银先锋股票、交银成长</w:t>
            </w:r>
            <w:r>
              <w:rPr>
                <w:color w:val="000000"/>
                <w:sz w:val="24"/>
                <w:szCs w:val="24"/>
              </w:rPr>
              <w:t>30</w:t>
            </w:r>
            <w:r>
              <w:rPr>
                <w:color w:val="000000"/>
                <w:sz w:val="24"/>
                <w:szCs w:val="24"/>
              </w:rPr>
              <w:t>股票的基金经理，公司权益部副总经理</w:t>
            </w:r>
          </w:p>
        </w:tc>
        <w:tc>
          <w:tcPr>
            <w:tcW w:w="1549" w:type="dxa"/>
            <w:vAlign w:val="center"/>
          </w:tcPr>
          <w:p w:rsidR="006D678A" w:rsidRDefault="002A54C2">
            <w:pPr>
              <w:jc w:val="center"/>
            </w:pPr>
            <w:r>
              <w:rPr>
                <w:color w:val="000000"/>
                <w:sz w:val="24"/>
                <w:szCs w:val="24"/>
              </w:rPr>
              <w:t>2013-03-21</w:t>
            </w:r>
          </w:p>
        </w:tc>
        <w:tc>
          <w:tcPr>
            <w:tcW w:w="1548" w:type="dxa"/>
            <w:vAlign w:val="center"/>
          </w:tcPr>
          <w:p w:rsidR="006D678A" w:rsidRDefault="002A54C2">
            <w:pPr>
              <w:jc w:val="center"/>
            </w:pPr>
            <w:r>
              <w:rPr>
                <w:color w:val="000000"/>
                <w:sz w:val="24"/>
                <w:szCs w:val="24"/>
              </w:rPr>
              <w:t>-</w:t>
            </w:r>
          </w:p>
        </w:tc>
        <w:tc>
          <w:tcPr>
            <w:tcW w:w="1407" w:type="dxa"/>
            <w:vAlign w:val="center"/>
          </w:tcPr>
          <w:p w:rsidR="006D678A" w:rsidRDefault="002A54C2">
            <w:pPr>
              <w:jc w:val="center"/>
            </w:pPr>
            <w:r>
              <w:rPr>
                <w:color w:val="000000"/>
                <w:sz w:val="24"/>
                <w:szCs w:val="24"/>
              </w:rPr>
              <w:t>10</w:t>
            </w:r>
            <w:r>
              <w:rPr>
                <w:color w:val="000000"/>
                <w:sz w:val="24"/>
                <w:szCs w:val="24"/>
              </w:rPr>
              <w:t>年</w:t>
            </w:r>
          </w:p>
        </w:tc>
        <w:tc>
          <w:tcPr>
            <w:tcW w:w="2673" w:type="dxa"/>
            <w:vAlign w:val="center"/>
          </w:tcPr>
          <w:p w:rsidR="006D678A" w:rsidRDefault="002A54C2">
            <w:r>
              <w:rPr>
                <w:color w:val="000000"/>
                <w:sz w:val="24"/>
                <w:szCs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szCs w:val="24"/>
              </w:rPr>
              <w:t>2010</w:t>
            </w:r>
            <w:r>
              <w:rPr>
                <w:color w:val="000000"/>
                <w:sz w:val="24"/>
                <w:szCs w:val="24"/>
              </w:rPr>
              <w:t>年</w:t>
            </w:r>
            <w:r>
              <w:rPr>
                <w:color w:val="000000"/>
                <w:sz w:val="24"/>
                <w:szCs w:val="24"/>
              </w:rPr>
              <w:t>9</w:t>
            </w:r>
            <w:r>
              <w:rPr>
                <w:color w:val="000000"/>
                <w:sz w:val="24"/>
                <w:szCs w:val="24"/>
              </w:rPr>
              <w:t>月至</w:t>
            </w:r>
            <w:r>
              <w:rPr>
                <w:color w:val="000000"/>
                <w:sz w:val="24"/>
                <w:szCs w:val="24"/>
              </w:rPr>
              <w:t>2012</w:t>
            </w:r>
            <w:r>
              <w:rPr>
                <w:color w:val="000000"/>
                <w:sz w:val="24"/>
                <w:szCs w:val="24"/>
              </w:rPr>
              <w:t>年</w:t>
            </w:r>
            <w:r>
              <w:rPr>
                <w:color w:val="000000"/>
                <w:sz w:val="24"/>
                <w:szCs w:val="24"/>
              </w:rPr>
              <w:t>10</w:t>
            </w:r>
            <w:r>
              <w:rPr>
                <w:color w:val="000000"/>
                <w:sz w:val="24"/>
                <w:szCs w:val="24"/>
              </w:rPr>
              <w:t>月担任东吴新创业股票型证券投资基金基金经理，</w:t>
            </w:r>
            <w:r>
              <w:rPr>
                <w:color w:val="000000"/>
                <w:sz w:val="24"/>
                <w:szCs w:val="24"/>
              </w:rPr>
              <w:t>2011</w:t>
            </w:r>
            <w:r>
              <w:rPr>
                <w:color w:val="000000"/>
                <w:sz w:val="24"/>
                <w:szCs w:val="24"/>
              </w:rPr>
              <w:t>年</w:t>
            </w:r>
            <w:r>
              <w:rPr>
                <w:color w:val="000000"/>
                <w:sz w:val="24"/>
                <w:szCs w:val="24"/>
              </w:rPr>
              <w:t>2</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月担任东吴中证新兴产业指数证券投资基金基金经理，</w:t>
            </w:r>
            <w:r>
              <w:rPr>
                <w:color w:val="000000"/>
                <w:sz w:val="24"/>
                <w:szCs w:val="24"/>
              </w:rPr>
              <w:t>2011</w:t>
            </w:r>
            <w:r>
              <w:rPr>
                <w:color w:val="000000"/>
                <w:sz w:val="24"/>
                <w:szCs w:val="24"/>
              </w:rPr>
              <w:t>年</w:t>
            </w:r>
            <w:r>
              <w:rPr>
                <w:color w:val="000000"/>
                <w:sz w:val="24"/>
                <w:szCs w:val="24"/>
              </w:rPr>
              <w:t>5</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月担任东吴价值成长双动力股票型证券投资基金基金经理。</w:t>
            </w:r>
            <w:r>
              <w:rPr>
                <w:color w:val="000000"/>
                <w:sz w:val="24"/>
                <w:szCs w:val="24"/>
              </w:rPr>
              <w:t>2012</w:t>
            </w:r>
            <w:r>
              <w:rPr>
                <w:color w:val="000000"/>
                <w:sz w:val="24"/>
                <w:szCs w:val="24"/>
              </w:rPr>
              <w:t>年加入交银施罗德基金管理有限公司。</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6D678A" w:rsidRDefault="002A54C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6D678A" w:rsidRDefault="002A54C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6D678A" w:rsidRDefault="002A54C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w:t>
      </w:r>
      <w:r w:rsidRPr="00414345">
        <w:rPr>
          <w:color w:val="000000"/>
          <w:sz w:val="24"/>
          <w:szCs w:val="24"/>
        </w:rPr>
        <w:t>,</w:t>
      </w:r>
      <w:r w:rsidRPr="00414345">
        <w:rPr>
          <w:color w:val="000000"/>
          <w:sz w:val="24"/>
          <w:szCs w:val="24"/>
        </w:rPr>
        <w:t>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6D678A" w:rsidRDefault="002A54C2">
      <w:pPr>
        <w:spacing w:before="29" w:line="288" w:lineRule="auto"/>
        <w:ind w:firstLineChars="200" w:firstLine="480"/>
        <w:rPr>
          <w:color w:val="000000"/>
          <w:sz w:val="24"/>
          <w:szCs w:val="24"/>
        </w:rPr>
      </w:pPr>
      <w:r>
        <w:rPr>
          <w:color w:val="000000"/>
          <w:sz w:val="24"/>
          <w:szCs w:val="24"/>
        </w:rPr>
        <w:t>2014</w:t>
      </w:r>
      <w:r>
        <w:rPr>
          <w:color w:val="000000"/>
          <w:sz w:val="24"/>
          <w:szCs w:val="24"/>
        </w:rPr>
        <w:t>年三季度</w:t>
      </w:r>
      <w:r>
        <w:rPr>
          <w:color w:val="000000"/>
          <w:sz w:val="24"/>
          <w:szCs w:val="24"/>
        </w:rPr>
        <w:t>A</w:t>
      </w:r>
      <w:r>
        <w:rPr>
          <w:color w:val="000000"/>
          <w:sz w:val="24"/>
          <w:szCs w:val="24"/>
        </w:rPr>
        <w:t>股市场呈现单边上涨的态势。股市上涨初期主要反映了宏观政策放松的预期，在中后期尽管宏观刺激政策低于市场预期，宏观高频数据显示刺激效果乏力，指数阶段性回调，但在海外热钱和产业资本持续流入股市驱动下，股市依然明显保持强势。股市上涨原因预计是投资者对权益资产在当下风险属性的判断上出现较大的变化，在新常态转型大旗的局势下，在当下经济阶段原本应该有风险的股票资产，却被认为是低风险高回报的优质资产，部分承接了高收益需求资本的追捧。新常态的共识在逐步深入人心，这种共识不仅在消磨过去</w:t>
      </w:r>
      <w:r>
        <w:rPr>
          <w:color w:val="000000"/>
          <w:sz w:val="24"/>
          <w:szCs w:val="24"/>
        </w:rPr>
        <w:t>10</w:t>
      </w:r>
      <w:r>
        <w:rPr>
          <w:color w:val="000000"/>
          <w:sz w:val="24"/>
          <w:szCs w:val="24"/>
        </w:rPr>
        <w:t>年市场基本面投资的集体记忆，也在驱动投资者用更加开放、某种程度上激进的方法识别风险判断投资价值。</w:t>
      </w:r>
    </w:p>
    <w:p w:rsidR="006D678A" w:rsidRDefault="002A54C2">
      <w:pPr>
        <w:spacing w:before="29" w:line="288" w:lineRule="auto"/>
        <w:ind w:firstLineChars="200" w:firstLine="480"/>
        <w:rPr>
          <w:color w:val="000000"/>
          <w:sz w:val="24"/>
          <w:szCs w:val="24"/>
        </w:rPr>
      </w:pPr>
      <w:r>
        <w:rPr>
          <w:color w:val="000000"/>
          <w:sz w:val="24"/>
          <w:szCs w:val="24"/>
        </w:rPr>
        <w:t>三季度本基金净值上涨</w:t>
      </w:r>
      <w:r>
        <w:rPr>
          <w:color w:val="000000"/>
          <w:sz w:val="24"/>
          <w:szCs w:val="24"/>
        </w:rPr>
        <w:t>15.90%</w:t>
      </w:r>
      <w:r>
        <w:rPr>
          <w:color w:val="000000"/>
          <w:sz w:val="24"/>
          <w:szCs w:val="24"/>
        </w:rPr>
        <w:t>，略微跑输业绩比较基准。观察沪深</w:t>
      </w:r>
      <w:r>
        <w:rPr>
          <w:color w:val="000000"/>
          <w:sz w:val="24"/>
          <w:szCs w:val="24"/>
        </w:rPr>
        <w:t>300</w:t>
      </w:r>
      <w:r>
        <w:rPr>
          <w:color w:val="000000"/>
          <w:sz w:val="24"/>
          <w:szCs w:val="24"/>
        </w:rPr>
        <w:t>指数成分股年初以来的涨幅，可以发现涨幅榜的后面聚集了大量的基金重仓股。对比涨幅榜前面的股票，理性的投资者都会感慨，单从基本面的维度考量，基金重仓股真的如股价所展示的那么差么？</w:t>
      </w:r>
      <w:r>
        <w:rPr>
          <w:color w:val="000000"/>
          <w:sz w:val="24"/>
          <w:szCs w:val="24"/>
        </w:rPr>
        <w:t xml:space="preserve"> </w:t>
      </w:r>
      <w:r>
        <w:rPr>
          <w:color w:val="000000"/>
          <w:sz w:val="24"/>
          <w:szCs w:val="24"/>
        </w:rPr>
        <w:t>可以有很多差异化的视角来解释这种股价和基本面的脱钩。最深入人心的当然是新常态共识和互联网思维。这两个因素固然影响深远，可远没达到一句顶万句而成为绝对真理的程度。比如互联网思维，如果脱离分工网络为基础的商业逻辑的本质，至多可能只是概念炒作和观念的操纵。</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四季度宏观经济依然处于缓慢寻底的过程，政府在宏观调控方面的适应性对冲，预计可能更多是减少痛苦而无法解决问题。在表外资产和股票资产领域被扭曲的风险定价应该只是阶段性的现象，政府只是宏观经济中的一个有力参与者，当它的行为能被其他参与者理性预期且利用的时候，其作用在中期来看肯定是受限的。在行业配置上，我们坚持在新兴行业中寻找机会，特别是在受益于互联网大潮、人口红利、制造业升级、环境保护等趋势的行业板块中。在个股选择上，还是强调企业存在边界，虽然这种可能的边界在新常态和互联网大潮下在发生变动，但肯定会受到商业逻辑的约束。更多地尝试这种对可能性的风险识别和定价，是未来投资中持续的挑战。</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2014</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1.363</w:t>
      </w:r>
      <w:r w:rsidRPr="00414345">
        <w:rPr>
          <w:color w:val="000000"/>
          <w:sz w:val="24"/>
          <w:szCs w:val="24"/>
        </w:rPr>
        <w:t>元，本报告期份额净值增长率为</w:t>
      </w:r>
      <w:r w:rsidRPr="00414345">
        <w:rPr>
          <w:color w:val="000000"/>
          <w:sz w:val="24"/>
          <w:szCs w:val="24"/>
        </w:rPr>
        <w:t>15.90%</w:t>
      </w:r>
      <w:r w:rsidRPr="00414345">
        <w:rPr>
          <w:color w:val="000000"/>
          <w:sz w:val="24"/>
          <w:szCs w:val="24"/>
        </w:rPr>
        <w:t>，同期业绩比较基准增长率</w:t>
      </w:r>
      <w:r w:rsidRPr="00414345">
        <w:rPr>
          <w:color w:val="000000"/>
          <w:sz w:val="24"/>
          <w:szCs w:val="24"/>
        </w:rPr>
        <w:t>17.29%</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061AC" w:rsidRPr="00414345" w:rsidRDefault="004061AC" w:rsidP="00FA475D">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657,437,301.66</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71.18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657,437,301.66</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71.18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20,008,000.00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2.17</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20,008,000.00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2.17</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59,376,409.06</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6.43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177,625,133.01</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19.23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9,232,939.01</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923,679,782.74</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34523E">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34523E">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527,084,773.72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57.75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35,824,767.62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19,399,367.94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34523E">
            <w:pPr>
              <w:adjustRightInd w:val="0"/>
              <w:snapToGrid w:val="0"/>
              <w:spacing w:before="29" w:line="288" w:lineRule="auto"/>
              <w:jc w:val="left"/>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37,361,235.63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4.09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37,767,156.75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657,437,301.66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72.03</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6D678A">
        <w:trPr>
          <w:jc w:val="center"/>
        </w:trPr>
        <w:tc>
          <w:tcPr>
            <w:tcW w:w="855" w:type="dxa"/>
            <w:vAlign w:val="center"/>
          </w:tcPr>
          <w:p w:rsidR="006D678A" w:rsidRDefault="002A54C2">
            <w:pPr>
              <w:jc w:val="center"/>
            </w:pPr>
            <w:r>
              <w:rPr>
                <w:color w:val="000000"/>
                <w:sz w:val="24"/>
                <w:szCs w:val="24"/>
              </w:rPr>
              <w:t>1</w:t>
            </w:r>
          </w:p>
        </w:tc>
        <w:tc>
          <w:tcPr>
            <w:tcW w:w="1334" w:type="dxa"/>
            <w:vAlign w:val="center"/>
          </w:tcPr>
          <w:p w:rsidR="006D678A" w:rsidRDefault="002A54C2">
            <w:pPr>
              <w:jc w:val="center"/>
            </w:pPr>
            <w:r>
              <w:rPr>
                <w:color w:val="000000"/>
                <w:sz w:val="24"/>
                <w:szCs w:val="24"/>
              </w:rPr>
              <w:t>600389</w:t>
            </w:r>
          </w:p>
        </w:tc>
        <w:tc>
          <w:tcPr>
            <w:tcW w:w="1777" w:type="dxa"/>
            <w:vAlign w:val="center"/>
          </w:tcPr>
          <w:p w:rsidR="006D678A" w:rsidRDefault="002A54C2">
            <w:pPr>
              <w:jc w:val="center"/>
            </w:pPr>
            <w:r>
              <w:rPr>
                <w:color w:val="000000"/>
                <w:sz w:val="24"/>
                <w:szCs w:val="24"/>
              </w:rPr>
              <w:t>江山股份</w:t>
            </w:r>
          </w:p>
        </w:tc>
        <w:tc>
          <w:tcPr>
            <w:tcW w:w="1334" w:type="dxa"/>
            <w:vAlign w:val="center"/>
          </w:tcPr>
          <w:p w:rsidR="006D678A" w:rsidRDefault="002A54C2">
            <w:pPr>
              <w:jc w:val="right"/>
            </w:pPr>
            <w:r>
              <w:rPr>
                <w:color w:val="000000"/>
                <w:sz w:val="24"/>
                <w:szCs w:val="24"/>
              </w:rPr>
              <w:t>2,241,446</w:t>
            </w:r>
          </w:p>
        </w:tc>
        <w:tc>
          <w:tcPr>
            <w:tcW w:w="1924" w:type="dxa"/>
            <w:vAlign w:val="center"/>
          </w:tcPr>
          <w:p w:rsidR="006D678A" w:rsidRDefault="002A54C2">
            <w:pPr>
              <w:jc w:val="right"/>
            </w:pPr>
            <w:r>
              <w:rPr>
                <w:color w:val="000000"/>
                <w:sz w:val="24"/>
                <w:szCs w:val="24"/>
              </w:rPr>
              <w:t>72,040,074.44</w:t>
            </w:r>
          </w:p>
        </w:tc>
        <w:tc>
          <w:tcPr>
            <w:tcW w:w="1644" w:type="dxa"/>
            <w:vAlign w:val="center"/>
          </w:tcPr>
          <w:p w:rsidR="006D678A" w:rsidRDefault="002A54C2">
            <w:pPr>
              <w:jc w:val="right"/>
            </w:pPr>
            <w:r>
              <w:rPr>
                <w:color w:val="000000"/>
                <w:sz w:val="24"/>
                <w:szCs w:val="24"/>
              </w:rPr>
              <w:t>7.89</w:t>
            </w:r>
          </w:p>
        </w:tc>
      </w:tr>
      <w:tr w:rsidR="006D678A">
        <w:trPr>
          <w:jc w:val="center"/>
        </w:trPr>
        <w:tc>
          <w:tcPr>
            <w:tcW w:w="855" w:type="dxa"/>
            <w:vAlign w:val="center"/>
          </w:tcPr>
          <w:p w:rsidR="006D678A" w:rsidRDefault="002A54C2">
            <w:pPr>
              <w:jc w:val="center"/>
            </w:pPr>
            <w:r>
              <w:rPr>
                <w:color w:val="000000"/>
                <w:sz w:val="24"/>
                <w:szCs w:val="24"/>
              </w:rPr>
              <w:t>2</w:t>
            </w:r>
          </w:p>
        </w:tc>
        <w:tc>
          <w:tcPr>
            <w:tcW w:w="1334" w:type="dxa"/>
            <w:vAlign w:val="center"/>
          </w:tcPr>
          <w:p w:rsidR="006D678A" w:rsidRDefault="002A54C2">
            <w:pPr>
              <w:jc w:val="center"/>
            </w:pPr>
            <w:r>
              <w:rPr>
                <w:color w:val="000000"/>
                <w:sz w:val="24"/>
                <w:szCs w:val="24"/>
              </w:rPr>
              <w:t>600967</w:t>
            </w:r>
          </w:p>
        </w:tc>
        <w:tc>
          <w:tcPr>
            <w:tcW w:w="1777" w:type="dxa"/>
            <w:vAlign w:val="center"/>
          </w:tcPr>
          <w:p w:rsidR="006D678A" w:rsidRDefault="002A54C2">
            <w:pPr>
              <w:jc w:val="center"/>
            </w:pPr>
            <w:r>
              <w:rPr>
                <w:color w:val="000000"/>
                <w:sz w:val="24"/>
                <w:szCs w:val="24"/>
              </w:rPr>
              <w:t>北方创业</w:t>
            </w:r>
          </w:p>
        </w:tc>
        <w:tc>
          <w:tcPr>
            <w:tcW w:w="1334" w:type="dxa"/>
            <w:vAlign w:val="center"/>
          </w:tcPr>
          <w:p w:rsidR="006D678A" w:rsidRDefault="002A54C2">
            <w:pPr>
              <w:jc w:val="right"/>
            </w:pPr>
            <w:r>
              <w:rPr>
                <w:color w:val="000000"/>
                <w:sz w:val="24"/>
                <w:szCs w:val="24"/>
              </w:rPr>
              <w:t>4,326,735</w:t>
            </w:r>
          </w:p>
        </w:tc>
        <w:tc>
          <w:tcPr>
            <w:tcW w:w="1924" w:type="dxa"/>
            <w:vAlign w:val="center"/>
          </w:tcPr>
          <w:p w:rsidR="006D678A" w:rsidRDefault="002A54C2">
            <w:pPr>
              <w:jc w:val="right"/>
            </w:pPr>
            <w:r>
              <w:rPr>
                <w:color w:val="000000"/>
                <w:sz w:val="24"/>
                <w:szCs w:val="24"/>
              </w:rPr>
              <w:t>68,968,155.90</w:t>
            </w:r>
          </w:p>
        </w:tc>
        <w:tc>
          <w:tcPr>
            <w:tcW w:w="1644" w:type="dxa"/>
            <w:vAlign w:val="center"/>
          </w:tcPr>
          <w:p w:rsidR="006D678A" w:rsidRDefault="002A54C2">
            <w:pPr>
              <w:jc w:val="right"/>
            </w:pPr>
            <w:r>
              <w:rPr>
                <w:color w:val="000000"/>
                <w:sz w:val="24"/>
                <w:szCs w:val="24"/>
              </w:rPr>
              <w:t>7.56</w:t>
            </w:r>
          </w:p>
        </w:tc>
      </w:tr>
      <w:tr w:rsidR="006D678A">
        <w:trPr>
          <w:jc w:val="center"/>
        </w:trPr>
        <w:tc>
          <w:tcPr>
            <w:tcW w:w="855" w:type="dxa"/>
            <w:vAlign w:val="center"/>
          </w:tcPr>
          <w:p w:rsidR="006D678A" w:rsidRDefault="002A54C2">
            <w:pPr>
              <w:jc w:val="center"/>
            </w:pPr>
            <w:r>
              <w:rPr>
                <w:color w:val="000000"/>
                <w:sz w:val="24"/>
                <w:szCs w:val="24"/>
              </w:rPr>
              <w:t>3</w:t>
            </w:r>
          </w:p>
        </w:tc>
        <w:tc>
          <w:tcPr>
            <w:tcW w:w="1334" w:type="dxa"/>
            <w:vAlign w:val="center"/>
          </w:tcPr>
          <w:p w:rsidR="006D678A" w:rsidRDefault="002A54C2">
            <w:pPr>
              <w:jc w:val="center"/>
            </w:pPr>
            <w:r>
              <w:rPr>
                <w:color w:val="000000"/>
                <w:sz w:val="24"/>
                <w:szCs w:val="24"/>
              </w:rPr>
              <w:t>600038</w:t>
            </w:r>
          </w:p>
        </w:tc>
        <w:tc>
          <w:tcPr>
            <w:tcW w:w="1777" w:type="dxa"/>
            <w:vAlign w:val="center"/>
          </w:tcPr>
          <w:p w:rsidR="006D678A" w:rsidRDefault="002A54C2">
            <w:pPr>
              <w:jc w:val="center"/>
            </w:pPr>
            <w:r>
              <w:rPr>
                <w:color w:val="000000"/>
                <w:sz w:val="24"/>
                <w:szCs w:val="24"/>
              </w:rPr>
              <w:t>哈飞股份</w:t>
            </w:r>
          </w:p>
        </w:tc>
        <w:tc>
          <w:tcPr>
            <w:tcW w:w="1334" w:type="dxa"/>
            <w:vAlign w:val="center"/>
          </w:tcPr>
          <w:p w:rsidR="006D678A" w:rsidRDefault="002A54C2">
            <w:pPr>
              <w:jc w:val="right"/>
            </w:pPr>
            <w:r>
              <w:rPr>
                <w:color w:val="000000"/>
                <w:sz w:val="24"/>
                <w:szCs w:val="24"/>
              </w:rPr>
              <w:t>1,230,628</w:t>
            </w:r>
          </w:p>
        </w:tc>
        <w:tc>
          <w:tcPr>
            <w:tcW w:w="1924" w:type="dxa"/>
            <w:vAlign w:val="center"/>
          </w:tcPr>
          <w:p w:rsidR="006D678A" w:rsidRDefault="002A54C2">
            <w:pPr>
              <w:jc w:val="right"/>
            </w:pPr>
            <w:r>
              <w:rPr>
                <w:color w:val="000000"/>
                <w:sz w:val="24"/>
                <w:szCs w:val="24"/>
              </w:rPr>
              <w:t>43,202,904.28</w:t>
            </w:r>
          </w:p>
        </w:tc>
        <w:tc>
          <w:tcPr>
            <w:tcW w:w="1644" w:type="dxa"/>
            <w:vAlign w:val="center"/>
          </w:tcPr>
          <w:p w:rsidR="006D678A" w:rsidRDefault="002A54C2">
            <w:pPr>
              <w:jc w:val="right"/>
            </w:pPr>
            <w:r>
              <w:rPr>
                <w:color w:val="000000"/>
                <w:sz w:val="24"/>
                <w:szCs w:val="24"/>
              </w:rPr>
              <w:t>4.73</w:t>
            </w:r>
          </w:p>
        </w:tc>
      </w:tr>
      <w:tr w:rsidR="006D678A">
        <w:trPr>
          <w:jc w:val="center"/>
        </w:trPr>
        <w:tc>
          <w:tcPr>
            <w:tcW w:w="855" w:type="dxa"/>
            <w:vAlign w:val="center"/>
          </w:tcPr>
          <w:p w:rsidR="006D678A" w:rsidRDefault="002A54C2">
            <w:pPr>
              <w:jc w:val="center"/>
            </w:pPr>
            <w:r>
              <w:rPr>
                <w:color w:val="000000"/>
                <w:sz w:val="24"/>
                <w:szCs w:val="24"/>
              </w:rPr>
              <w:t>4</w:t>
            </w:r>
          </w:p>
        </w:tc>
        <w:tc>
          <w:tcPr>
            <w:tcW w:w="1334" w:type="dxa"/>
            <w:vAlign w:val="center"/>
          </w:tcPr>
          <w:p w:rsidR="006D678A" w:rsidRDefault="002A54C2">
            <w:pPr>
              <w:jc w:val="center"/>
            </w:pPr>
            <w:r>
              <w:rPr>
                <w:color w:val="000000"/>
                <w:sz w:val="24"/>
                <w:szCs w:val="24"/>
              </w:rPr>
              <w:t>601311</w:t>
            </w:r>
          </w:p>
        </w:tc>
        <w:tc>
          <w:tcPr>
            <w:tcW w:w="1777" w:type="dxa"/>
            <w:vAlign w:val="center"/>
          </w:tcPr>
          <w:p w:rsidR="006D678A" w:rsidRDefault="002A54C2">
            <w:pPr>
              <w:jc w:val="center"/>
            </w:pPr>
            <w:r>
              <w:rPr>
                <w:color w:val="000000"/>
                <w:sz w:val="24"/>
                <w:szCs w:val="24"/>
              </w:rPr>
              <w:t>骆驼股份</w:t>
            </w:r>
          </w:p>
        </w:tc>
        <w:tc>
          <w:tcPr>
            <w:tcW w:w="1334" w:type="dxa"/>
            <w:vAlign w:val="center"/>
          </w:tcPr>
          <w:p w:rsidR="006D678A" w:rsidRDefault="002A54C2">
            <w:pPr>
              <w:jc w:val="right"/>
            </w:pPr>
            <w:r>
              <w:rPr>
                <w:color w:val="000000"/>
                <w:sz w:val="24"/>
                <w:szCs w:val="24"/>
              </w:rPr>
              <w:t>2,660,559</w:t>
            </w:r>
          </w:p>
        </w:tc>
        <w:tc>
          <w:tcPr>
            <w:tcW w:w="1924" w:type="dxa"/>
            <w:vAlign w:val="center"/>
          </w:tcPr>
          <w:p w:rsidR="006D678A" w:rsidRDefault="002A54C2">
            <w:pPr>
              <w:jc w:val="right"/>
            </w:pPr>
            <w:r>
              <w:rPr>
                <w:color w:val="000000"/>
                <w:sz w:val="24"/>
                <w:szCs w:val="24"/>
              </w:rPr>
              <w:t>40,573,524.75</w:t>
            </w:r>
          </w:p>
        </w:tc>
        <w:tc>
          <w:tcPr>
            <w:tcW w:w="1644" w:type="dxa"/>
            <w:vAlign w:val="center"/>
          </w:tcPr>
          <w:p w:rsidR="006D678A" w:rsidRDefault="002A54C2">
            <w:pPr>
              <w:jc w:val="right"/>
            </w:pPr>
            <w:r>
              <w:rPr>
                <w:color w:val="000000"/>
                <w:sz w:val="24"/>
                <w:szCs w:val="24"/>
              </w:rPr>
              <w:t>4.45</w:t>
            </w:r>
          </w:p>
        </w:tc>
      </w:tr>
      <w:tr w:rsidR="006D678A">
        <w:trPr>
          <w:jc w:val="center"/>
        </w:trPr>
        <w:tc>
          <w:tcPr>
            <w:tcW w:w="855" w:type="dxa"/>
            <w:vAlign w:val="center"/>
          </w:tcPr>
          <w:p w:rsidR="006D678A" w:rsidRDefault="002A54C2">
            <w:pPr>
              <w:jc w:val="center"/>
            </w:pPr>
            <w:r>
              <w:rPr>
                <w:color w:val="000000"/>
                <w:sz w:val="24"/>
                <w:szCs w:val="24"/>
              </w:rPr>
              <w:t>5</w:t>
            </w:r>
          </w:p>
        </w:tc>
        <w:tc>
          <w:tcPr>
            <w:tcW w:w="1334" w:type="dxa"/>
            <w:vAlign w:val="center"/>
          </w:tcPr>
          <w:p w:rsidR="006D678A" w:rsidRDefault="002A54C2">
            <w:pPr>
              <w:jc w:val="center"/>
            </w:pPr>
            <w:r>
              <w:rPr>
                <w:color w:val="000000"/>
                <w:sz w:val="24"/>
                <w:szCs w:val="24"/>
              </w:rPr>
              <w:t>600763</w:t>
            </w:r>
          </w:p>
        </w:tc>
        <w:tc>
          <w:tcPr>
            <w:tcW w:w="1777" w:type="dxa"/>
            <w:vAlign w:val="center"/>
          </w:tcPr>
          <w:p w:rsidR="006D678A" w:rsidRDefault="002A54C2">
            <w:pPr>
              <w:jc w:val="center"/>
            </w:pPr>
            <w:r>
              <w:rPr>
                <w:color w:val="000000"/>
                <w:sz w:val="24"/>
                <w:szCs w:val="24"/>
              </w:rPr>
              <w:t>通策医疗</w:t>
            </w:r>
          </w:p>
        </w:tc>
        <w:tc>
          <w:tcPr>
            <w:tcW w:w="1334" w:type="dxa"/>
            <w:vAlign w:val="center"/>
          </w:tcPr>
          <w:p w:rsidR="006D678A" w:rsidRDefault="002A54C2">
            <w:pPr>
              <w:jc w:val="right"/>
            </w:pPr>
            <w:r>
              <w:rPr>
                <w:color w:val="000000"/>
                <w:sz w:val="24"/>
                <w:szCs w:val="24"/>
              </w:rPr>
              <w:t>782,739</w:t>
            </w:r>
          </w:p>
        </w:tc>
        <w:tc>
          <w:tcPr>
            <w:tcW w:w="1924" w:type="dxa"/>
            <w:vAlign w:val="center"/>
          </w:tcPr>
          <w:p w:rsidR="006D678A" w:rsidRDefault="002A54C2">
            <w:pPr>
              <w:jc w:val="right"/>
            </w:pPr>
            <w:r>
              <w:rPr>
                <w:color w:val="000000"/>
                <w:sz w:val="24"/>
                <w:szCs w:val="24"/>
              </w:rPr>
              <w:t>37,767,156.75</w:t>
            </w:r>
          </w:p>
        </w:tc>
        <w:tc>
          <w:tcPr>
            <w:tcW w:w="1644" w:type="dxa"/>
            <w:vAlign w:val="center"/>
          </w:tcPr>
          <w:p w:rsidR="006D678A" w:rsidRDefault="002A54C2">
            <w:pPr>
              <w:jc w:val="right"/>
            </w:pPr>
            <w:r>
              <w:rPr>
                <w:color w:val="000000"/>
                <w:sz w:val="24"/>
                <w:szCs w:val="24"/>
              </w:rPr>
              <w:t>4.14</w:t>
            </w:r>
          </w:p>
        </w:tc>
      </w:tr>
      <w:tr w:rsidR="006D678A">
        <w:trPr>
          <w:jc w:val="center"/>
        </w:trPr>
        <w:tc>
          <w:tcPr>
            <w:tcW w:w="855" w:type="dxa"/>
            <w:vAlign w:val="center"/>
          </w:tcPr>
          <w:p w:rsidR="006D678A" w:rsidRDefault="002A54C2">
            <w:pPr>
              <w:jc w:val="center"/>
            </w:pPr>
            <w:r>
              <w:rPr>
                <w:color w:val="000000"/>
                <w:sz w:val="24"/>
                <w:szCs w:val="24"/>
              </w:rPr>
              <w:t>6</w:t>
            </w:r>
          </w:p>
        </w:tc>
        <w:tc>
          <w:tcPr>
            <w:tcW w:w="1334" w:type="dxa"/>
            <w:vAlign w:val="center"/>
          </w:tcPr>
          <w:p w:rsidR="006D678A" w:rsidRDefault="002A54C2">
            <w:pPr>
              <w:jc w:val="center"/>
            </w:pPr>
            <w:r>
              <w:rPr>
                <w:color w:val="000000"/>
                <w:sz w:val="24"/>
                <w:szCs w:val="24"/>
              </w:rPr>
              <w:t>300335</w:t>
            </w:r>
          </w:p>
        </w:tc>
        <w:tc>
          <w:tcPr>
            <w:tcW w:w="1777" w:type="dxa"/>
            <w:vAlign w:val="center"/>
          </w:tcPr>
          <w:p w:rsidR="006D678A" w:rsidRDefault="002A54C2">
            <w:pPr>
              <w:jc w:val="center"/>
            </w:pPr>
            <w:r>
              <w:rPr>
                <w:color w:val="000000"/>
                <w:sz w:val="24"/>
                <w:szCs w:val="24"/>
              </w:rPr>
              <w:t>迪森股份</w:t>
            </w:r>
          </w:p>
        </w:tc>
        <w:tc>
          <w:tcPr>
            <w:tcW w:w="1334" w:type="dxa"/>
            <w:vAlign w:val="center"/>
          </w:tcPr>
          <w:p w:rsidR="006D678A" w:rsidRDefault="002A54C2">
            <w:pPr>
              <w:jc w:val="right"/>
            </w:pPr>
            <w:r>
              <w:rPr>
                <w:color w:val="000000"/>
                <w:sz w:val="24"/>
                <w:szCs w:val="24"/>
              </w:rPr>
              <w:t>2,366,233</w:t>
            </w:r>
          </w:p>
        </w:tc>
        <w:tc>
          <w:tcPr>
            <w:tcW w:w="1924" w:type="dxa"/>
            <w:vAlign w:val="center"/>
          </w:tcPr>
          <w:p w:rsidR="006D678A" w:rsidRDefault="002A54C2">
            <w:pPr>
              <w:jc w:val="right"/>
            </w:pPr>
            <w:r>
              <w:rPr>
                <w:color w:val="000000"/>
                <w:sz w:val="24"/>
                <w:szCs w:val="24"/>
              </w:rPr>
              <w:t>35,824,767.62</w:t>
            </w:r>
          </w:p>
        </w:tc>
        <w:tc>
          <w:tcPr>
            <w:tcW w:w="1644" w:type="dxa"/>
            <w:vAlign w:val="center"/>
          </w:tcPr>
          <w:p w:rsidR="006D678A" w:rsidRDefault="002A54C2">
            <w:pPr>
              <w:jc w:val="right"/>
            </w:pPr>
            <w:r>
              <w:rPr>
                <w:color w:val="000000"/>
                <w:sz w:val="24"/>
                <w:szCs w:val="24"/>
              </w:rPr>
              <w:t>3.92</w:t>
            </w:r>
          </w:p>
        </w:tc>
      </w:tr>
      <w:tr w:rsidR="006D678A">
        <w:trPr>
          <w:jc w:val="center"/>
        </w:trPr>
        <w:tc>
          <w:tcPr>
            <w:tcW w:w="855" w:type="dxa"/>
            <w:vAlign w:val="center"/>
          </w:tcPr>
          <w:p w:rsidR="006D678A" w:rsidRDefault="002A54C2">
            <w:pPr>
              <w:jc w:val="center"/>
            </w:pPr>
            <w:r>
              <w:rPr>
                <w:color w:val="000000"/>
                <w:sz w:val="24"/>
                <w:szCs w:val="24"/>
              </w:rPr>
              <w:t>7</w:t>
            </w:r>
          </w:p>
        </w:tc>
        <w:tc>
          <w:tcPr>
            <w:tcW w:w="1334" w:type="dxa"/>
            <w:vAlign w:val="center"/>
          </w:tcPr>
          <w:p w:rsidR="006D678A" w:rsidRDefault="002A54C2">
            <w:pPr>
              <w:jc w:val="center"/>
            </w:pPr>
            <w:r>
              <w:rPr>
                <w:color w:val="000000"/>
                <w:sz w:val="24"/>
                <w:szCs w:val="24"/>
              </w:rPr>
              <w:t>002223</w:t>
            </w:r>
          </w:p>
        </w:tc>
        <w:tc>
          <w:tcPr>
            <w:tcW w:w="1777" w:type="dxa"/>
            <w:vAlign w:val="center"/>
          </w:tcPr>
          <w:p w:rsidR="006D678A" w:rsidRDefault="002A54C2">
            <w:pPr>
              <w:jc w:val="center"/>
            </w:pPr>
            <w:r>
              <w:rPr>
                <w:color w:val="000000"/>
                <w:sz w:val="24"/>
                <w:szCs w:val="24"/>
              </w:rPr>
              <w:t>鱼跃医疗</w:t>
            </w:r>
          </w:p>
        </w:tc>
        <w:tc>
          <w:tcPr>
            <w:tcW w:w="1334" w:type="dxa"/>
            <w:vAlign w:val="center"/>
          </w:tcPr>
          <w:p w:rsidR="006D678A" w:rsidRDefault="002A54C2">
            <w:pPr>
              <w:jc w:val="right"/>
            </w:pPr>
            <w:r>
              <w:rPr>
                <w:color w:val="000000"/>
                <w:sz w:val="24"/>
                <w:szCs w:val="24"/>
              </w:rPr>
              <w:t>1,206,236</w:t>
            </w:r>
          </w:p>
        </w:tc>
        <w:tc>
          <w:tcPr>
            <w:tcW w:w="1924" w:type="dxa"/>
            <w:vAlign w:val="center"/>
          </w:tcPr>
          <w:p w:rsidR="006D678A" w:rsidRDefault="002A54C2">
            <w:pPr>
              <w:jc w:val="right"/>
            </w:pPr>
            <w:r>
              <w:rPr>
                <w:color w:val="000000"/>
                <w:sz w:val="24"/>
                <w:szCs w:val="24"/>
              </w:rPr>
              <w:t>34,980,844.00</w:t>
            </w:r>
          </w:p>
        </w:tc>
        <w:tc>
          <w:tcPr>
            <w:tcW w:w="1644" w:type="dxa"/>
            <w:vAlign w:val="center"/>
          </w:tcPr>
          <w:p w:rsidR="006D678A" w:rsidRDefault="002A54C2">
            <w:pPr>
              <w:jc w:val="right"/>
            </w:pPr>
            <w:r>
              <w:rPr>
                <w:color w:val="000000"/>
                <w:sz w:val="24"/>
                <w:szCs w:val="24"/>
              </w:rPr>
              <w:t>3.83</w:t>
            </w:r>
          </w:p>
        </w:tc>
      </w:tr>
      <w:tr w:rsidR="006D678A">
        <w:trPr>
          <w:jc w:val="center"/>
        </w:trPr>
        <w:tc>
          <w:tcPr>
            <w:tcW w:w="855" w:type="dxa"/>
            <w:vAlign w:val="center"/>
          </w:tcPr>
          <w:p w:rsidR="006D678A" w:rsidRDefault="002A54C2">
            <w:pPr>
              <w:jc w:val="center"/>
            </w:pPr>
            <w:r>
              <w:rPr>
                <w:color w:val="000000"/>
                <w:sz w:val="24"/>
                <w:szCs w:val="24"/>
              </w:rPr>
              <w:t>8</w:t>
            </w:r>
          </w:p>
        </w:tc>
        <w:tc>
          <w:tcPr>
            <w:tcW w:w="1334" w:type="dxa"/>
            <w:vAlign w:val="center"/>
          </w:tcPr>
          <w:p w:rsidR="006D678A" w:rsidRDefault="002A54C2">
            <w:pPr>
              <w:jc w:val="center"/>
            </w:pPr>
            <w:r>
              <w:rPr>
                <w:color w:val="000000"/>
                <w:sz w:val="24"/>
                <w:szCs w:val="24"/>
              </w:rPr>
              <w:t>600893</w:t>
            </w:r>
          </w:p>
        </w:tc>
        <w:tc>
          <w:tcPr>
            <w:tcW w:w="1777" w:type="dxa"/>
            <w:vAlign w:val="center"/>
          </w:tcPr>
          <w:p w:rsidR="006D678A" w:rsidRDefault="002A54C2">
            <w:pPr>
              <w:jc w:val="center"/>
            </w:pPr>
            <w:r>
              <w:rPr>
                <w:color w:val="000000"/>
                <w:sz w:val="24"/>
                <w:szCs w:val="24"/>
              </w:rPr>
              <w:t>航空动力</w:t>
            </w:r>
          </w:p>
        </w:tc>
        <w:tc>
          <w:tcPr>
            <w:tcW w:w="1334" w:type="dxa"/>
            <w:vAlign w:val="center"/>
          </w:tcPr>
          <w:p w:rsidR="006D678A" w:rsidRDefault="002A54C2">
            <w:pPr>
              <w:jc w:val="right"/>
            </w:pPr>
            <w:r>
              <w:rPr>
                <w:color w:val="000000"/>
                <w:sz w:val="24"/>
                <w:szCs w:val="24"/>
              </w:rPr>
              <w:t>1,047,624</w:t>
            </w:r>
          </w:p>
        </w:tc>
        <w:tc>
          <w:tcPr>
            <w:tcW w:w="1924" w:type="dxa"/>
            <w:vAlign w:val="center"/>
          </w:tcPr>
          <w:p w:rsidR="006D678A" w:rsidRDefault="002A54C2">
            <w:pPr>
              <w:jc w:val="right"/>
            </w:pPr>
            <w:r>
              <w:rPr>
                <w:color w:val="000000"/>
                <w:sz w:val="24"/>
                <w:szCs w:val="24"/>
              </w:rPr>
              <w:t>31,135,385.28</w:t>
            </w:r>
          </w:p>
        </w:tc>
        <w:tc>
          <w:tcPr>
            <w:tcW w:w="1644" w:type="dxa"/>
            <w:vAlign w:val="center"/>
          </w:tcPr>
          <w:p w:rsidR="006D678A" w:rsidRDefault="002A54C2">
            <w:pPr>
              <w:jc w:val="right"/>
            </w:pPr>
            <w:r>
              <w:rPr>
                <w:color w:val="000000"/>
                <w:sz w:val="24"/>
                <w:szCs w:val="24"/>
              </w:rPr>
              <w:t>3.41</w:t>
            </w:r>
          </w:p>
        </w:tc>
      </w:tr>
      <w:tr w:rsidR="006D678A">
        <w:trPr>
          <w:jc w:val="center"/>
        </w:trPr>
        <w:tc>
          <w:tcPr>
            <w:tcW w:w="855" w:type="dxa"/>
            <w:vAlign w:val="center"/>
          </w:tcPr>
          <w:p w:rsidR="006D678A" w:rsidRDefault="002A54C2">
            <w:pPr>
              <w:jc w:val="center"/>
            </w:pPr>
            <w:r>
              <w:rPr>
                <w:color w:val="000000"/>
                <w:sz w:val="24"/>
                <w:szCs w:val="24"/>
              </w:rPr>
              <w:t>9</w:t>
            </w:r>
          </w:p>
        </w:tc>
        <w:tc>
          <w:tcPr>
            <w:tcW w:w="1334" w:type="dxa"/>
            <w:vAlign w:val="center"/>
          </w:tcPr>
          <w:p w:rsidR="006D678A" w:rsidRDefault="002A54C2">
            <w:pPr>
              <w:jc w:val="center"/>
            </w:pPr>
            <w:r>
              <w:rPr>
                <w:color w:val="000000"/>
                <w:sz w:val="24"/>
                <w:szCs w:val="24"/>
              </w:rPr>
              <w:t>601179</w:t>
            </w:r>
          </w:p>
        </w:tc>
        <w:tc>
          <w:tcPr>
            <w:tcW w:w="1777" w:type="dxa"/>
            <w:vAlign w:val="center"/>
          </w:tcPr>
          <w:p w:rsidR="006D678A" w:rsidRDefault="002A54C2">
            <w:pPr>
              <w:jc w:val="center"/>
            </w:pPr>
            <w:r>
              <w:rPr>
                <w:color w:val="000000"/>
                <w:sz w:val="24"/>
                <w:szCs w:val="24"/>
              </w:rPr>
              <w:t>中国西电</w:t>
            </w:r>
          </w:p>
        </w:tc>
        <w:tc>
          <w:tcPr>
            <w:tcW w:w="1334" w:type="dxa"/>
            <w:vAlign w:val="center"/>
          </w:tcPr>
          <w:p w:rsidR="006D678A" w:rsidRDefault="002A54C2">
            <w:pPr>
              <w:jc w:val="right"/>
            </w:pPr>
            <w:r>
              <w:rPr>
                <w:color w:val="000000"/>
                <w:sz w:val="24"/>
                <w:szCs w:val="24"/>
              </w:rPr>
              <w:t>6,252,107</w:t>
            </w:r>
          </w:p>
        </w:tc>
        <w:tc>
          <w:tcPr>
            <w:tcW w:w="1924" w:type="dxa"/>
            <w:vAlign w:val="center"/>
          </w:tcPr>
          <w:p w:rsidR="006D678A" w:rsidRDefault="002A54C2">
            <w:pPr>
              <w:jc w:val="right"/>
            </w:pPr>
            <w:r>
              <w:rPr>
                <w:color w:val="000000"/>
                <w:sz w:val="24"/>
                <w:szCs w:val="24"/>
              </w:rPr>
              <w:t>29,634,987.18</w:t>
            </w:r>
          </w:p>
        </w:tc>
        <w:tc>
          <w:tcPr>
            <w:tcW w:w="1644" w:type="dxa"/>
            <w:vAlign w:val="center"/>
          </w:tcPr>
          <w:p w:rsidR="006D678A" w:rsidRDefault="002A54C2">
            <w:pPr>
              <w:jc w:val="right"/>
            </w:pPr>
            <w:r>
              <w:rPr>
                <w:color w:val="000000"/>
                <w:sz w:val="24"/>
                <w:szCs w:val="24"/>
              </w:rPr>
              <w:t>3.25</w:t>
            </w:r>
          </w:p>
        </w:tc>
      </w:tr>
      <w:tr w:rsidR="006D678A">
        <w:trPr>
          <w:jc w:val="center"/>
        </w:trPr>
        <w:tc>
          <w:tcPr>
            <w:tcW w:w="855" w:type="dxa"/>
            <w:vAlign w:val="center"/>
          </w:tcPr>
          <w:p w:rsidR="006D678A" w:rsidRDefault="002A54C2">
            <w:pPr>
              <w:jc w:val="center"/>
            </w:pPr>
            <w:r>
              <w:rPr>
                <w:color w:val="000000"/>
                <w:sz w:val="24"/>
                <w:szCs w:val="24"/>
              </w:rPr>
              <w:t>10</w:t>
            </w:r>
          </w:p>
        </w:tc>
        <w:tc>
          <w:tcPr>
            <w:tcW w:w="1334" w:type="dxa"/>
            <w:vAlign w:val="center"/>
          </w:tcPr>
          <w:p w:rsidR="006D678A" w:rsidRDefault="002A54C2">
            <w:pPr>
              <w:jc w:val="center"/>
            </w:pPr>
            <w:r>
              <w:rPr>
                <w:color w:val="000000"/>
                <w:sz w:val="24"/>
                <w:szCs w:val="24"/>
              </w:rPr>
              <w:t>600089</w:t>
            </w:r>
          </w:p>
        </w:tc>
        <w:tc>
          <w:tcPr>
            <w:tcW w:w="1777" w:type="dxa"/>
            <w:vAlign w:val="center"/>
          </w:tcPr>
          <w:p w:rsidR="006D678A" w:rsidRDefault="002A54C2">
            <w:pPr>
              <w:jc w:val="center"/>
            </w:pPr>
            <w:r>
              <w:rPr>
                <w:color w:val="000000"/>
                <w:sz w:val="24"/>
                <w:szCs w:val="24"/>
              </w:rPr>
              <w:t>特变电工</w:t>
            </w:r>
          </w:p>
        </w:tc>
        <w:tc>
          <w:tcPr>
            <w:tcW w:w="1334" w:type="dxa"/>
            <w:vAlign w:val="center"/>
          </w:tcPr>
          <w:p w:rsidR="006D678A" w:rsidRDefault="002A54C2">
            <w:pPr>
              <w:jc w:val="right"/>
            </w:pPr>
            <w:r>
              <w:rPr>
                <w:color w:val="000000"/>
                <w:sz w:val="24"/>
                <w:szCs w:val="24"/>
              </w:rPr>
              <w:t>2,815,138</w:t>
            </w:r>
          </w:p>
        </w:tc>
        <w:tc>
          <w:tcPr>
            <w:tcW w:w="1924" w:type="dxa"/>
            <w:vAlign w:val="center"/>
          </w:tcPr>
          <w:p w:rsidR="006D678A" w:rsidRDefault="002A54C2">
            <w:pPr>
              <w:jc w:val="right"/>
            </w:pPr>
            <w:r>
              <w:rPr>
                <w:color w:val="000000"/>
                <w:sz w:val="24"/>
                <w:szCs w:val="24"/>
              </w:rPr>
              <w:t>28,066,925.86</w:t>
            </w:r>
          </w:p>
        </w:tc>
        <w:tc>
          <w:tcPr>
            <w:tcW w:w="1644" w:type="dxa"/>
            <w:vAlign w:val="center"/>
          </w:tcPr>
          <w:p w:rsidR="006D678A" w:rsidRDefault="002A54C2">
            <w:pPr>
              <w:jc w:val="right"/>
            </w:pPr>
            <w:r>
              <w:rPr>
                <w:color w:val="000000"/>
                <w:sz w:val="24"/>
                <w:szCs w:val="24"/>
              </w:rPr>
              <w:t>3.07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260"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4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2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20,008,000.00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2.19</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20,008,000.00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2.19</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A8721A">
        <w:trPr>
          <w:jc w:val="center"/>
        </w:trPr>
        <w:tc>
          <w:tcPr>
            <w:tcW w:w="817"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260"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4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8</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9</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20,008,000.00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2.19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6D678A">
        <w:trPr>
          <w:jc w:val="center"/>
        </w:trPr>
        <w:tc>
          <w:tcPr>
            <w:tcW w:w="850" w:type="dxa"/>
            <w:vAlign w:val="center"/>
          </w:tcPr>
          <w:p w:rsidR="006D678A" w:rsidRDefault="002A54C2">
            <w:pPr>
              <w:jc w:val="center"/>
            </w:pPr>
            <w:r>
              <w:rPr>
                <w:color w:val="000000"/>
                <w:sz w:val="24"/>
                <w:szCs w:val="24"/>
              </w:rPr>
              <w:t>1</w:t>
            </w:r>
          </w:p>
        </w:tc>
        <w:tc>
          <w:tcPr>
            <w:tcW w:w="1475" w:type="dxa"/>
            <w:vAlign w:val="center"/>
          </w:tcPr>
          <w:p w:rsidR="006D678A" w:rsidRDefault="002A54C2">
            <w:pPr>
              <w:jc w:val="center"/>
            </w:pPr>
            <w:r>
              <w:rPr>
                <w:color w:val="000000"/>
                <w:sz w:val="24"/>
                <w:szCs w:val="24"/>
              </w:rPr>
              <w:t>130331</w:t>
            </w:r>
          </w:p>
        </w:tc>
        <w:tc>
          <w:tcPr>
            <w:tcW w:w="1769" w:type="dxa"/>
            <w:vAlign w:val="center"/>
          </w:tcPr>
          <w:p w:rsidR="006D678A" w:rsidRDefault="002A54C2">
            <w:pPr>
              <w:jc w:val="center"/>
            </w:pPr>
            <w:r>
              <w:rPr>
                <w:color w:val="000000"/>
                <w:sz w:val="24"/>
                <w:szCs w:val="24"/>
              </w:rPr>
              <w:t>13</w:t>
            </w:r>
            <w:r>
              <w:rPr>
                <w:color w:val="000000"/>
                <w:sz w:val="24"/>
                <w:szCs w:val="24"/>
              </w:rPr>
              <w:t>进出</w:t>
            </w:r>
            <w:r>
              <w:rPr>
                <w:color w:val="000000"/>
                <w:sz w:val="24"/>
                <w:szCs w:val="24"/>
              </w:rPr>
              <w:t>31</w:t>
            </w:r>
          </w:p>
        </w:tc>
        <w:tc>
          <w:tcPr>
            <w:tcW w:w="1387" w:type="dxa"/>
            <w:vAlign w:val="center"/>
          </w:tcPr>
          <w:p w:rsidR="006D678A" w:rsidRDefault="002A54C2">
            <w:pPr>
              <w:jc w:val="right"/>
            </w:pPr>
            <w:r>
              <w:rPr>
                <w:color w:val="000000"/>
                <w:sz w:val="24"/>
                <w:szCs w:val="24"/>
              </w:rPr>
              <w:t>200,000</w:t>
            </w:r>
          </w:p>
        </w:tc>
        <w:tc>
          <w:tcPr>
            <w:tcW w:w="2150" w:type="dxa"/>
            <w:vAlign w:val="center"/>
          </w:tcPr>
          <w:p w:rsidR="006D678A" w:rsidRDefault="002A54C2">
            <w:pPr>
              <w:jc w:val="right"/>
            </w:pPr>
            <w:r>
              <w:rPr>
                <w:color w:val="000000"/>
                <w:sz w:val="24"/>
                <w:szCs w:val="24"/>
              </w:rPr>
              <w:t>20,008,000.00</w:t>
            </w:r>
          </w:p>
        </w:tc>
        <w:tc>
          <w:tcPr>
            <w:tcW w:w="1237" w:type="dxa"/>
            <w:vAlign w:val="center"/>
          </w:tcPr>
          <w:p w:rsidR="006D678A" w:rsidRDefault="002A54C2">
            <w:pPr>
              <w:jc w:val="right"/>
            </w:pPr>
            <w:r>
              <w:rPr>
                <w:color w:val="000000"/>
                <w:sz w:val="24"/>
                <w:szCs w:val="24"/>
              </w:rPr>
              <w:t>2.19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73,765.35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929,041.51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8,230,132.15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9,232,939.01</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6D678A">
        <w:trPr>
          <w:jc w:val="center"/>
        </w:trPr>
        <w:tc>
          <w:tcPr>
            <w:tcW w:w="1129" w:type="dxa"/>
            <w:vAlign w:val="center"/>
          </w:tcPr>
          <w:p w:rsidR="006D678A" w:rsidRDefault="002A54C2">
            <w:pPr>
              <w:jc w:val="center"/>
            </w:pPr>
            <w:r>
              <w:rPr>
                <w:color w:val="000000"/>
                <w:sz w:val="24"/>
                <w:szCs w:val="24"/>
              </w:rPr>
              <w:t>1</w:t>
            </w:r>
          </w:p>
        </w:tc>
        <w:tc>
          <w:tcPr>
            <w:tcW w:w="1356" w:type="dxa"/>
            <w:vAlign w:val="center"/>
          </w:tcPr>
          <w:p w:rsidR="006D678A" w:rsidRDefault="002A54C2">
            <w:pPr>
              <w:jc w:val="center"/>
            </w:pPr>
            <w:r>
              <w:rPr>
                <w:color w:val="000000"/>
                <w:sz w:val="24"/>
                <w:szCs w:val="24"/>
              </w:rPr>
              <w:t>600038</w:t>
            </w:r>
          </w:p>
        </w:tc>
        <w:tc>
          <w:tcPr>
            <w:tcW w:w="1355" w:type="dxa"/>
            <w:vAlign w:val="center"/>
          </w:tcPr>
          <w:p w:rsidR="006D678A" w:rsidRDefault="002A54C2">
            <w:pPr>
              <w:jc w:val="center"/>
            </w:pPr>
            <w:r>
              <w:rPr>
                <w:color w:val="000000"/>
                <w:sz w:val="24"/>
                <w:szCs w:val="24"/>
              </w:rPr>
              <w:t>哈飞股份</w:t>
            </w:r>
          </w:p>
        </w:tc>
        <w:tc>
          <w:tcPr>
            <w:tcW w:w="1880" w:type="dxa"/>
            <w:vAlign w:val="center"/>
          </w:tcPr>
          <w:p w:rsidR="006D678A" w:rsidRDefault="002A54C2">
            <w:pPr>
              <w:jc w:val="right"/>
            </w:pPr>
            <w:r>
              <w:rPr>
                <w:color w:val="000000"/>
                <w:sz w:val="24"/>
                <w:szCs w:val="24"/>
              </w:rPr>
              <w:t>2,484,213.08</w:t>
            </w:r>
          </w:p>
        </w:tc>
        <w:tc>
          <w:tcPr>
            <w:tcW w:w="1724" w:type="dxa"/>
            <w:vAlign w:val="center"/>
          </w:tcPr>
          <w:p w:rsidR="006D678A" w:rsidRDefault="002A54C2">
            <w:pPr>
              <w:jc w:val="right"/>
            </w:pPr>
            <w:r>
              <w:rPr>
                <w:color w:val="000000"/>
                <w:sz w:val="24"/>
                <w:szCs w:val="24"/>
              </w:rPr>
              <w:t>0.27</w:t>
            </w:r>
          </w:p>
        </w:tc>
        <w:tc>
          <w:tcPr>
            <w:tcW w:w="1424" w:type="dxa"/>
            <w:vAlign w:val="center"/>
          </w:tcPr>
          <w:p w:rsidR="006D678A" w:rsidRDefault="002A54C2">
            <w:pPr>
              <w:jc w:val="right"/>
            </w:pPr>
            <w:r>
              <w:rPr>
                <w:color w:val="000000"/>
                <w:sz w:val="24"/>
                <w:szCs w:val="24"/>
              </w:rPr>
              <w:t>非公开发行</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763,741,346.11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375,964,420.21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470,165,579.74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4061AC" w:rsidRPr="00414345">
              <w:rPr>
                <w:color w:val="000000"/>
                <w:kern w:val="0"/>
                <w:sz w:val="24"/>
                <w:szCs w:val="24"/>
              </w:rPr>
              <w:t>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669,540,186.58</w:t>
            </w:r>
          </w:p>
        </w:tc>
      </w:tr>
    </w:tbl>
    <w:p w:rsidR="006D678A" w:rsidRDefault="002A54C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FA475D">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ED2620" w:rsidRPr="00ED2620" w:rsidRDefault="00ED2620" w:rsidP="00C15CAC">
      <w:pPr>
        <w:autoSpaceDE w:val="0"/>
        <w:autoSpaceDN w:val="0"/>
        <w:adjustRightInd w:val="0"/>
        <w:spacing w:before="29" w:line="288" w:lineRule="auto"/>
        <w:ind w:left="15"/>
        <w:jc w:val="right"/>
        <w:rPr>
          <w:rFonts w:eastAsiaTheme="minorEastAsia"/>
          <w:color w:val="000000"/>
          <w:kern w:val="0"/>
          <w:sz w:val="24"/>
        </w:rPr>
      </w:pPr>
      <w:r w:rsidRPr="00ED2620">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6017"/>
        <w:gridCol w:w="2851"/>
      </w:tblGrid>
      <w:tr w:rsidR="00ED2620" w:rsidRPr="00ED2620" w:rsidTr="00FA475D">
        <w:trPr>
          <w:jc w:val="center"/>
        </w:trPr>
        <w:tc>
          <w:tcPr>
            <w:tcW w:w="6017"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pStyle w:val="ad"/>
              <w:adjustRightInd w:val="0"/>
              <w:snapToGrid w:val="0"/>
              <w:spacing w:line="288" w:lineRule="auto"/>
              <w:rPr>
                <w:rFonts w:eastAsia="方正仿宋简体"/>
                <w:color w:val="000000"/>
              </w:rPr>
            </w:pPr>
            <w:r w:rsidRPr="00ED2620">
              <w:rPr>
                <w:color w:val="000000"/>
              </w:rPr>
              <w:t>报告期期初管理人持有的本基金份额</w:t>
            </w:r>
          </w:p>
        </w:tc>
        <w:tc>
          <w:tcPr>
            <w:tcW w:w="2851"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20,004,400.00</w:t>
            </w:r>
          </w:p>
        </w:tc>
      </w:tr>
      <w:tr w:rsidR="00ED2620" w:rsidRPr="00ED2620" w:rsidTr="00FA475D">
        <w:trPr>
          <w:jc w:val="center"/>
        </w:trPr>
        <w:tc>
          <w:tcPr>
            <w:tcW w:w="6017"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买入</w:t>
            </w:r>
            <w:r w:rsidRPr="00ED2620">
              <w:rPr>
                <w:color w:val="000000"/>
                <w:sz w:val="24"/>
              </w:rPr>
              <w:t>/</w:t>
            </w:r>
            <w:r w:rsidRPr="00ED2620">
              <w:rPr>
                <w:color w:val="000000"/>
                <w:sz w:val="24"/>
              </w:rPr>
              <w:t>申购总份额</w:t>
            </w:r>
          </w:p>
        </w:tc>
        <w:tc>
          <w:tcPr>
            <w:tcW w:w="2851"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FA475D">
        <w:trPr>
          <w:jc w:val="center"/>
        </w:trPr>
        <w:tc>
          <w:tcPr>
            <w:tcW w:w="6017"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卖出</w:t>
            </w:r>
            <w:r w:rsidRPr="00ED2620">
              <w:rPr>
                <w:color w:val="000000"/>
                <w:sz w:val="24"/>
              </w:rPr>
              <w:t>/</w:t>
            </w:r>
            <w:r w:rsidRPr="00ED2620">
              <w:rPr>
                <w:color w:val="000000"/>
                <w:sz w:val="24"/>
              </w:rPr>
              <w:t>赎回总份额</w:t>
            </w:r>
          </w:p>
        </w:tc>
        <w:tc>
          <w:tcPr>
            <w:tcW w:w="2851"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FA475D">
        <w:trPr>
          <w:jc w:val="center"/>
        </w:trPr>
        <w:tc>
          <w:tcPr>
            <w:tcW w:w="6017"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报告期期末管理人持有的本基金份额</w:t>
            </w:r>
          </w:p>
        </w:tc>
        <w:tc>
          <w:tcPr>
            <w:tcW w:w="2851"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2A54C2" w:rsidP="00C15CAC">
            <w:pPr>
              <w:spacing w:line="288" w:lineRule="auto"/>
              <w:jc w:val="right"/>
              <w:rPr>
                <w:rFonts w:eastAsiaTheme="minorEastAsia"/>
                <w:sz w:val="24"/>
                <w:szCs w:val="24"/>
              </w:rPr>
            </w:pPr>
            <w:r w:rsidRPr="00ED2620">
              <w:rPr>
                <w:rFonts w:eastAsiaTheme="minorEastAsia"/>
                <w:color w:val="000000"/>
                <w:sz w:val="24"/>
              </w:rPr>
              <w:t>20,004,400.00</w:t>
            </w:r>
          </w:p>
        </w:tc>
      </w:tr>
      <w:tr w:rsidR="00ED2620" w:rsidRPr="00ED2620" w:rsidTr="00FA475D">
        <w:trPr>
          <w:jc w:val="center"/>
        </w:trPr>
        <w:tc>
          <w:tcPr>
            <w:tcW w:w="6017"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报告期期末持有的本基金份额占基金总份额比例（</w:t>
            </w:r>
            <w:r w:rsidRPr="00ED2620">
              <w:rPr>
                <w:color w:val="000000"/>
                <w:sz w:val="24"/>
              </w:rPr>
              <w:t>%</w:t>
            </w:r>
            <w:r w:rsidRPr="00ED2620">
              <w:rPr>
                <w:color w:val="000000"/>
                <w:sz w:val="24"/>
              </w:rPr>
              <w:t>）</w:t>
            </w:r>
          </w:p>
        </w:tc>
        <w:tc>
          <w:tcPr>
            <w:tcW w:w="2851"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6D45BD" w:rsidP="00C15CAC">
            <w:pPr>
              <w:spacing w:line="288" w:lineRule="auto"/>
              <w:jc w:val="right"/>
              <w:rPr>
                <w:rFonts w:eastAsiaTheme="minorEastAsia"/>
                <w:color w:val="000000"/>
                <w:kern w:val="0"/>
                <w:sz w:val="24"/>
                <w:szCs w:val="24"/>
              </w:rPr>
            </w:pPr>
            <w:r>
              <w:rPr>
                <w:rFonts w:eastAsiaTheme="minorEastAsia"/>
                <w:color w:val="000000"/>
                <w:sz w:val="24"/>
              </w:rPr>
              <w:t>2.99</w:t>
            </w:r>
          </w:p>
        </w:tc>
      </w:tr>
    </w:tbl>
    <w:p w:rsidR="006D678A" w:rsidRDefault="002A54C2">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xml:space="preserve">    2</w:t>
      </w:r>
      <w:r w:rsidRPr="00ED2620">
        <w:rPr>
          <w:rFonts w:eastAsiaTheme="minorEastAsia"/>
          <w:color w:val="000000"/>
          <w:sz w:val="24"/>
        </w:rPr>
        <w:t>、如果本报告期间发生转换出业务，则总赎回份额中包含该业务。</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FA475D">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6D678A" w:rsidRDefault="002A54C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、中国证监会核准交银施罗德先进制造股票证券投资基金募集的文件；</w:t>
      </w:r>
      <w:r>
        <w:rPr>
          <w:color w:val="000000"/>
          <w:sz w:val="24"/>
          <w:szCs w:val="24"/>
        </w:rPr>
        <w:t xml:space="preserve"> </w:t>
      </w:r>
    </w:p>
    <w:p w:rsidR="006D678A" w:rsidRDefault="002A54C2">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、《交银施罗德先进制造股票证券投资基金基金合同》；</w:t>
      </w:r>
      <w:r>
        <w:rPr>
          <w:color w:val="000000"/>
          <w:sz w:val="24"/>
          <w:szCs w:val="24"/>
        </w:rPr>
        <w:t xml:space="preserve"> </w:t>
      </w:r>
    </w:p>
    <w:p w:rsidR="006D678A" w:rsidRDefault="002A54C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、《交银施罗德先进制造股票证券投资基金招募说明书》；</w:t>
      </w:r>
      <w:r>
        <w:rPr>
          <w:color w:val="000000"/>
          <w:sz w:val="24"/>
          <w:szCs w:val="24"/>
        </w:rPr>
        <w:t xml:space="preserve"> </w:t>
      </w:r>
    </w:p>
    <w:p w:rsidR="006D678A" w:rsidRDefault="002A54C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、《交银施罗德先进制造股票证券投资基金托管协议》；</w:t>
      </w:r>
    </w:p>
    <w:p w:rsidR="006D678A" w:rsidRDefault="002A54C2">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、关于募集交银施罗德先进制造股票证券投资基金之法律意见书；</w:t>
      </w:r>
    </w:p>
    <w:p w:rsidR="006D678A" w:rsidRDefault="002A54C2">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6D678A" w:rsidRDefault="002A54C2">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、报告期内交银施罗德先进制造股票证券投资基金在指定报刊上各项公告的原稿。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6D678A" w:rsidRDefault="002A54C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AF9" w:rsidRDefault="00BB6AF9" w:rsidP="00876D65">
      <w:r>
        <w:separator/>
      </w:r>
    </w:p>
  </w:endnote>
  <w:endnote w:type="continuationSeparator" w:id="0">
    <w:p w:rsidR="00BB6AF9" w:rsidRDefault="00BB6AF9"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宋体"/>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FE41F5">
      <w:rPr>
        <w:kern w:val="0"/>
        <w:szCs w:val="21"/>
      </w:rPr>
      <w:fldChar w:fldCharType="begin"/>
    </w:r>
    <w:r>
      <w:rPr>
        <w:kern w:val="0"/>
        <w:szCs w:val="21"/>
      </w:rPr>
      <w:instrText xml:space="preserve"> PAGE </w:instrText>
    </w:r>
    <w:r w:rsidR="00FE41F5">
      <w:rPr>
        <w:kern w:val="0"/>
        <w:szCs w:val="21"/>
      </w:rPr>
      <w:fldChar w:fldCharType="separate"/>
    </w:r>
    <w:r w:rsidR="00181933">
      <w:rPr>
        <w:noProof/>
        <w:kern w:val="0"/>
        <w:szCs w:val="21"/>
      </w:rPr>
      <w:t>1</w:t>
    </w:r>
    <w:r w:rsidR="00FE41F5">
      <w:rPr>
        <w:kern w:val="0"/>
        <w:szCs w:val="21"/>
      </w:rPr>
      <w:fldChar w:fldCharType="end"/>
    </w:r>
    <w:r>
      <w:rPr>
        <w:rFonts w:hint="eastAsia"/>
        <w:kern w:val="0"/>
        <w:szCs w:val="21"/>
      </w:rPr>
      <w:t>页共</w:t>
    </w:r>
    <w:r w:rsidR="00FE41F5">
      <w:rPr>
        <w:kern w:val="0"/>
        <w:szCs w:val="21"/>
      </w:rPr>
      <w:fldChar w:fldCharType="begin"/>
    </w:r>
    <w:r>
      <w:rPr>
        <w:kern w:val="0"/>
        <w:szCs w:val="21"/>
      </w:rPr>
      <w:instrText xml:space="preserve"> NUMPAGES </w:instrText>
    </w:r>
    <w:r w:rsidR="00FE41F5">
      <w:rPr>
        <w:kern w:val="0"/>
        <w:szCs w:val="21"/>
      </w:rPr>
      <w:fldChar w:fldCharType="separate"/>
    </w:r>
    <w:r w:rsidR="00181933">
      <w:rPr>
        <w:noProof/>
        <w:kern w:val="0"/>
        <w:szCs w:val="21"/>
      </w:rPr>
      <w:t>11</w:t>
    </w:r>
    <w:r w:rsidR="00FE41F5">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AF9" w:rsidRDefault="00BB6AF9" w:rsidP="00876D65">
      <w:r>
        <w:separator/>
      </w:r>
    </w:p>
  </w:footnote>
  <w:footnote w:type="continuationSeparator" w:id="0">
    <w:p w:rsidR="00BB6AF9" w:rsidRDefault="00BB6AF9"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25ED"/>
    <w:rsid w:val="00064D40"/>
    <w:rsid w:val="000815C0"/>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1933"/>
    <w:rsid w:val="001830D7"/>
    <w:rsid w:val="00185A34"/>
    <w:rsid w:val="001934F6"/>
    <w:rsid w:val="00196E6C"/>
    <w:rsid w:val="001A73E8"/>
    <w:rsid w:val="001B0A62"/>
    <w:rsid w:val="001B2F35"/>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A54C2"/>
    <w:rsid w:val="002B1D1A"/>
    <w:rsid w:val="002C2834"/>
    <w:rsid w:val="002C3C7A"/>
    <w:rsid w:val="002C5F95"/>
    <w:rsid w:val="002C657A"/>
    <w:rsid w:val="002D6872"/>
    <w:rsid w:val="002D6FB6"/>
    <w:rsid w:val="002E3B09"/>
    <w:rsid w:val="002E52B3"/>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23E"/>
    <w:rsid w:val="003470E2"/>
    <w:rsid w:val="00352719"/>
    <w:rsid w:val="0035383E"/>
    <w:rsid w:val="00355364"/>
    <w:rsid w:val="00364CCB"/>
    <w:rsid w:val="00365798"/>
    <w:rsid w:val="0039085F"/>
    <w:rsid w:val="00394069"/>
    <w:rsid w:val="00396809"/>
    <w:rsid w:val="003A6061"/>
    <w:rsid w:val="003B3494"/>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6096"/>
    <w:rsid w:val="00427F58"/>
    <w:rsid w:val="00433805"/>
    <w:rsid w:val="00443869"/>
    <w:rsid w:val="00460575"/>
    <w:rsid w:val="00463EC0"/>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22AF"/>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B0F"/>
    <w:rsid w:val="00636DB7"/>
    <w:rsid w:val="0063783A"/>
    <w:rsid w:val="006423B9"/>
    <w:rsid w:val="00642FA0"/>
    <w:rsid w:val="00654B0D"/>
    <w:rsid w:val="0065599B"/>
    <w:rsid w:val="00655CD8"/>
    <w:rsid w:val="00655E1C"/>
    <w:rsid w:val="006571DC"/>
    <w:rsid w:val="00660D4B"/>
    <w:rsid w:val="00664ECC"/>
    <w:rsid w:val="00670547"/>
    <w:rsid w:val="00670989"/>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45BD"/>
    <w:rsid w:val="006D678A"/>
    <w:rsid w:val="006D7004"/>
    <w:rsid w:val="006D789D"/>
    <w:rsid w:val="006D7FF8"/>
    <w:rsid w:val="006E042A"/>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305"/>
    <w:rsid w:val="007B035B"/>
    <w:rsid w:val="007B4C04"/>
    <w:rsid w:val="007B5AFB"/>
    <w:rsid w:val="007C395A"/>
    <w:rsid w:val="007C5862"/>
    <w:rsid w:val="007D0922"/>
    <w:rsid w:val="007D100C"/>
    <w:rsid w:val="007E2686"/>
    <w:rsid w:val="007E57C0"/>
    <w:rsid w:val="007F29B1"/>
    <w:rsid w:val="008014F9"/>
    <w:rsid w:val="0080358B"/>
    <w:rsid w:val="008059BD"/>
    <w:rsid w:val="0081286B"/>
    <w:rsid w:val="00812D46"/>
    <w:rsid w:val="008148E0"/>
    <w:rsid w:val="00815A38"/>
    <w:rsid w:val="0082103F"/>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AC7"/>
    <w:rsid w:val="00924582"/>
    <w:rsid w:val="00931291"/>
    <w:rsid w:val="0093367D"/>
    <w:rsid w:val="009431FA"/>
    <w:rsid w:val="00945AF6"/>
    <w:rsid w:val="009550BE"/>
    <w:rsid w:val="00955531"/>
    <w:rsid w:val="00955BE8"/>
    <w:rsid w:val="00957594"/>
    <w:rsid w:val="00963F40"/>
    <w:rsid w:val="009730B8"/>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C063D"/>
    <w:rsid w:val="00AC592E"/>
    <w:rsid w:val="00AC6C10"/>
    <w:rsid w:val="00AC7BC6"/>
    <w:rsid w:val="00AD24AA"/>
    <w:rsid w:val="00AE7962"/>
    <w:rsid w:val="00AF0A7F"/>
    <w:rsid w:val="00AF3AB2"/>
    <w:rsid w:val="00B11BE5"/>
    <w:rsid w:val="00B12B7D"/>
    <w:rsid w:val="00B16985"/>
    <w:rsid w:val="00B22DEE"/>
    <w:rsid w:val="00B27479"/>
    <w:rsid w:val="00B32AA7"/>
    <w:rsid w:val="00B34678"/>
    <w:rsid w:val="00B35024"/>
    <w:rsid w:val="00B371B4"/>
    <w:rsid w:val="00B40F64"/>
    <w:rsid w:val="00B42A76"/>
    <w:rsid w:val="00B47982"/>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B6AF9"/>
    <w:rsid w:val="00BC14B3"/>
    <w:rsid w:val="00BC216C"/>
    <w:rsid w:val="00BC4585"/>
    <w:rsid w:val="00BC50F1"/>
    <w:rsid w:val="00BC73E5"/>
    <w:rsid w:val="00BD0031"/>
    <w:rsid w:val="00BD7473"/>
    <w:rsid w:val="00BD7703"/>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90F"/>
    <w:rsid w:val="00CA574C"/>
    <w:rsid w:val="00CA5FD5"/>
    <w:rsid w:val="00CA7703"/>
    <w:rsid w:val="00CB0F92"/>
    <w:rsid w:val="00CD4E6D"/>
    <w:rsid w:val="00CD4F19"/>
    <w:rsid w:val="00CD5707"/>
    <w:rsid w:val="00CD7702"/>
    <w:rsid w:val="00CE29EA"/>
    <w:rsid w:val="00CF04CF"/>
    <w:rsid w:val="00CF2D3E"/>
    <w:rsid w:val="00CF6572"/>
    <w:rsid w:val="00D01FE6"/>
    <w:rsid w:val="00D02347"/>
    <w:rsid w:val="00D046DB"/>
    <w:rsid w:val="00D04755"/>
    <w:rsid w:val="00D13737"/>
    <w:rsid w:val="00D1638E"/>
    <w:rsid w:val="00D2061C"/>
    <w:rsid w:val="00D21FFF"/>
    <w:rsid w:val="00D272A5"/>
    <w:rsid w:val="00D346D9"/>
    <w:rsid w:val="00D43AFB"/>
    <w:rsid w:val="00D44EE8"/>
    <w:rsid w:val="00D57B7C"/>
    <w:rsid w:val="00D65B44"/>
    <w:rsid w:val="00D75E69"/>
    <w:rsid w:val="00D8099B"/>
    <w:rsid w:val="00D866A8"/>
    <w:rsid w:val="00D94B8D"/>
    <w:rsid w:val="00D96C8D"/>
    <w:rsid w:val="00D974EF"/>
    <w:rsid w:val="00DA0C61"/>
    <w:rsid w:val="00DA14B0"/>
    <w:rsid w:val="00DA2876"/>
    <w:rsid w:val="00DC0B51"/>
    <w:rsid w:val="00DC6B55"/>
    <w:rsid w:val="00DE27F7"/>
    <w:rsid w:val="00DE4B43"/>
    <w:rsid w:val="00E02660"/>
    <w:rsid w:val="00E215BA"/>
    <w:rsid w:val="00E36549"/>
    <w:rsid w:val="00E40D31"/>
    <w:rsid w:val="00E41260"/>
    <w:rsid w:val="00E44E18"/>
    <w:rsid w:val="00E52DBC"/>
    <w:rsid w:val="00E54301"/>
    <w:rsid w:val="00E54BF5"/>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2499"/>
    <w:rsid w:val="00F22B0F"/>
    <w:rsid w:val="00F24B42"/>
    <w:rsid w:val="00F24F73"/>
    <w:rsid w:val="00F27299"/>
    <w:rsid w:val="00F31F6E"/>
    <w:rsid w:val="00F3389C"/>
    <w:rsid w:val="00F375F2"/>
    <w:rsid w:val="00F45C47"/>
    <w:rsid w:val="00F54EAE"/>
    <w:rsid w:val="00F66A51"/>
    <w:rsid w:val="00F71057"/>
    <w:rsid w:val="00F71A4B"/>
    <w:rsid w:val="00F728CF"/>
    <w:rsid w:val="00F743D4"/>
    <w:rsid w:val="00F80AC3"/>
    <w:rsid w:val="00F83B17"/>
    <w:rsid w:val="00F87EDA"/>
    <w:rsid w:val="00F970EE"/>
    <w:rsid w:val="00FA475D"/>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E41F5"/>
    <w:rsid w:val="00FF213A"/>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C85683-0259-4E69-AF48-A9D37811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5E9C-190E-4B30-A59D-E38455C4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11</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荣华</cp:lastModifiedBy>
  <cp:revision>541</cp:revision>
  <dcterms:created xsi:type="dcterms:W3CDTF">2012-10-16T06:07:00Z</dcterms:created>
  <dcterms:modified xsi:type="dcterms:W3CDTF">2014-10-21T03:14:00Z</dcterms:modified>
</cp:coreProperties>
</file>