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E62F9D">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75B60" w:rsidRDefault="00E62F9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62F9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646,332,630.20</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62F9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62F9D" w:rsidRPr="00414345" w:rsidTr="00E62F9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62F9D" w:rsidRPr="00414345" w:rsidTr="00E62F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11,462,599.98</w:t>
            </w:r>
          </w:p>
        </w:tc>
      </w:tr>
      <w:tr w:rsidR="00E62F9D" w:rsidRPr="00414345" w:rsidTr="00E62F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17,985,003.91</w:t>
            </w:r>
          </w:p>
        </w:tc>
      </w:tr>
      <w:tr w:rsidR="00E62F9D" w:rsidRPr="00414345" w:rsidTr="00E62F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0.0267</w:t>
            </w:r>
          </w:p>
        </w:tc>
      </w:tr>
      <w:tr w:rsidR="00E62F9D" w:rsidRPr="00414345" w:rsidTr="00E62F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511,430,151.97</w:t>
            </w:r>
          </w:p>
        </w:tc>
      </w:tr>
      <w:tr w:rsidR="00E62F9D" w:rsidRPr="00414345" w:rsidTr="00E62F9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0.791</w:t>
            </w:r>
          </w:p>
        </w:tc>
      </w:tr>
    </w:tbl>
    <w:p w:rsidR="00275B60" w:rsidRDefault="00E62F9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75B60">
        <w:trPr>
          <w:jc w:val="center"/>
        </w:trPr>
        <w:tc>
          <w:tcPr>
            <w:tcW w:w="1701" w:type="dxa"/>
            <w:vAlign w:val="center"/>
          </w:tcPr>
          <w:p w:rsidR="00275B60" w:rsidRDefault="00E62F9D">
            <w:pPr>
              <w:jc w:val="left"/>
            </w:pPr>
            <w:r>
              <w:rPr>
                <w:color w:val="000000"/>
                <w:sz w:val="24"/>
                <w:szCs w:val="24"/>
              </w:rPr>
              <w:t>过去三个月</w:t>
            </w:r>
          </w:p>
        </w:tc>
        <w:tc>
          <w:tcPr>
            <w:tcW w:w="1045" w:type="dxa"/>
            <w:vAlign w:val="center"/>
          </w:tcPr>
          <w:p w:rsidR="00275B60" w:rsidRDefault="00E62F9D">
            <w:pPr>
              <w:jc w:val="center"/>
            </w:pPr>
            <w:r>
              <w:rPr>
                <w:color w:val="000000"/>
                <w:sz w:val="24"/>
                <w:szCs w:val="24"/>
              </w:rPr>
              <w:t>3.53%</w:t>
            </w:r>
          </w:p>
        </w:tc>
        <w:tc>
          <w:tcPr>
            <w:tcW w:w="1344" w:type="dxa"/>
            <w:vAlign w:val="center"/>
          </w:tcPr>
          <w:p w:rsidR="00275B60" w:rsidRDefault="00E62F9D">
            <w:pPr>
              <w:jc w:val="center"/>
            </w:pPr>
            <w:r>
              <w:rPr>
                <w:color w:val="000000"/>
                <w:sz w:val="24"/>
                <w:szCs w:val="24"/>
              </w:rPr>
              <w:t>0.63%</w:t>
            </w:r>
          </w:p>
        </w:tc>
        <w:tc>
          <w:tcPr>
            <w:tcW w:w="1194" w:type="dxa"/>
            <w:vAlign w:val="center"/>
          </w:tcPr>
          <w:p w:rsidR="00275B60" w:rsidRDefault="00E62F9D">
            <w:pPr>
              <w:jc w:val="center"/>
            </w:pPr>
            <w:r>
              <w:rPr>
                <w:color w:val="000000"/>
                <w:sz w:val="24"/>
                <w:szCs w:val="24"/>
              </w:rPr>
              <w:t>8.51%</w:t>
            </w:r>
          </w:p>
        </w:tc>
        <w:tc>
          <w:tcPr>
            <w:tcW w:w="1492" w:type="dxa"/>
            <w:vAlign w:val="center"/>
          </w:tcPr>
          <w:p w:rsidR="00275B60" w:rsidRDefault="00E62F9D">
            <w:pPr>
              <w:jc w:val="center"/>
            </w:pPr>
            <w:r>
              <w:rPr>
                <w:color w:val="000000"/>
                <w:sz w:val="24"/>
                <w:szCs w:val="24"/>
              </w:rPr>
              <w:t>0.55%</w:t>
            </w:r>
          </w:p>
        </w:tc>
        <w:tc>
          <w:tcPr>
            <w:tcW w:w="1194" w:type="dxa"/>
            <w:vAlign w:val="center"/>
          </w:tcPr>
          <w:p w:rsidR="00275B60" w:rsidRDefault="00E62F9D">
            <w:pPr>
              <w:jc w:val="center"/>
            </w:pPr>
            <w:r>
              <w:rPr>
                <w:color w:val="000000"/>
                <w:sz w:val="24"/>
                <w:szCs w:val="24"/>
              </w:rPr>
              <w:t>-4.98%</w:t>
            </w:r>
          </w:p>
        </w:tc>
        <w:tc>
          <w:tcPr>
            <w:tcW w:w="898" w:type="dxa"/>
            <w:vAlign w:val="center"/>
          </w:tcPr>
          <w:p w:rsidR="00275B60" w:rsidRDefault="00E62F9D">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62F9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75B60">
        <w:trPr>
          <w:jc w:val="center"/>
        </w:trPr>
        <w:tc>
          <w:tcPr>
            <w:tcW w:w="846" w:type="dxa"/>
            <w:vAlign w:val="center"/>
          </w:tcPr>
          <w:p w:rsidR="00275B60" w:rsidRDefault="00E62F9D">
            <w:pPr>
              <w:jc w:val="center"/>
            </w:pPr>
            <w:r>
              <w:rPr>
                <w:color w:val="000000"/>
                <w:sz w:val="24"/>
                <w:szCs w:val="24"/>
              </w:rPr>
              <w:t>李永兴</w:t>
            </w:r>
          </w:p>
        </w:tc>
        <w:tc>
          <w:tcPr>
            <w:tcW w:w="845" w:type="dxa"/>
            <w:vAlign w:val="center"/>
          </w:tcPr>
          <w:p w:rsidR="00275B60" w:rsidRDefault="00E62F9D">
            <w:pPr>
              <w:jc w:val="center"/>
            </w:pPr>
            <w:r>
              <w:rPr>
                <w:color w:val="000000"/>
                <w:sz w:val="24"/>
                <w:szCs w:val="24"/>
              </w:rPr>
              <w:t>本基金、交银施罗德周期回报灵活配置混合型证券投资基金的基金经理</w:t>
            </w:r>
          </w:p>
        </w:tc>
        <w:tc>
          <w:tcPr>
            <w:tcW w:w="1549" w:type="dxa"/>
            <w:vAlign w:val="center"/>
          </w:tcPr>
          <w:p w:rsidR="00275B60" w:rsidRDefault="00E62F9D">
            <w:pPr>
              <w:jc w:val="center"/>
            </w:pPr>
            <w:r>
              <w:rPr>
                <w:color w:val="000000"/>
                <w:sz w:val="24"/>
                <w:szCs w:val="24"/>
              </w:rPr>
              <w:t>2012-03-20</w:t>
            </w:r>
          </w:p>
        </w:tc>
        <w:tc>
          <w:tcPr>
            <w:tcW w:w="1548" w:type="dxa"/>
            <w:vAlign w:val="center"/>
          </w:tcPr>
          <w:p w:rsidR="00275B60" w:rsidRDefault="00E62F9D">
            <w:pPr>
              <w:jc w:val="center"/>
            </w:pPr>
            <w:r>
              <w:rPr>
                <w:color w:val="000000"/>
                <w:sz w:val="24"/>
                <w:szCs w:val="24"/>
              </w:rPr>
              <w:t>-</w:t>
            </w:r>
          </w:p>
        </w:tc>
        <w:tc>
          <w:tcPr>
            <w:tcW w:w="1407" w:type="dxa"/>
            <w:vAlign w:val="center"/>
          </w:tcPr>
          <w:p w:rsidR="00275B60" w:rsidRDefault="00E62F9D">
            <w:pPr>
              <w:jc w:val="center"/>
            </w:pPr>
            <w:r>
              <w:rPr>
                <w:color w:val="000000"/>
                <w:sz w:val="24"/>
                <w:szCs w:val="24"/>
              </w:rPr>
              <w:t>8</w:t>
            </w:r>
            <w:r>
              <w:rPr>
                <w:color w:val="000000"/>
                <w:sz w:val="24"/>
                <w:szCs w:val="24"/>
              </w:rPr>
              <w:t>年</w:t>
            </w:r>
          </w:p>
        </w:tc>
        <w:tc>
          <w:tcPr>
            <w:tcW w:w="2673" w:type="dxa"/>
            <w:vAlign w:val="center"/>
          </w:tcPr>
          <w:p w:rsidR="00275B60" w:rsidRDefault="00E62F9D">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75B60" w:rsidRDefault="00E62F9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75B60" w:rsidRDefault="00E62F9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75B60" w:rsidRDefault="00E62F9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75B60" w:rsidRDefault="00E62F9D">
      <w:pPr>
        <w:spacing w:before="29" w:line="288" w:lineRule="auto"/>
        <w:ind w:firstLineChars="200" w:firstLine="480"/>
        <w:rPr>
          <w:color w:val="000000"/>
          <w:sz w:val="24"/>
          <w:szCs w:val="24"/>
        </w:rPr>
      </w:pPr>
      <w:r>
        <w:rPr>
          <w:color w:val="000000"/>
          <w:sz w:val="24"/>
          <w:szCs w:val="24"/>
        </w:rPr>
        <w:t>三季度股票市场呈现全面上涨的走势。七月份在众多城市地产限购政策放松的刺激下，房地产行业率先开始上涨，随后逐渐扩散到其他各个行业。由于期间经济数据和货币信贷数据都较差，从基本面角度而言经济中的亮点并不多，因此三季度市场依然是主题投资盛行，军工、体育产业等投资主题涨幅较大。</w:t>
      </w:r>
    </w:p>
    <w:p w:rsidR="00275B60" w:rsidRDefault="00E62F9D">
      <w:pPr>
        <w:spacing w:before="29" w:line="288" w:lineRule="auto"/>
        <w:ind w:firstLineChars="200" w:firstLine="480"/>
        <w:rPr>
          <w:color w:val="000000"/>
          <w:sz w:val="24"/>
          <w:szCs w:val="24"/>
        </w:rPr>
      </w:pPr>
      <w:r>
        <w:rPr>
          <w:color w:val="000000"/>
          <w:sz w:val="24"/>
          <w:szCs w:val="24"/>
        </w:rPr>
        <w:t>本基金在三季度中，虽然较大幅度地提升了股票仓位，但由于加仓时机和持仓结构因素影响，因此未能跑赢市场。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由于资金依然充裕，因此预计市场短期内可能仍将继续上涨。但经济下行的压力始终存在，市场何时会对经济基本面做出反应仍有待观察。本基金将根据经济运行数据的变化，对仓位和持仓结构做出相应调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0.791</w:t>
      </w:r>
      <w:r w:rsidRPr="00414345">
        <w:rPr>
          <w:color w:val="000000"/>
          <w:sz w:val="24"/>
          <w:szCs w:val="24"/>
        </w:rPr>
        <w:t>元，本报告期份额净值增长率为</w:t>
      </w:r>
      <w:r w:rsidRPr="00414345">
        <w:rPr>
          <w:color w:val="000000"/>
          <w:sz w:val="24"/>
          <w:szCs w:val="24"/>
        </w:rPr>
        <w:t>3.53%</w:t>
      </w:r>
      <w:r w:rsidRPr="00414345">
        <w:rPr>
          <w:color w:val="000000"/>
          <w:sz w:val="24"/>
          <w:szCs w:val="24"/>
        </w:rPr>
        <w:t>，同期业绩比较基准增长率为</w:t>
      </w:r>
      <w:r w:rsidRPr="00414345">
        <w:rPr>
          <w:color w:val="000000"/>
          <w:sz w:val="24"/>
          <w:szCs w:val="24"/>
        </w:rPr>
        <w:t>8.51%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E62F9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407,297,951.88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407,297,951.88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75,799,488.60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75,799,488.60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30,750,210.24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556,606.24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514,404,256.96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E62F9D">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E62F9D">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112,428,807.25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5,760,406.64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13,284,321.60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22,364,586.50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4,987,260.00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E62F9D">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21,112,355.03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132,037,917.82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75,912,976.69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10,146,683.96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9,262,636.39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407,297,951.88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75B60">
        <w:trPr>
          <w:jc w:val="center"/>
        </w:trPr>
        <w:tc>
          <w:tcPr>
            <w:tcW w:w="855" w:type="dxa"/>
            <w:vAlign w:val="center"/>
          </w:tcPr>
          <w:p w:rsidR="00275B60" w:rsidRDefault="00E62F9D">
            <w:pPr>
              <w:jc w:val="center"/>
            </w:pPr>
            <w:r>
              <w:rPr>
                <w:color w:val="000000"/>
                <w:sz w:val="24"/>
                <w:szCs w:val="24"/>
              </w:rPr>
              <w:t>1</w:t>
            </w:r>
          </w:p>
        </w:tc>
        <w:tc>
          <w:tcPr>
            <w:tcW w:w="1334" w:type="dxa"/>
            <w:vAlign w:val="center"/>
          </w:tcPr>
          <w:p w:rsidR="00275B60" w:rsidRDefault="00E62F9D">
            <w:pPr>
              <w:jc w:val="center"/>
            </w:pPr>
            <w:r>
              <w:rPr>
                <w:color w:val="000000"/>
                <w:sz w:val="24"/>
                <w:szCs w:val="24"/>
              </w:rPr>
              <w:t>600030</w:t>
            </w:r>
          </w:p>
        </w:tc>
        <w:tc>
          <w:tcPr>
            <w:tcW w:w="1777" w:type="dxa"/>
            <w:vAlign w:val="center"/>
          </w:tcPr>
          <w:p w:rsidR="00275B60" w:rsidRDefault="00E62F9D">
            <w:pPr>
              <w:jc w:val="center"/>
            </w:pPr>
            <w:r>
              <w:rPr>
                <w:color w:val="000000"/>
                <w:sz w:val="24"/>
                <w:szCs w:val="24"/>
              </w:rPr>
              <w:t>中信证券</w:t>
            </w:r>
          </w:p>
        </w:tc>
        <w:tc>
          <w:tcPr>
            <w:tcW w:w="1334" w:type="dxa"/>
            <w:vAlign w:val="center"/>
          </w:tcPr>
          <w:p w:rsidR="00275B60" w:rsidRDefault="00E62F9D">
            <w:pPr>
              <w:jc w:val="right"/>
            </w:pPr>
            <w:r>
              <w:rPr>
                <w:color w:val="000000"/>
                <w:sz w:val="24"/>
                <w:szCs w:val="24"/>
              </w:rPr>
              <w:t>1,793,100</w:t>
            </w:r>
          </w:p>
        </w:tc>
        <w:tc>
          <w:tcPr>
            <w:tcW w:w="1924" w:type="dxa"/>
            <w:vAlign w:val="center"/>
          </w:tcPr>
          <w:p w:rsidR="00275B60" w:rsidRDefault="00E62F9D">
            <w:pPr>
              <w:jc w:val="right"/>
            </w:pPr>
            <w:r>
              <w:rPr>
                <w:color w:val="000000"/>
                <w:sz w:val="24"/>
                <w:szCs w:val="24"/>
              </w:rPr>
              <w:t>23,884,092.00</w:t>
            </w:r>
          </w:p>
        </w:tc>
        <w:tc>
          <w:tcPr>
            <w:tcW w:w="1644" w:type="dxa"/>
            <w:vAlign w:val="center"/>
          </w:tcPr>
          <w:p w:rsidR="00275B60" w:rsidRDefault="00E62F9D">
            <w:pPr>
              <w:jc w:val="right"/>
            </w:pPr>
            <w:r>
              <w:rPr>
                <w:color w:val="000000"/>
                <w:sz w:val="24"/>
                <w:szCs w:val="24"/>
              </w:rPr>
              <w:t>4.67</w:t>
            </w:r>
          </w:p>
        </w:tc>
      </w:tr>
      <w:tr w:rsidR="00275B60">
        <w:trPr>
          <w:jc w:val="center"/>
        </w:trPr>
        <w:tc>
          <w:tcPr>
            <w:tcW w:w="855" w:type="dxa"/>
            <w:vAlign w:val="center"/>
          </w:tcPr>
          <w:p w:rsidR="00275B60" w:rsidRDefault="00E62F9D">
            <w:pPr>
              <w:jc w:val="center"/>
            </w:pPr>
            <w:r>
              <w:rPr>
                <w:color w:val="000000"/>
                <w:sz w:val="24"/>
                <w:szCs w:val="24"/>
              </w:rPr>
              <w:t>2</w:t>
            </w:r>
          </w:p>
        </w:tc>
        <w:tc>
          <w:tcPr>
            <w:tcW w:w="1334" w:type="dxa"/>
            <w:vAlign w:val="center"/>
          </w:tcPr>
          <w:p w:rsidR="00275B60" w:rsidRDefault="00E62F9D">
            <w:pPr>
              <w:jc w:val="center"/>
            </w:pPr>
            <w:r>
              <w:rPr>
                <w:color w:val="000000"/>
                <w:sz w:val="24"/>
                <w:szCs w:val="24"/>
              </w:rPr>
              <w:t>601318</w:t>
            </w:r>
          </w:p>
        </w:tc>
        <w:tc>
          <w:tcPr>
            <w:tcW w:w="1777" w:type="dxa"/>
            <w:vAlign w:val="center"/>
          </w:tcPr>
          <w:p w:rsidR="00275B60" w:rsidRDefault="00E62F9D">
            <w:pPr>
              <w:jc w:val="center"/>
            </w:pPr>
            <w:r>
              <w:rPr>
                <w:color w:val="000000"/>
                <w:sz w:val="24"/>
                <w:szCs w:val="24"/>
              </w:rPr>
              <w:t>中国平安</w:t>
            </w:r>
          </w:p>
        </w:tc>
        <w:tc>
          <w:tcPr>
            <w:tcW w:w="1334" w:type="dxa"/>
            <w:vAlign w:val="center"/>
          </w:tcPr>
          <w:p w:rsidR="00275B60" w:rsidRDefault="00E62F9D">
            <w:pPr>
              <w:jc w:val="right"/>
            </w:pPr>
            <w:r>
              <w:rPr>
                <w:color w:val="000000"/>
                <w:sz w:val="24"/>
                <w:szCs w:val="24"/>
              </w:rPr>
              <w:t>545,000</w:t>
            </w:r>
          </w:p>
        </w:tc>
        <w:tc>
          <w:tcPr>
            <w:tcW w:w="1924" w:type="dxa"/>
            <w:vAlign w:val="center"/>
          </w:tcPr>
          <w:p w:rsidR="00275B60" w:rsidRDefault="00E62F9D">
            <w:pPr>
              <w:jc w:val="right"/>
            </w:pPr>
            <w:r>
              <w:rPr>
                <w:color w:val="000000"/>
                <w:sz w:val="24"/>
                <w:szCs w:val="24"/>
              </w:rPr>
              <w:t>22,530,300.00</w:t>
            </w:r>
          </w:p>
        </w:tc>
        <w:tc>
          <w:tcPr>
            <w:tcW w:w="1644" w:type="dxa"/>
            <w:vAlign w:val="center"/>
          </w:tcPr>
          <w:p w:rsidR="00275B60" w:rsidRDefault="00E62F9D">
            <w:pPr>
              <w:jc w:val="right"/>
            </w:pPr>
            <w:r>
              <w:rPr>
                <w:color w:val="000000"/>
                <w:sz w:val="24"/>
                <w:szCs w:val="24"/>
              </w:rPr>
              <w:t>4.41</w:t>
            </w:r>
          </w:p>
        </w:tc>
      </w:tr>
      <w:tr w:rsidR="00275B60">
        <w:trPr>
          <w:jc w:val="center"/>
        </w:trPr>
        <w:tc>
          <w:tcPr>
            <w:tcW w:w="855" w:type="dxa"/>
            <w:vAlign w:val="center"/>
          </w:tcPr>
          <w:p w:rsidR="00275B60" w:rsidRDefault="00E62F9D">
            <w:pPr>
              <w:jc w:val="center"/>
            </w:pPr>
            <w:r>
              <w:rPr>
                <w:color w:val="000000"/>
                <w:sz w:val="24"/>
                <w:szCs w:val="24"/>
              </w:rPr>
              <w:t>3</w:t>
            </w:r>
          </w:p>
        </w:tc>
        <w:tc>
          <w:tcPr>
            <w:tcW w:w="1334" w:type="dxa"/>
            <w:vAlign w:val="center"/>
          </w:tcPr>
          <w:p w:rsidR="00275B60" w:rsidRDefault="00E62F9D">
            <w:pPr>
              <w:jc w:val="center"/>
            </w:pPr>
            <w:r>
              <w:rPr>
                <w:color w:val="000000"/>
                <w:sz w:val="24"/>
                <w:szCs w:val="24"/>
              </w:rPr>
              <w:t>600837</w:t>
            </w:r>
          </w:p>
        </w:tc>
        <w:tc>
          <w:tcPr>
            <w:tcW w:w="1777" w:type="dxa"/>
            <w:vAlign w:val="center"/>
          </w:tcPr>
          <w:p w:rsidR="00275B60" w:rsidRDefault="00E62F9D">
            <w:pPr>
              <w:jc w:val="center"/>
            </w:pPr>
            <w:r>
              <w:rPr>
                <w:color w:val="000000"/>
                <w:sz w:val="24"/>
                <w:szCs w:val="24"/>
              </w:rPr>
              <w:t>海通证券</w:t>
            </w:r>
          </w:p>
        </w:tc>
        <w:tc>
          <w:tcPr>
            <w:tcW w:w="1334" w:type="dxa"/>
            <w:vAlign w:val="center"/>
          </w:tcPr>
          <w:p w:rsidR="00275B60" w:rsidRDefault="00E62F9D">
            <w:pPr>
              <w:jc w:val="right"/>
            </w:pPr>
            <w:r>
              <w:rPr>
                <w:color w:val="000000"/>
                <w:sz w:val="24"/>
                <w:szCs w:val="24"/>
              </w:rPr>
              <w:t>2,068,336</w:t>
            </w:r>
          </w:p>
        </w:tc>
        <w:tc>
          <w:tcPr>
            <w:tcW w:w="1924" w:type="dxa"/>
            <w:vAlign w:val="center"/>
          </w:tcPr>
          <w:p w:rsidR="00275B60" w:rsidRDefault="00E62F9D">
            <w:pPr>
              <w:jc w:val="right"/>
            </w:pPr>
            <w:r>
              <w:rPr>
                <w:color w:val="000000"/>
                <w:sz w:val="24"/>
                <w:szCs w:val="24"/>
              </w:rPr>
              <w:t>21,345,227.52</w:t>
            </w:r>
          </w:p>
        </w:tc>
        <w:tc>
          <w:tcPr>
            <w:tcW w:w="1644" w:type="dxa"/>
            <w:vAlign w:val="center"/>
          </w:tcPr>
          <w:p w:rsidR="00275B60" w:rsidRDefault="00E62F9D">
            <w:pPr>
              <w:jc w:val="right"/>
            </w:pPr>
            <w:r>
              <w:rPr>
                <w:color w:val="000000"/>
                <w:sz w:val="24"/>
                <w:szCs w:val="24"/>
              </w:rPr>
              <w:t>4.17</w:t>
            </w:r>
          </w:p>
        </w:tc>
      </w:tr>
      <w:tr w:rsidR="00275B60">
        <w:trPr>
          <w:jc w:val="center"/>
        </w:trPr>
        <w:tc>
          <w:tcPr>
            <w:tcW w:w="855" w:type="dxa"/>
            <w:vAlign w:val="center"/>
          </w:tcPr>
          <w:p w:rsidR="00275B60" w:rsidRDefault="00E62F9D">
            <w:pPr>
              <w:jc w:val="center"/>
            </w:pPr>
            <w:r>
              <w:rPr>
                <w:color w:val="000000"/>
                <w:sz w:val="24"/>
                <w:szCs w:val="24"/>
              </w:rPr>
              <w:t>4</w:t>
            </w:r>
          </w:p>
        </w:tc>
        <w:tc>
          <w:tcPr>
            <w:tcW w:w="1334" w:type="dxa"/>
            <w:vAlign w:val="center"/>
          </w:tcPr>
          <w:p w:rsidR="00275B60" w:rsidRDefault="00E62F9D">
            <w:pPr>
              <w:jc w:val="center"/>
            </w:pPr>
            <w:r>
              <w:rPr>
                <w:color w:val="000000"/>
                <w:sz w:val="24"/>
                <w:szCs w:val="24"/>
              </w:rPr>
              <w:t>000024</w:t>
            </w:r>
          </w:p>
        </w:tc>
        <w:tc>
          <w:tcPr>
            <w:tcW w:w="1777" w:type="dxa"/>
            <w:vAlign w:val="center"/>
          </w:tcPr>
          <w:p w:rsidR="00275B60" w:rsidRDefault="00E62F9D">
            <w:pPr>
              <w:jc w:val="center"/>
            </w:pPr>
            <w:r>
              <w:rPr>
                <w:color w:val="000000"/>
                <w:sz w:val="24"/>
                <w:szCs w:val="24"/>
              </w:rPr>
              <w:t>招商地产</w:t>
            </w:r>
          </w:p>
        </w:tc>
        <w:tc>
          <w:tcPr>
            <w:tcW w:w="1334" w:type="dxa"/>
            <w:vAlign w:val="center"/>
          </w:tcPr>
          <w:p w:rsidR="00275B60" w:rsidRDefault="00E62F9D">
            <w:pPr>
              <w:jc w:val="right"/>
            </w:pPr>
            <w:r>
              <w:rPr>
                <w:color w:val="000000"/>
                <w:sz w:val="24"/>
                <w:szCs w:val="24"/>
              </w:rPr>
              <w:t>1,667,861</w:t>
            </w:r>
          </w:p>
        </w:tc>
        <w:tc>
          <w:tcPr>
            <w:tcW w:w="1924" w:type="dxa"/>
            <w:vAlign w:val="center"/>
          </w:tcPr>
          <w:p w:rsidR="00275B60" w:rsidRDefault="00E62F9D">
            <w:pPr>
              <w:jc w:val="right"/>
            </w:pPr>
            <w:r>
              <w:rPr>
                <w:color w:val="000000"/>
                <w:sz w:val="24"/>
                <w:szCs w:val="24"/>
              </w:rPr>
              <w:t>20,498,011.69</w:t>
            </w:r>
          </w:p>
        </w:tc>
        <w:tc>
          <w:tcPr>
            <w:tcW w:w="1644" w:type="dxa"/>
            <w:vAlign w:val="center"/>
          </w:tcPr>
          <w:p w:rsidR="00275B60" w:rsidRDefault="00E62F9D">
            <w:pPr>
              <w:jc w:val="right"/>
            </w:pPr>
            <w:r>
              <w:rPr>
                <w:color w:val="000000"/>
                <w:sz w:val="24"/>
                <w:szCs w:val="24"/>
              </w:rPr>
              <w:t>4.01</w:t>
            </w:r>
          </w:p>
        </w:tc>
      </w:tr>
      <w:tr w:rsidR="00275B60">
        <w:trPr>
          <w:jc w:val="center"/>
        </w:trPr>
        <w:tc>
          <w:tcPr>
            <w:tcW w:w="855" w:type="dxa"/>
            <w:vAlign w:val="center"/>
          </w:tcPr>
          <w:p w:rsidR="00275B60" w:rsidRDefault="00E62F9D">
            <w:pPr>
              <w:jc w:val="center"/>
            </w:pPr>
            <w:r>
              <w:rPr>
                <w:color w:val="000000"/>
                <w:sz w:val="24"/>
                <w:szCs w:val="24"/>
              </w:rPr>
              <w:t>5</w:t>
            </w:r>
          </w:p>
        </w:tc>
        <w:tc>
          <w:tcPr>
            <w:tcW w:w="1334" w:type="dxa"/>
            <w:vAlign w:val="center"/>
          </w:tcPr>
          <w:p w:rsidR="00275B60" w:rsidRDefault="00E62F9D">
            <w:pPr>
              <w:jc w:val="center"/>
            </w:pPr>
            <w:r>
              <w:rPr>
                <w:color w:val="000000"/>
                <w:sz w:val="24"/>
                <w:szCs w:val="24"/>
              </w:rPr>
              <w:t>601555</w:t>
            </w:r>
          </w:p>
        </w:tc>
        <w:tc>
          <w:tcPr>
            <w:tcW w:w="1777" w:type="dxa"/>
            <w:vAlign w:val="center"/>
          </w:tcPr>
          <w:p w:rsidR="00275B60" w:rsidRDefault="00E62F9D">
            <w:pPr>
              <w:jc w:val="center"/>
            </w:pPr>
            <w:r>
              <w:rPr>
                <w:color w:val="000000"/>
                <w:sz w:val="24"/>
                <w:szCs w:val="24"/>
              </w:rPr>
              <w:t>东吴证券</w:t>
            </w:r>
          </w:p>
        </w:tc>
        <w:tc>
          <w:tcPr>
            <w:tcW w:w="1334" w:type="dxa"/>
            <w:vAlign w:val="center"/>
          </w:tcPr>
          <w:p w:rsidR="00275B60" w:rsidRDefault="00E62F9D">
            <w:pPr>
              <w:jc w:val="right"/>
            </w:pPr>
            <w:r>
              <w:rPr>
                <w:color w:val="000000"/>
                <w:sz w:val="24"/>
                <w:szCs w:val="24"/>
              </w:rPr>
              <w:t>1,649,781</w:t>
            </w:r>
          </w:p>
        </w:tc>
        <w:tc>
          <w:tcPr>
            <w:tcW w:w="1924" w:type="dxa"/>
            <w:vAlign w:val="center"/>
          </w:tcPr>
          <w:p w:rsidR="00275B60" w:rsidRDefault="00E62F9D">
            <w:pPr>
              <w:jc w:val="right"/>
            </w:pPr>
            <w:r>
              <w:rPr>
                <w:color w:val="000000"/>
                <w:sz w:val="24"/>
                <w:szCs w:val="24"/>
              </w:rPr>
              <w:t>16,992,744.30</w:t>
            </w:r>
          </w:p>
        </w:tc>
        <w:tc>
          <w:tcPr>
            <w:tcW w:w="1644" w:type="dxa"/>
            <w:vAlign w:val="center"/>
          </w:tcPr>
          <w:p w:rsidR="00275B60" w:rsidRDefault="00E62F9D">
            <w:pPr>
              <w:jc w:val="right"/>
            </w:pPr>
            <w:r>
              <w:rPr>
                <w:color w:val="000000"/>
                <w:sz w:val="24"/>
                <w:szCs w:val="24"/>
              </w:rPr>
              <w:t>3.32</w:t>
            </w:r>
          </w:p>
        </w:tc>
      </w:tr>
      <w:tr w:rsidR="00275B60">
        <w:trPr>
          <w:jc w:val="center"/>
        </w:trPr>
        <w:tc>
          <w:tcPr>
            <w:tcW w:w="855" w:type="dxa"/>
            <w:vAlign w:val="center"/>
          </w:tcPr>
          <w:p w:rsidR="00275B60" w:rsidRDefault="00E62F9D">
            <w:pPr>
              <w:jc w:val="center"/>
            </w:pPr>
            <w:r>
              <w:rPr>
                <w:color w:val="000000"/>
                <w:sz w:val="24"/>
                <w:szCs w:val="24"/>
              </w:rPr>
              <w:t>6</w:t>
            </w:r>
          </w:p>
        </w:tc>
        <w:tc>
          <w:tcPr>
            <w:tcW w:w="1334" w:type="dxa"/>
            <w:vAlign w:val="center"/>
          </w:tcPr>
          <w:p w:rsidR="00275B60" w:rsidRDefault="00E62F9D">
            <w:pPr>
              <w:jc w:val="center"/>
            </w:pPr>
            <w:r>
              <w:rPr>
                <w:color w:val="000000"/>
                <w:sz w:val="24"/>
                <w:szCs w:val="24"/>
              </w:rPr>
              <w:t>603005</w:t>
            </w:r>
          </w:p>
        </w:tc>
        <w:tc>
          <w:tcPr>
            <w:tcW w:w="1777" w:type="dxa"/>
            <w:vAlign w:val="center"/>
          </w:tcPr>
          <w:p w:rsidR="00275B60" w:rsidRDefault="00E62F9D">
            <w:pPr>
              <w:jc w:val="center"/>
            </w:pPr>
            <w:r>
              <w:rPr>
                <w:color w:val="000000"/>
                <w:sz w:val="24"/>
                <w:szCs w:val="24"/>
              </w:rPr>
              <w:t>晶方科技</w:t>
            </w:r>
          </w:p>
        </w:tc>
        <w:tc>
          <w:tcPr>
            <w:tcW w:w="1334" w:type="dxa"/>
            <w:vAlign w:val="center"/>
          </w:tcPr>
          <w:p w:rsidR="00275B60" w:rsidRDefault="00E62F9D">
            <w:pPr>
              <w:jc w:val="right"/>
            </w:pPr>
            <w:r>
              <w:rPr>
                <w:color w:val="000000"/>
                <w:sz w:val="24"/>
                <w:szCs w:val="24"/>
              </w:rPr>
              <w:t>325,599</w:t>
            </w:r>
          </w:p>
        </w:tc>
        <w:tc>
          <w:tcPr>
            <w:tcW w:w="1924" w:type="dxa"/>
            <w:vAlign w:val="center"/>
          </w:tcPr>
          <w:p w:rsidR="00275B60" w:rsidRDefault="00E62F9D">
            <w:pPr>
              <w:jc w:val="right"/>
            </w:pPr>
            <w:r>
              <w:rPr>
                <w:color w:val="000000"/>
                <w:sz w:val="24"/>
                <w:szCs w:val="24"/>
              </w:rPr>
              <w:t>15,550,608.24</w:t>
            </w:r>
          </w:p>
        </w:tc>
        <w:tc>
          <w:tcPr>
            <w:tcW w:w="1644" w:type="dxa"/>
            <w:vAlign w:val="center"/>
          </w:tcPr>
          <w:p w:rsidR="00275B60" w:rsidRDefault="00E62F9D">
            <w:pPr>
              <w:jc w:val="right"/>
            </w:pPr>
            <w:r>
              <w:rPr>
                <w:color w:val="000000"/>
                <w:sz w:val="24"/>
                <w:szCs w:val="24"/>
              </w:rPr>
              <w:t>3.04</w:t>
            </w:r>
          </w:p>
        </w:tc>
      </w:tr>
      <w:tr w:rsidR="00275B60">
        <w:trPr>
          <w:jc w:val="center"/>
        </w:trPr>
        <w:tc>
          <w:tcPr>
            <w:tcW w:w="855" w:type="dxa"/>
            <w:vAlign w:val="center"/>
          </w:tcPr>
          <w:p w:rsidR="00275B60" w:rsidRDefault="00E62F9D">
            <w:pPr>
              <w:jc w:val="center"/>
            </w:pPr>
            <w:r>
              <w:rPr>
                <w:color w:val="000000"/>
                <w:sz w:val="24"/>
                <w:szCs w:val="24"/>
              </w:rPr>
              <w:t>7</w:t>
            </w:r>
          </w:p>
        </w:tc>
        <w:tc>
          <w:tcPr>
            <w:tcW w:w="1334" w:type="dxa"/>
            <w:vAlign w:val="center"/>
          </w:tcPr>
          <w:p w:rsidR="00275B60" w:rsidRDefault="00E62F9D">
            <w:pPr>
              <w:jc w:val="center"/>
            </w:pPr>
            <w:r>
              <w:rPr>
                <w:color w:val="000000"/>
                <w:sz w:val="24"/>
                <w:szCs w:val="24"/>
              </w:rPr>
              <w:t>002353</w:t>
            </w:r>
          </w:p>
        </w:tc>
        <w:tc>
          <w:tcPr>
            <w:tcW w:w="1777" w:type="dxa"/>
            <w:vAlign w:val="center"/>
          </w:tcPr>
          <w:p w:rsidR="00275B60" w:rsidRDefault="00E62F9D">
            <w:pPr>
              <w:jc w:val="center"/>
            </w:pPr>
            <w:r>
              <w:rPr>
                <w:color w:val="000000"/>
                <w:sz w:val="24"/>
                <w:szCs w:val="24"/>
              </w:rPr>
              <w:t>杰瑞股份</w:t>
            </w:r>
          </w:p>
        </w:tc>
        <w:tc>
          <w:tcPr>
            <w:tcW w:w="1334" w:type="dxa"/>
            <w:vAlign w:val="center"/>
          </w:tcPr>
          <w:p w:rsidR="00275B60" w:rsidRDefault="00E62F9D">
            <w:pPr>
              <w:jc w:val="right"/>
            </w:pPr>
            <w:r>
              <w:rPr>
                <w:color w:val="000000"/>
                <w:sz w:val="24"/>
                <w:szCs w:val="24"/>
              </w:rPr>
              <w:t>391,326</w:t>
            </w:r>
          </w:p>
        </w:tc>
        <w:tc>
          <w:tcPr>
            <w:tcW w:w="1924" w:type="dxa"/>
            <w:vAlign w:val="center"/>
          </w:tcPr>
          <w:p w:rsidR="00275B60" w:rsidRDefault="00E62F9D">
            <w:pPr>
              <w:jc w:val="right"/>
            </w:pPr>
            <w:r>
              <w:rPr>
                <w:color w:val="000000"/>
                <w:sz w:val="24"/>
                <w:szCs w:val="24"/>
              </w:rPr>
              <w:t>15,253,887.48</w:t>
            </w:r>
          </w:p>
        </w:tc>
        <w:tc>
          <w:tcPr>
            <w:tcW w:w="1644" w:type="dxa"/>
            <w:vAlign w:val="center"/>
          </w:tcPr>
          <w:p w:rsidR="00275B60" w:rsidRDefault="00E62F9D">
            <w:pPr>
              <w:jc w:val="right"/>
            </w:pPr>
            <w:r>
              <w:rPr>
                <w:color w:val="000000"/>
                <w:sz w:val="24"/>
                <w:szCs w:val="24"/>
              </w:rPr>
              <w:t>2.98</w:t>
            </w:r>
          </w:p>
        </w:tc>
      </w:tr>
      <w:tr w:rsidR="00275B60">
        <w:trPr>
          <w:jc w:val="center"/>
        </w:trPr>
        <w:tc>
          <w:tcPr>
            <w:tcW w:w="855" w:type="dxa"/>
            <w:vAlign w:val="center"/>
          </w:tcPr>
          <w:p w:rsidR="00275B60" w:rsidRDefault="00E62F9D">
            <w:pPr>
              <w:jc w:val="center"/>
            </w:pPr>
            <w:r>
              <w:rPr>
                <w:color w:val="000000"/>
                <w:sz w:val="24"/>
                <w:szCs w:val="24"/>
              </w:rPr>
              <w:t>8</w:t>
            </w:r>
          </w:p>
        </w:tc>
        <w:tc>
          <w:tcPr>
            <w:tcW w:w="1334" w:type="dxa"/>
            <w:vAlign w:val="center"/>
          </w:tcPr>
          <w:p w:rsidR="00275B60" w:rsidRDefault="00E62F9D">
            <w:pPr>
              <w:jc w:val="center"/>
            </w:pPr>
            <w:r>
              <w:rPr>
                <w:color w:val="000000"/>
                <w:sz w:val="24"/>
                <w:szCs w:val="24"/>
              </w:rPr>
              <w:t>000712</w:t>
            </w:r>
          </w:p>
        </w:tc>
        <w:tc>
          <w:tcPr>
            <w:tcW w:w="1777" w:type="dxa"/>
            <w:vAlign w:val="center"/>
          </w:tcPr>
          <w:p w:rsidR="00275B60" w:rsidRDefault="00E62F9D">
            <w:pPr>
              <w:jc w:val="center"/>
            </w:pPr>
            <w:r>
              <w:rPr>
                <w:color w:val="000000"/>
                <w:sz w:val="24"/>
                <w:szCs w:val="24"/>
              </w:rPr>
              <w:t>锦龙股份</w:t>
            </w:r>
          </w:p>
        </w:tc>
        <w:tc>
          <w:tcPr>
            <w:tcW w:w="1334" w:type="dxa"/>
            <w:vAlign w:val="center"/>
          </w:tcPr>
          <w:p w:rsidR="00275B60" w:rsidRDefault="00E62F9D">
            <w:pPr>
              <w:jc w:val="right"/>
            </w:pPr>
            <w:r>
              <w:rPr>
                <w:color w:val="000000"/>
                <w:sz w:val="24"/>
                <w:szCs w:val="24"/>
              </w:rPr>
              <w:t>797,600</w:t>
            </w:r>
          </w:p>
        </w:tc>
        <w:tc>
          <w:tcPr>
            <w:tcW w:w="1924" w:type="dxa"/>
            <w:vAlign w:val="center"/>
          </w:tcPr>
          <w:p w:rsidR="00275B60" w:rsidRDefault="00E62F9D">
            <w:pPr>
              <w:jc w:val="right"/>
            </w:pPr>
            <w:r>
              <w:rPr>
                <w:color w:val="000000"/>
                <w:sz w:val="24"/>
                <w:szCs w:val="24"/>
              </w:rPr>
              <w:t>14,109,544.00</w:t>
            </w:r>
          </w:p>
        </w:tc>
        <w:tc>
          <w:tcPr>
            <w:tcW w:w="1644" w:type="dxa"/>
            <w:vAlign w:val="center"/>
          </w:tcPr>
          <w:p w:rsidR="00275B60" w:rsidRDefault="00E62F9D">
            <w:pPr>
              <w:jc w:val="right"/>
            </w:pPr>
            <w:r>
              <w:rPr>
                <w:color w:val="000000"/>
                <w:sz w:val="24"/>
                <w:szCs w:val="24"/>
              </w:rPr>
              <w:t>2.76</w:t>
            </w:r>
          </w:p>
        </w:tc>
      </w:tr>
      <w:tr w:rsidR="00275B60">
        <w:trPr>
          <w:jc w:val="center"/>
        </w:trPr>
        <w:tc>
          <w:tcPr>
            <w:tcW w:w="855" w:type="dxa"/>
            <w:vAlign w:val="center"/>
          </w:tcPr>
          <w:p w:rsidR="00275B60" w:rsidRDefault="00E62F9D">
            <w:pPr>
              <w:jc w:val="center"/>
            </w:pPr>
            <w:r>
              <w:rPr>
                <w:color w:val="000000"/>
                <w:sz w:val="24"/>
                <w:szCs w:val="24"/>
              </w:rPr>
              <w:t>9</w:t>
            </w:r>
          </w:p>
        </w:tc>
        <w:tc>
          <w:tcPr>
            <w:tcW w:w="1334" w:type="dxa"/>
            <w:vAlign w:val="center"/>
          </w:tcPr>
          <w:p w:rsidR="00275B60" w:rsidRDefault="00E62F9D">
            <w:pPr>
              <w:jc w:val="center"/>
            </w:pPr>
            <w:r>
              <w:rPr>
                <w:color w:val="000000"/>
                <w:sz w:val="24"/>
                <w:szCs w:val="24"/>
              </w:rPr>
              <w:t>600511</w:t>
            </w:r>
          </w:p>
        </w:tc>
        <w:tc>
          <w:tcPr>
            <w:tcW w:w="1777" w:type="dxa"/>
            <w:vAlign w:val="center"/>
          </w:tcPr>
          <w:p w:rsidR="00275B60" w:rsidRDefault="00E62F9D">
            <w:pPr>
              <w:jc w:val="center"/>
            </w:pPr>
            <w:r>
              <w:rPr>
                <w:color w:val="000000"/>
                <w:sz w:val="24"/>
                <w:szCs w:val="24"/>
              </w:rPr>
              <w:t>国药股份</w:t>
            </w:r>
          </w:p>
        </w:tc>
        <w:tc>
          <w:tcPr>
            <w:tcW w:w="1334" w:type="dxa"/>
            <w:vAlign w:val="center"/>
          </w:tcPr>
          <w:p w:rsidR="00275B60" w:rsidRDefault="00E62F9D">
            <w:pPr>
              <w:jc w:val="right"/>
            </w:pPr>
            <w:r>
              <w:rPr>
                <w:color w:val="000000"/>
                <w:sz w:val="24"/>
                <w:szCs w:val="24"/>
              </w:rPr>
              <w:t>506,910</w:t>
            </w:r>
          </w:p>
        </w:tc>
        <w:tc>
          <w:tcPr>
            <w:tcW w:w="1924" w:type="dxa"/>
            <w:vAlign w:val="center"/>
          </w:tcPr>
          <w:p w:rsidR="00275B60" w:rsidRDefault="00E62F9D">
            <w:pPr>
              <w:jc w:val="right"/>
            </w:pPr>
            <w:r>
              <w:rPr>
                <w:color w:val="000000"/>
                <w:sz w:val="24"/>
                <w:szCs w:val="24"/>
              </w:rPr>
              <w:t>13,661,224.50</w:t>
            </w:r>
          </w:p>
        </w:tc>
        <w:tc>
          <w:tcPr>
            <w:tcW w:w="1644" w:type="dxa"/>
            <w:vAlign w:val="center"/>
          </w:tcPr>
          <w:p w:rsidR="00275B60" w:rsidRDefault="00E62F9D">
            <w:pPr>
              <w:jc w:val="right"/>
            </w:pPr>
            <w:r>
              <w:rPr>
                <w:color w:val="000000"/>
                <w:sz w:val="24"/>
                <w:szCs w:val="24"/>
              </w:rPr>
              <w:t>2.67</w:t>
            </w:r>
          </w:p>
        </w:tc>
      </w:tr>
      <w:tr w:rsidR="00275B60">
        <w:trPr>
          <w:jc w:val="center"/>
        </w:trPr>
        <w:tc>
          <w:tcPr>
            <w:tcW w:w="855" w:type="dxa"/>
            <w:vAlign w:val="center"/>
          </w:tcPr>
          <w:p w:rsidR="00275B60" w:rsidRDefault="00E62F9D">
            <w:pPr>
              <w:jc w:val="center"/>
            </w:pPr>
            <w:r>
              <w:rPr>
                <w:color w:val="000000"/>
                <w:sz w:val="24"/>
                <w:szCs w:val="24"/>
              </w:rPr>
              <w:t>10</w:t>
            </w:r>
          </w:p>
        </w:tc>
        <w:tc>
          <w:tcPr>
            <w:tcW w:w="1334" w:type="dxa"/>
            <w:vAlign w:val="center"/>
          </w:tcPr>
          <w:p w:rsidR="00275B60" w:rsidRDefault="00E62F9D">
            <w:pPr>
              <w:jc w:val="center"/>
            </w:pPr>
            <w:r>
              <w:rPr>
                <w:color w:val="000000"/>
                <w:sz w:val="24"/>
                <w:szCs w:val="24"/>
              </w:rPr>
              <w:t>000961</w:t>
            </w:r>
          </w:p>
        </w:tc>
        <w:tc>
          <w:tcPr>
            <w:tcW w:w="1777" w:type="dxa"/>
            <w:vAlign w:val="center"/>
          </w:tcPr>
          <w:p w:rsidR="00275B60" w:rsidRDefault="00E62F9D">
            <w:pPr>
              <w:jc w:val="center"/>
            </w:pPr>
            <w:r>
              <w:rPr>
                <w:color w:val="000000"/>
                <w:sz w:val="24"/>
                <w:szCs w:val="24"/>
              </w:rPr>
              <w:t>中南建设</w:t>
            </w:r>
          </w:p>
        </w:tc>
        <w:tc>
          <w:tcPr>
            <w:tcW w:w="1334" w:type="dxa"/>
            <w:vAlign w:val="center"/>
          </w:tcPr>
          <w:p w:rsidR="00275B60" w:rsidRDefault="00E62F9D">
            <w:pPr>
              <w:jc w:val="right"/>
            </w:pPr>
            <w:r>
              <w:rPr>
                <w:color w:val="000000"/>
                <w:sz w:val="24"/>
                <w:szCs w:val="24"/>
              </w:rPr>
              <w:t>1,509,582</w:t>
            </w:r>
          </w:p>
        </w:tc>
        <w:tc>
          <w:tcPr>
            <w:tcW w:w="1924" w:type="dxa"/>
            <w:vAlign w:val="center"/>
          </w:tcPr>
          <w:p w:rsidR="00275B60" w:rsidRDefault="00E62F9D">
            <w:pPr>
              <w:jc w:val="right"/>
            </w:pPr>
            <w:r>
              <w:rPr>
                <w:color w:val="000000"/>
                <w:sz w:val="24"/>
                <w:szCs w:val="24"/>
              </w:rPr>
              <w:t>13,284,321.60</w:t>
            </w:r>
          </w:p>
        </w:tc>
        <w:tc>
          <w:tcPr>
            <w:tcW w:w="1644" w:type="dxa"/>
            <w:vAlign w:val="center"/>
          </w:tcPr>
          <w:p w:rsidR="00275B60" w:rsidRDefault="00E62F9D">
            <w:pPr>
              <w:jc w:val="right"/>
            </w:pPr>
            <w:r>
              <w:rPr>
                <w:color w:val="000000"/>
                <w:sz w:val="24"/>
                <w:szCs w:val="24"/>
              </w:rPr>
              <w:t>2.60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55,801,488.60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75,799,488.60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75B60">
        <w:trPr>
          <w:jc w:val="center"/>
        </w:trPr>
        <w:tc>
          <w:tcPr>
            <w:tcW w:w="850" w:type="dxa"/>
            <w:vAlign w:val="center"/>
          </w:tcPr>
          <w:p w:rsidR="00275B60" w:rsidRDefault="00E62F9D">
            <w:pPr>
              <w:jc w:val="center"/>
            </w:pPr>
            <w:r>
              <w:rPr>
                <w:color w:val="000000"/>
                <w:sz w:val="24"/>
                <w:szCs w:val="24"/>
              </w:rPr>
              <w:t>1</w:t>
            </w:r>
          </w:p>
        </w:tc>
        <w:tc>
          <w:tcPr>
            <w:tcW w:w="1475" w:type="dxa"/>
            <w:vAlign w:val="center"/>
          </w:tcPr>
          <w:p w:rsidR="00275B60" w:rsidRDefault="00E62F9D">
            <w:pPr>
              <w:jc w:val="center"/>
            </w:pPr>
            <w:r>
              <w:rPr>
                <w:color w:val="000000"/>
                <w:sz w:val="24"/>
                <w:szCs w:val="24"/>
              </w:rPr>
              <w:t>113005</w:t>
            </w:r>
          </w:p>
        </w:tc>
        <w:tc>
          <w:tcPr>
            <w:tcW w:w="1769" w:type="dxa"/>
            <w:vAlign w:val="center"/>
          </w:tcPr>
          <w:p w:rsidR="00275B60" w:rsidRDefault="00E62F9D">
            <w:pPr>
              <w:jc w:val="center"/>
            </w:pPr>
            <w:r>
              <w:rPr>
                <w:color w:val="000000"/>
                <w:sz w:val="24"/>
                <w:szCs w:val="24"/>
              </w:rPr>
              <w:t>平安转债</w:t>
            </w:r>
          </w:p>
        </w:tc>
        <w:tc>
          <w:tcPr>
            <w:tcW w:w="1387" w:type="dxa"/>
            <w:vAlign w:val="center"/>
          </w:tcPr>
          <w:p w:rsidR="00275B60" w:rsidRDefault="00E62F9D">
            <w:pPr>
              <w:jc w:val="right"/>
            </w:pPr>
            <w:r>
              <w:rPr>
                <w:color w:val="000000"/>
                <w:sz w:val="24"/>
                <w:szCs w:val="24"/>
              </w:rPr>
              <w:t>227,880</w:t>
            </w:r>
          </w:p>
        </w:tc>
        <w:tc>
          <w:tcPr>
            <w:tcW w:w="2150" w:type="dxa"/>
            <w:vAlign w:val="center"/>
          </w:tcPr>
          <w:p w:rsidR="00275B60" w:rsidRDefault="00E62F9D">
            <w:pPr>
              <w:jc w:val="right"/>
            </w:pPr>
            <w:r>
              <w:rPr>
                <w:color w:val="000000"/>
                <w:sz w:val="24"/>
                <w:szCs w:val="24"/>
              </w:rPr>
              <w:t>24,941,466.00</w:t>
            </w:r>
          </w:p>
        </w:tc>
        <w:tc>
          <w:tcPr>
            <w:tcW w:w="1237" w:type="dxa"/>
            <w:vAlign w:val="center"/>
          </w:tcPr>
          <w:p w:rsidR="00275B60" w:rsidRDefault="00E62F9D">
            <w:pPr>
              <w:jc w:val="right"/>
            </w:pPr>
            <w:r>
              <w:rPr>
                <w:color w:val="000000"/>
                <w:sz w:val="24"/>
                <w:szCs w:val="24"/>
              </w:rPr>
              <w:t>4.88</w:t>
            </w:r>
          </w:p>
        </w:tc>
      </w:tr>
      <w:tr w:rsidR="00275B60">
        <w:trPr>
          <w:jc w:val="center"/>
        </w:trPr>
        <w:tc>
          <w:tcPr>
            <w:tcW w:w="850" w:type="dxa"/>
            <w:vAlign w:val="center"/>
          </w:tcPr>
          <w:p w:rsidR="00275B60" w:rsidRDefault="00E62F9D">
            <w:pPr>
              <w:jc w:val="center"/>
            </w:pPr>
            <w:r>
              <w:rPr>
                <w:color w:val="000000"/>
                <w:sz w:val="24"/>
                <w:szCs w:val="24"/>
              </w:rPr>
              <w:t>2</w:t>
            </w:r>
          </w:p>
        </w:tc>
        <w:tc>
          <w:tcPr>
            <w:tcW w:w="1475" w:type="dxa"/>
            <w:vAlign w:val="center"/>
          </w:tcPr>
          <w:p w:rsidR="00275B60" w:rsidRDefault="00E62F9D">
            <w:pPr>
              <w:jc w:val="center"/>
            </w:pPr>
            <w:r>
              <w:rPr>
                <w:color w:val="000000"/>
                <w:sz w:val="24"/>
                <w:szCs w:val="24"/>
              </w:rPr>
              <w:t>110025</w:t>
            </w:r>
          </w:p>
        </w:tc>
        <w:tc>
          <w:tcPr>
            <w:tcW w:w="1769" w:type="dxa"/>
            <w:vAlign w:val="center"/>
          </w:tcPr>
          <w:p w:rsidR="00275B60" w:rsidRDefault="00E62F9D">
            <w:pPr>
              <w:jc w:val="center"/>
            </w:pPr>
            <w:r>
              <w:rPr>
                <w:color w:val="000000"/>
                <w:sz w:val="24"/>
                <w:szCs w:val="24"/>
              </w:rPr>
              <w:t>国金转债</w:t>
            </w:r>
          </w:p>
        </w:tc>
        <w:tc>
          <w:tcPr>
            <w:tcW w:w="1387" w:type="dxa"/>
            <w:vAlign w:val="center"/>
          </w:tcPr>
          <w:p w:rsidR="00275B60" w:rsidRDefault="00E62F9D">
            <w:pPr>
              <w:jc w:val="right"/>
            </w:pPr>
            <w:r>
              <w:rPr>
                <w:color w:val="000000"/>
                <w:sz w:val="24"/>
                <w:szCs w:val="24"/>
              </w:rPr>
              <w:t>166,800</w:t>
            </w:r>
          </w:p>
        </w:tc>
        <w:tc>
          <w:tcPr>
            <w:tcW w:w="2150" w:type="dxa"/>
            <w:vAlign w:val="center"/>
          </w:tcPr>
          <w:p w:rsidR="00275B60" w:rsidRDefault="00E62F9D">
            <w:pPr>
              <w:jc w:val="right"/>
            </w:pPr>
            <w:r>
              <w:rPr>
                <w:color w:val="000000"/>
                <w:sz w:val="24"/>
                <w:szCs w:val="24"/>
              </w:rPr>
              <w:t>20,604,804.00</w:t>
            </w:r>
          </w:p>
        </w:tc>
        <w:tc>
          <w:tcPr>
            <w:tcW w:w="1237" w:type="dxa"/>
            <w:vAlign w:val="center"/>
          </w:tcPr>
          <w:p w:rsidR="00275B60" w:rsidRDefault="00E62F9D">
            <w:pPr>
              <w:jc w:val="right"/>
            </w:pPr>
            <w:r>
              <w:rPr>
                <w:color w:val="000000"/>
                <w:sz w:val="24"/>
                <w:szCs w:val="24"/>
              </w:rPr>
              <w:t>4.03</w:t>
            </w:r>
          </w:p>
        </w:tc>
      </w:tr>
      <w:tr w:rsidR="00275B60">
        <w:trPr>
          <w:jc w:val="center"/>
        </w:trPr>
        <w:tc>
          <w:tcPr>
            <w:tcW w:w="850" w:type="dxa"/>
            <w:vAlign w:val="center"/>
          </w:tcPr>
          <w:p w:rsidR="00275B60" w:rsidRDefault="00E62F9D">
            <w:pPr>
              <w:jc w:val="center"/>
            </w:pPr>
            <w:r>
              <w:rPr>
                <w:color w:val="000000"/>
                <w:sz w:val="24"/>
                <w:szCs w:val="24"/>
              </w:rPr>
              <w:t>3</w:t>
            </w:r>
          </w:p>
        </w:tc>
        <w:tc>
          <w:tcPr>
            <w:tcW w:w="1475" w:type="dxa"/>
            <w:vAlign w:val="center"/>
          </w:tcPr>
          <w:p w:rsidR="00275B60" w:rsidRDefault="00E62F9D">
            <w:pPr>
              <w:jc w:val="center"/>
            </w:pPr>
            <w:r>
              <w:rPr>
                <w:color w:val="000000"/>
                <w:sz w:val="24"/>
                <w:szCs w:val="24"/>
              </w:rPr>
              <w:t>1080077</w:t>
            </w:r>
          </w:p>
        </w:tc>
        <w:tc>
          <w:tcPr>
            <w:tcW w:w="1769" w:type="dxa"/>
            <w:vAlign w:val="center"/>
          </w:tcPr>
          <w:p w:rsidR="00275B60" w:rsidRDefault="00E62F9D">
            <w:pPr>
              <w:jc w:val="center"/>
            </w:pPr>
            <w:r>
              <w:rPr>
                <w:color w:val="000000"/>
                <w:sz w:val="24"/>
                <w:szCs w:val="24"/>
              </w:rPr>
              <w:t>10</w:t>
            </w:r>
            <w:r>
              <w:rPr>
                <w:color w:val="000000"/>
                <w:sz w:val="24"/>
                <w:szCs w:val="24"/>
              </w:rPr>
              <w:t>马建投债</w:t>
            </w:r>
          </w:p>
        </w:tc>
        <w:tc>
          <w:tcPr>
            <w:tcW w:w="1387" w:type="dxa"/>
            <w:vAlign w:val="center"/>
          </w:tcPr>
          <w:p w:rsidR="00275B60" w:rsidRDefault="00E62F9D">
            <w:pPr>
              <w:jc w:val="right"/>
            </w:pPr>
            <w:r>
              <w:rPr>
                <w:color w:val="000000"/>
                <w:sz w:val="24"/>
                <w:szCs w:val="24"/>
              </w:rPr>
              <w:t>200,000</w:t>
            </w:r>
          </w:p>
        </w:tc>
        <w:tc>
          <w:tcPr>
            <w:tcW w:w="2150" w:type="dxa"/>
            <w:vAlign w:val="center"/>
          </w:tcPr>
          <w:p w:rsidR="00275B60" w:rsidRDefault="00E62F9D">
            <w:pPr>
              <w:jc w:val="right"/>
            </w:pPr>
            <w:r>
              <w:rPr>
                <w:color w:val="000000"/>
                <w:sz w:val="24"/>
                <w:szCs w:val="24"/>
              </w:rPr>
              <w:t>19,998,000.00</w:t>
            </w:r>
          </w:p>
        </w:tc>
        <w:tc>
          <w:tcPr>
            <w:tcW w:w="1237" w:type="dxa"/>
            <w:vAlign w:val="center"/>
          </w:tcPr>
          <w:p w:rsidR="00275B60" w:rsidRDefault="00E62F9D">
            <w:pPr>
              <w:jc w:val="right"/>
            </w:pPr>
            <w:r>
              <w:rPr>
                <w:color w:val="000000"/>
                <w:sz w:val="24"/>
                <w:szCs w:val="24"/>
              </w:rPr>
              <w:t>3.91</w:t>
            </w:r>
          </w:p>
        </w:tc>
      </w:tr>
      <w:tr w:rsidR="00275B60">
        <w:trPr>
          <w:jc w:val="center"/>
        </w:trPr>
        <w:tc>
          <w:tcPr>
            <w:tcW w:w="850" w:type="dxa"/>
            <w:vAlign w:val="center"/>
          </w:tcPr>
          <w:p w:rsidR="00275B60" w:rsidRDefault="00E62F9D">
            <w:pPr>
              <w:jc w:val="center"/>
            </w:pPr>
            <w:r>
              <w:rPr>
                <w:color w:val="000000"/>
                <w:sz w:val="24"/>
                <w:szCs w:val="24"/>
              </w:rPr>
              <w:t>4</w:t>
            </w:r>
          </w:p>
        </w:tc>
        <w:tc>
          <w:tcPr>
            <w:tcW w:w="1475" w:type="dxa"/>
            <w:vAlign w:val="center"/>
          </w:tcPr>
          <w:p w:rsidR="00275B60" w:rsidRDefault="00E62F9D">
            <w:pPr>
              <w:jc w:val="center"/>
            </w:pPr>
            <w:r>
              <w:rPr>
                <w:color w:val="000000"/>
                <w:sz w:val="24"/>
                <w:szCs w:val="24"/>
              </w:rPr>
              <w:t>113001</w:t>
            </w:r>
          </w:p>
        </w:tc>
        <w:tc>
          <w:tcPr>
            <w:tcW w:w="1769" w:type="dxa"/>
            <w:vAlign w:val="center"/>
          </w:tcPr>
          <w:p w:rsidR="00275B60" w:rsidRDefault="00E62F9D">
            <w:pPr>
              <w:jc w:val="center"/>
            </w:pPr>
            <w:r>
              <w:rPr>
                <w:color w:val="000000"/>
                <w:sz w:val="24"/>
                <w:szCs w:val="24"/>
              </w:rPr>
              <w:t>中行转债</w:t>
            </w:r>
          </w:p>
        </w:tc>
        <w:tc>
          <w:tcPr>
            <w:tcW w:w="1387" w:type="dxa"/>
            <w:vAlign w:val="center"/>
          </w:tcPr>
          <w:p w:rsidR="00275B60" w:rsidRDefault="00E62F9D">
            <w:pPr>
              <w:jc w:val="right"/>
            </w:pPr>
            <w:r>
              <w:rPr>
                <w:color w:val="000000"/>
                <w:sz w:val="24"/>
                <w:szCs w:val="24"/>
              </w:rPr>
              <w:t>49,680</w:t>
            </w:r>
          </w:p>
        </w:tc>
        <w:tc>
          <w:tcPr>
            <w:tcW w:w="2150" w:type="dxa"/>
            <w:vAlign w:val="center"/>
          </w:tcPr>
          <w:p w:rsidR="00275B60" w:rsidRDefault="00E62F9D">
            <w:pPr>
              <w:jc w:val="right"/>
            </w:pPr>
            <w:r>
              <w:rPr>
                <w:color w:val="000000"/>
                <w:sz w:val="24"/>
                <w:szCs w:val="24"/>
              </w:rPr>
              <w:t>5,144,860.80</w:t>
            </w:r>
          </w:p>
        </w:tc>
        <w:tc>
          <w:tcPr>
            <w:tcW w:w="1237" w:type="dxa"/>
            <w:vAlign w:val="center"/>
          </w:tcPr>
          <w:p w:rsidR="00275B60" w:rsidRDefault="00E62F9D">
            <w:pPr>
              <w:jc w:val="right"/>
            </w:pPr>
            <w:r>
              <w:rPr>
                <w:color w:val="000000"/>
                <w:sz w:val="24"/>
                <w:szCs w:val="24"/>
              </w:rPr>
              <w:t>1.01</w:t>
            </w:r>
          </w:p>
        </w:tc>
      </w:tr>
      <w:tr w:rsidR="00275B60">
        <w:trPr>
          <w:jc w:val="center"/>
        </w:trPr>
        <w:tc>
          <w:tcPr>
            <w:tcW w:w="850" w:type="dxa"/>
            <w:vAlign w:val="center"/>
          </w:tcPr>
          <w:p w:rsidR="00275B60" w:rsidRDefault="00E62F9D">
            <w:pPr>
              <w:jc w:val="center"/>
            </w:pPr>
            <w:r>
              <w:rPr>
                <w:color w:val="000000"/>
                <w:sz w:val="24"/>
                <w:szCs w:val="24"/>
              </w:rPr>
              <w:t>5</w:t>
            </w:r>
          </w:p>
        </w:tc>
        <w:tc>
          <w:tcPr>
            <w:tcW w:w="1475" w:type="dxa"/>
            <w:vAlign w:val="center"/>
          </w:tcPr>
          <w:p w:rsidR="00275B60" w:rsidRDefault="00E62F9D">
            <w:pPr>
              <w:jc w:val="center"/>
            </w:pPr>
            <w:r>
              <w:rPr>
                <w:color w:val="000000"/>
                <w:sz w:val="24"/>
                <w:szCs w:val="24"/>
              </w:rPr>
              <w:t>113002</w:t>
            </w:r>
          </w:p>
        </w:tc>
        <w:tc>
          <w:tcPr>
            <w:tcW w:w="1769" w:type="dxa"/>
            <w:vAlign w:val="center"/>
          </w:tcPr>
          <w:p w:rsidR="00275B60" w:rsidRDefault="00E62F9D">
            <w:pPr>
              <w:jc w:val="center"/>
            </w:pPr>
            <w:r>
              <w:rPr>
                <w:color w:val="000000"/>
                <w:sz w:val="24"/>
                <w:szCs w:val="24"/>
              </w:rPr>
              <w:t>工行转债</w:t>
            </w:r>
          </w:p>
        </w:tc>
        <w:tc>
          <w:tcPr>
            <w:tcW w:w="1387" w:type="dxa"/>
            <w:vAlign w:val="center"/>
          </w:tcPr>
          <w:p w:rsidR="00275B60" w:rsidRDefault="00E62F9D">
            <w:pPr>
              <w:jc w:val="right"/>
            </w:pPr>
            <w:r>
              <w:rPr>
                <w:color w:val="000000"/>
                <w:sz w:val="24"/>
                <w:szCs w:val="24"/>
              </w:rPr>
              <w:t>46,940</w:t>
            </w:r>
          </w:p>
        </w:tc>
        <w:tc>
          <w:tcPr>
            <w:tcW w:w="2150" w:type="dxa"/>
            <w:vAlign w:val="center"/>
          </w:tcPr>
          <w:p w:rsidR="00275B60" w:rsidRDefault="00E62F9D">
            <w:pPr>
              <w:jc w:val="right"/>
            </w:pPr>
            <w:r>
              <w:rPr>
                <w:color w:val="000000"/>
                <w:sz w:val="24"/>
                <w:szCs w:val="24"/>
              </w:rPr>
              <w:t>5,110,357.80</w:t>
            </w:r>
          </w:p>
        </w:tc>
        <w:tc>
          <w:tcPr>
            <w:tcW w:w="1237" w:type="dxa"/>
            <w:vAlign w:val="center"/>
          </w:tcPr>
          <w:p w:rsidR="00275B60" w:rsidRDefault="00E62F9D">
            <w:pPr>
              <w:jc w:val="right"/>
            </w:pPr>
            <w:r>
              <w:rPr>
                <w:color w:val="000000"/>
                <w:sz w:val="24"/>
                <w:szCs w:val="24"/>
              </w:rPr>
              <w:t>1.00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147,595.86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340,271.21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68,739.17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556,606.24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75B60">
        <w:trPr>
          <w:jc w:val="center"/>
        </w:trPr>
        <w:tc>
          <w:tcPr>
            <w:tcW w:w="1883" w:type="dxa"/>
            <w:vAlign w:val="center"/>
          </w:tcPr>
          <w:p w:rsidR="00275B60" w:rsidRDefault="00E62F9D">
            <w:pPr>
              <w:jc w:val="center"/>
            </w:pPr>
            <w:r>
              <w:rPr>
                <w:color w:val="000000"/>
                <w:sz w:val="24"/>
                <w:szCs w:val="24"/>
              </w:rPr>
              <w:t>1</w:t>
            </w:r>
          </w:p>
        </w:tc>
        <w:tc>
          <w:tcPr>
            <w:tcW w:w="1801" w:type="dxa"/>
            <w:vAlign w:val="center"/>
          </w:tcPr>
          <w:p w:rsidR="00275B60" w:rsidRDefault="00E62F9D">
            <w:pPr>
              <w:jc w:val="center"/>
            </w:pPr>
            <w:r>
              <w:rPr>
                <w:color w:val="000000"/>
                <w:sz w:val="24"/>
                <w:szCs w:val="24"/>
              </w:rPr>
              <w:t>113005</w:t>
            </w:r>
          </w:p>
        </w:tc>
        <w:tc>
          <w:tcPr>
            <w:tcW w:w="1727" w:type="dxa"/>
            <w:vAlign w:val="center"/>
          </w:tcPr>
          <w:p w:rsidR="00275B60" w:rsidRDefault="00E62F9D">
            <w:pPr>
              <w:jc w:val="center"/>
            </w:pPr>
            <w:r>
              <w:rPr>
                <w:color w:val="000000"/>
                <w:sz w:val="24"/>
                <w:szCs w:val="24"/>
              </w:rPr>
              <w:t>平安转债</w:t>
            </w:r>
          </w:p>
        </w:tc>
        <w:tc>
          <w:tcPr>
            <w:tcW w:w="1768" w:type="dxa"/>
            <w:vAlign w:val="center"/>
          </w:tcPr>
          <w:p w:rsidR="00275B60" w:rsidRDefault="00E62F9D">
            <w:pPr>
              <w:jc w:val="right"/>
            </w:pPr>
            <w:r>
              <w:rPr>
                <w:color w:val="000000"/>
                <w:sz w:val="24"/>
                <w:szCs w:val="24"/>
              </w:rPr>
              <w:t>24,941,466.00</w:t>
            </w:r>
          </w:p>
        </w:tc>
        <w:tc>
          <w:tcPr>
            <w:tcW w:w="1689" w:type="dxa"/>
            <w:vAlign w:val="center"/>
          </w:tcPr>
          <w:p w:rsidR="00275B60" w:rsidRDefault="00E62F9D">
            <w:pPr>
              <w:jc w:val="right"/>
            </w:pPr>
            <w:r>
              <w:rPr>
                <w:color w:val="000000"/>
                <w:sz w:val="24"/>
                <w:szCs w:val="24"/>
              </w:rPr>
              <w:t>4.88</w:t>
            </w:r>
          </w:p>
        </w:tc>
      </w:tr>
      <w:tr w:rsidR="00275B60">
        <w:trPr>
          <w:jc w:val="center"/>
        </w:trPr>
        <w:tc>
          <w:tcPr>
            <w:tcW w:w="1883" w:type="dxa"/>
            <w:vAlign w:val="center"/>
          </w:tcPr>
          <w:p w:rsidR="00275B60" w:rsidRDefault="00E62F9D">
            <w:pPr>
              <w:jc w:val="center"/>
            </w:pPr>
            <w:r>
              <w:rPr>
                <w:color w:val="000000"/>
                <w:sz w:val="24"/>
                <w:szCs w:val="24"/>
              </w:rPr>
              <w:t>2</w:t>
            </w:r>
          </w:p>
        </w:tc>
        <w:tc>
          <w:tcPr>
            <w:tcW w:w="1801" w:type="dxa"/>
            <w:vAlign w:val="center"/>
          </w:tcPr>
          <w:p w:rsidR="00275B60" w:rsidRDefault="00E62F9D">
            <w:pPr>
              <w:jc w:val="center"/>
            </w:pPr>
            <w:r>
              <w:rPr>
                <w:color w:val="000000"/>
                <w:sz w:val="24"/>
                <w:szCs w:val="24"/>
              </w:rPr>
              <w:t>113001</w:t>
            </w:r>
          </w:p>
        </w:tc>
        <w:tc>
          <w:tcPr>
            <w:tcW w:w="1727" w:type="dxa"/>
            <w:vAlign w:val="center"/>
          </w:tcPr>
          <w:p w:rsidR="00275B60" w:rsidRDefault="00E62F9D">
            <w:pPr>
              <w:jc w:val="center"/>
            </w:pPr>
            <w:r>
              <w:rPr>
                <w:color w:val="000000"/>
                <w:sz w:val="24"/>
                <w:szCs w:val="24"/>
              </w:rPr>
              <w:t>中行转债</w:t>
            </w:r>
          </w:p>
        </w:tc>
        <w:tc>
          <w:tcPr>
            <w:tcW w:w="1768" w:type="dxa"/>
            <w:vAlign w:val="center"/>
          </w:tcPr>
          <w:p w:rsidR="00275B60" w:rsidRDefault="00E62F9D">
            <w:pPr>
              <w:jc w:val="right"/>
            </w:pPr>
            <w:r>
              <w:rPr>
                <w:color w:val="000000"/>
                <w:sz w:val="24"/>
                <w:szCs w:val="24"/>
              </w:rPr>
              <w:t>5,144,860.80</w:t>
            </w:r>
          </w:p>
        </w:tc>
        <w:tc>
          <w:tcPr>
            <w:tcW w:w="1689" w:type="dxa"/>
            <w:vAlign w:val="center"/>
          </w:tcPr>
          <w:p w:rsidR="00275B60" w:rsidRDefault="00E62F9D">
            <w:pPr>
              <w:jc w:val="right"/>
            </w:pPr>
            <w:r>
              <w:rPr>
                <w:color w:val="000000"/>
                <w:sz w:val="24"/>
                <w:szCs w:val="24"/>
              </w:rPr>
              <w:t>1.01</w:t>
            </w:r>
          </w:p>
        </w:tc>
      </w:tr>
      <w:tr w:rsidR="00275B60">
        <w:trPr>
          <w:jc w:val="center"/>
        </w:trPr>
        <w:tc>
          <w:tcPr>
            <w:tcW w:w="1883" w:type="dxa"/>
            <w:vAlign w:val="center"/>
          </w:tcPr>
          <w:p w:rsidR="00275B60" w:rsidRDefault="00E62F9D">
            <w:pPr>
              <w:jc w:val="center"/>
            </w:pPr>
            <w:r>
              <w:rPr>
                <w:color w:val="000000"/>
                <w:sz w:val="24"/>
                <w:szCs w:val="24"/>
              </w:rPr>
              <w:t>3</w:t>
            </w:r>
          </w:p>
        </w:tc>
        <w:tc>
          <w:tcPr>
            <w:tcW w:w="1801" w:type="dxa"/>
            <w:vAlign w:val="center"/>
          </w:tcPr>
          <w:p w:rsidR="00275B60" w:rsidRDefault="00E62F9D">
            <w:pPr>
              <w:jc w:val="center"/>
            </w:pPr>
            <w:r>
              <w:rPr>
                <w:color w:val="000000"/>
                <w:sz w:val="24"/>
                <w:szCs w:val="24"/>
              </w:rPr>
              <w:t>113002</w:t>
            </w:r>
          </w:p>
        </w:tc>
        <w:tc>
          <w:tcPr>
            <w:tcW w:w="1727" w:type="dxa"/>
            <w:vAlign w:val="center"/>
          </w:tcPr>
          <w:p w:rsidR="00275B60" w:rsidRDefault="00E62F9D">
            <w:pPr>
              <w:jc w:val="center"/>
            </w:pPr>
            <w:r>
              <w:rPr>
                <w:color w:val="000000"/>
                <w:sz w:val="24"/>
                <w:szCs w:val="24"/>
              </w:rPr>
              <w:t>工行转债</w:t>
            </w:r>
          </w:p>
        </w:tc>
        <w:tc>
          <w:tcPr>
            <w:tcW w:w="1768" w:type="dxa"/>
            <w:vAlign w:val="center"/>
          </w:tcPr>
          <w:p w:rsidR="00275B60" w:rsidRDefault="00E62F9D">
            <w:pPr>
              <w:jc w:val="right"/>
            </w:pPr>
            <w:r>
              <w:rPr>
                <w:color w:val="000000"/>
                <w:sz w:val="24"/>
                <w:szCs w:val="24"/>
              </w:rPr>
              <w:t>5,110,357.80</w:t>
            </w:r>
          </w:p>
        </w:tc>
        <w:tc>
          <w:tcPr>
            <w:tcW w:w="1689" w:type="dxa"/>
            <w:vAlign w:val="center"/>
          </w:tcPr>
          <w:p w:rsidR="00275B60" w:rsidRDefault="00E62F9D">
            <w:pPr>
              <w:jc w:val="right"/>
            </w:pPr>
            <w:r>
              <w:rPr>
                <w:color w:val="000000"/>
                <w:sz w:val="24"/>
                <w:szCs w:val="24"/>
              </w:rPr>
              <w:t>1.00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692,636,132.02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3,200,443.50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49,503,945.32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646,332,630.20</w:t>
            </w:r>
          </w:p>
        </w:tc>
      </w:tr>
    </w:tbl>
    <w:p w:rsidR="00275B60" w:rsidRDefault="00E62F9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62F9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31.39</w:t>
            </w:r>
          </w:p>
        </w:tc>
      </w:tr>
    </w:tbl>
    <w:p w:rsidR="00275B60" w:rsidRDefault="00E62F9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E62F9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日起恢复按市场价格进行估值；本基金对其所持有的东华软件（证券代码：</w:t>
      </w:r>
      <w:r w:rsidRPr="00414345">
        <w:rPr>
          <w:color w:val="000000"/>
          <w:sz w:val="24"/>
          <w:szCs w:val="24"/>
        </w:rPr>
        <w:t>002065</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E62F9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75B60" w:rsidRDefault="00E62F9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275B60" w:rsidRDefault="00E62F9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75B60" w:rsidRDefault="00E62F9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75B60" w:rsidRDefault="00E62F9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275B60">
      <w:rPr>
        <w:kern w:val="0"/>
        <w:szCs w:val="21"/>
      </w:rPr>
      <w:fldChar w:fldCharType="begin"/>
    </w:r>
    <w:r>
      <w:rPr>
        <w:kern w:val="0"/>
        <w:szCs w:val="21"/>
      </w:rPr>
      <w:instrText xml:space="preserve"> PAGE </w:instrText>
    </w:r>
    <w:r w:rsidR="00275B60">
      <w:rPr>
        <w:kern w:val="0"/>
        <w:szCs w:val="21"/>
      </w:rPr>
      <w:fldChar w:fldCharType="separate"/>
    </w:r>
    <w:r w:rsidR="000B32A9">
      <w:rPr>
        <w:noProof/>
        <w:kern w:val="0"/>
        <w:szCs w:val="21"/>
      </w:rPr>
      <w:t>1</w:t>
    </w:r>
    <w:r w:rsidR="00275B60">
      <w:rPr>
        <w:kern w:val="0"/>
        <w:szCs w:val="21"/>
      </w:rPr>
      <w:fldChar w:fldCharType="end"/>
    </w:r>
    <w:r>
      <w:rPr>
        <w:rFonts w:hint="eastAsia"/>
        <w:kern w:val="0"/>
        <w:szCs w:val="21"/>
      </w:rPr>
      <w:t>页共</w:t>
    </w:r>
    <w:r w:rsidR="00275B60">
      <w:rPr>
        <w:kern w:val="0"/>
        <w:szCs w:val="21"/>
      </w:rPr>
      <w:fldChar w:fldCharType="begin"/>
    </w:r>
    <w:r>
      <w:rPr>
        <w:kern w:val="0"/>
        <w:szCs w:val="21"/>
      </w:rPr>
      <w:instrText xml:space="preserve"> NUMPAGES </w:instrText>
    </w:r>
    <w:r w:rsidR="00275B60">
      <w:rPr>
        <w:kern w:val="0"/>
        <w:szCs w:val="21"/>
      </w:rPr>
      <w:fldChar w:fldCharType="separate"/>
    </w:r>
    <w:r w:rsidR="000B32A9">
      <w:rPr>
        <w:noProof/>
        <w:kern w:val="0"/>
        <w:szCs w:val="21"/>
      </w:rPr>
      <w:t>11</w:t>
    </w:r>
    <w:r w:rsidR="00275B6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32A9"/>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5B60"/>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62F9D"/>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6BD2C5E1-3B33-48F6-9947-D55C712C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D554-38DD-4E60-BB37-E4613271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11</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537</cp:revision>
  <dcterms:created xsi:type="dcterms:W3CDTF">2012-10-16T06:07:00Z</dcterms:created>
  <dcterms:modified xsi:type="dcterms:W3CDTF">2014-10-21T03:14:00Z</dcterms:modified>
</cp:coreProperties>
</file>