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E13D23">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555C6" w:rsidRDefault="004537B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555C6" w:rsidRDefault="004537B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555C6" w:rsidRDefault="004537B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555C6" w:rsidRDefault="004537B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555C6" w:rsidRDefault="004537B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13D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779,101,343.65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本基金是一只股票型基金，以具有持续成长潜力企业</w:t>
            </w:r>
            <w:r w:rsidRPr="00414345">
              <w:rPr>
                <w:color w:val="000000"/>
                <w:kern w:val="0"/>
                <w:sz w:val="24"/>
                <w:szCs w:val="24"/>
              </w:rPr>
              <w:lastRenderedPageBreak/>
              <w:t>的股票，特别是处于快速成长过程中的中型及小型企业为主要投资对象，属于证券投资基金中较高预期收益和较高风险的品种。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13D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537B3" w:rsidRPr="00414345" w:rsidTr="004537B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537B3" w:rsidRPr="00414345" w:rsidTr="004537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33,556,918.21</w:t>
            </w:r>
          </w:p>
        </w:tc>
      </w:tr>
      <w:tr w:rsidR="004537B3" w:rsidRPr="00414345" w:rsidTr="004537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111,562,507.74</w:t>
            </w:r>
          </w:p>
        </w:tc>
      </w:tr>
      <w:tr w:rsidR="004537B3" w:rsidRPr="00414345" w:rsidTr="004537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0.1251</w:t>
            </w:r>
          </w:p>
        </w:tc>
      </w:tr>
      <w:tr w:rsidR="004537B3" w:rsidRPr="00414345" w:rsidTr="004537B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989,726,046.52</w:t>
            </w:r>
          </w:p>
        </w:tc>
      </w:tr>
      <w:tr w:rsidR="004537B3" w:rsidRPr="00414345" w:rsidTr="004537B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1.2703</w:t>
            </w:r>
          </w:p>
        </w:tc>
      </w:tr>
    </w:tbl>
    <w:p w:rsidR="00A555C6" w:rsidRDefault="004537B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555C6">
        <w:trPr>
          <w:jc w:val="center"/>
        </w:trPr>
        <w:tc>
          <w:tcPr>
            <w:tcW w:w="1701" w:type="dxa"/>
            <w:vAlign w:val="center"/>
          </w:tcPr>
          <w:p w:rsidR="00A555C6" w:rsidRDefault="004537B3">
            <w:pPr>
              <w:jc w:val="left"/>
            </w:pPr>
            <w:r>
              <w:rPr>
                <w:color w:val="000000"/>
                <w:sz w:val="24"/>
                <w:szCs w:val="24"/>
              </w:rPr>
              <w:t>过去三个月</w:t>
            </w:r>
          </w:p>
        </w:tc>
        <w:tc>
          <w:tcPr>
            <w:tcW w:w="1045" w:type="dxa"/>
            <w:vAlign w:val="center"/>
          </w:tcPr>
          <w:p w:rsidR="00A555C6" w:rsidRDefault="004537B3">
            <w:pPr>
              <w:jc w:val="center"/>
            </w:pPr>
            <w:r>
              <w:rPr>
                <w:color w:val="000000"/>
                <w:sz w:val="24"/>
                <w:szCs w:val="24"/>
              </w:rPr>
              <w:t>10.75%</w:t>
            </w:r>
          </w:p>
        </w:tc>
        <w:tc>
          <w:tcPr>
            <w:tcW w:w="1344" w:type="dxa"/>
            <w:vAlign w:val="center"/>
          </w:tcPr>
          <w:p w:rsidR="00A555C6" w:rsidRDefault="004537B3">
            <w:pPr>
              <w:jc w:val="center"/>
            </w:pPr>
            <w:r>
              <w:rPr>
                <w:color w:val="000000"/>
                <w:sz w:val="24"/>
                <w:szCs w:val="24"/>
              </w:rPr>
              <w:t>0.95%</w:t>
            </w:r>
          </w:p>
        </w:tc>
        <w:tc>
          <w:tcPr>
            <w:tcW w:w="1194" w:type="dxa"/>
            <w:vAlign w:val="center"/>
          </w:tcPr>
          <w:p w:rsidR="00A555C6" w:rsidRDefault="004537B3">
            <w:pPr>
              <w:jc w:val="center"/>
            </w:pPr>
            <w:r>
              <w:rPr>
                <w:color w:val="000000"/>
                <w:sz w:val="24"/>
                <w:szCs w:val="24"/>
              </w:rPr>
              <w:t>16.53%</w:t>
            </w:r>
          </w:p>
        </w:tc>
        <w:tc>
          <w:tcPr>
            <w:tcW w:w="1492" w:type="dxa"/>
            <w:vAlign w:val="center"/>
          </w:tcPr>
          <w:p w:rsidR="00A555C6" w:rsidRDefault="004537B3">
            <w:pPr>
              <w:jc w:val="center"/>
            </w:pPr>
            <w:r>
              <w:rPr>
                <w:color w:val="000000"/>
                <w:sz w:val="24"/>
                <w:szCs w:val="24"/>
              </w:rPr>
              <w:t>0.69%</w:t>
            </w:r>
          </w:p>
        </w:tc>
        <w:tc>
          <w:tcPr>
            <w:tcW w:w="1194" w:type="dxa"/>
            <w:vAlign w:val="center"/>
          </w:tcPr>
          <w:p w:rsidR="00A555C6" w:rsidRDefault="004537B3">
            <w:pPr>
              <w:jc w:val="center"/>
            </w:pPr>
            <w:r>
              <w:rPr>
                <w:color w:val="000000"/>
                <w:sz w:val="24"/>
                <w:szCs w:val="24"/>
              </w:rPr>
              <w:t>-5.78%</w:t>
            </w:r>
          </w:p>
        </w:tc>
        <w:tc>
          <w:tcPr>
            <w:tcW w:w="898" w:type="dxa"/>
            <w:vAlign w:val="center"/>
          </w:tcPr>
          <w:p w:rsidR="00A555C6" w:rsidRDefault="004537B3">
            <w:pPr>
              <w:jc w:val="center"/>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13D2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555C6">
        <w:trPr>
          <w:jc w:val="center"/>
        </w:trPr>
        <w:tc>
          <w:tcPr>
            <w:tcW w:w="846" w:type="dxa"/>
            <w:vAlign w:val="center"/>
          </w:tcPr>
          <w:p w:rsidR="00A555C6" w:rsidRDefault="004537B3">
            <w:pPr>
              <w:jc w:val="center"/>
            </w:pPr>
            <w:r>
              <w:rPr>
                <w:color w:val="000000"/>
                <w:sz w:val="24"/>
                <w:szCs w:val="24"/>
              </w:rPr>
              <w:t>王少成</w:t>
            </w:r>
          </w:p>
        </w:tc>
        <w:tc>
          <w:tcPr>
            <w:tcW w:w="845" w:type="dxa"/>
            <w:vAlign w:val="center"/>
          </w:tcPr>
          <w:p w:rsidR="00A555C6" w:rsidRDefault="004537B3">
            <w:pPr>
              <w:jc w:val="center"/>
            </w:pPr>
            <w:r>
              <w:rPr>
                <w:color w:val="000000"/>
                <w:sz w:val="24"/>
                <w:szCs w:val="24"/>
              </w:rPr>
              <w:t>本基金、交银先进制造股票、交银成长</w:t>
            </w:r>
            <w:r>
              <w:rPr>
                <w:color w:val="000000"/>
                <w:sz w:val="24"/>
                <w:szCs w:val="24"/>
              </w:rPr>
              <w:t>30</w:t>
            </w:r>
            <w:r>
              <w:rPr>
                <w:color w:val="000000"/>
                <w:sz w:val="24"/>
                <w:szCs w:val="24"/>
              </w:rPr>
              <w:t>股票的基金经理，公司权益部副总经理</w:t>
            </w:r>
          </w:p>
        </w:tc>
        <w:tc>
          <w:tcPr>
            <w:tcW w:w="1549" w:type="dxa"/>
            <w:vAlign w:val="center"/>
          </w:tcPr>
          <w:p w:rsidR="00A555C6" w:rsidRDefault="004537B3">
            <w:pPr>
              <w:jc w:val="center"/>
            </w:pPr>
            <w:r>
              <w:rPr>
                <w:color w:val="000000"/>
                <w:sz w:val="24"/>
                <w:szCs w:val="24"/>
              </w:rPr>
              <w:t>2013-05-29</w:t>
            </w:r>
          </w:p>
        </w:tc>
        <w:tc>
          <w:tcPr>
            <w:tcW w:w="1548" w:type="dxa"/>
            <w:vAlign w:val="center"/>
          </w:tcPr>
          <w:p w:rsidR="00A555C6" w:rsidRDefault="004537B3">
            <w:pPr>
              <w:jc w:val="center"/>
            </w:pPr>
            <w:r>
              <w:rPr>
                <w:color w:val="000000"/>
                <w:sz w:val="24"/>
                <w:szCs w:val="24"/>
              </w:rPr>
              <w:t>-</w:t>
            </w:r>
          </w:p>
        </w:tc>
        <w:tc>
          <w:tcPr>
            <w:tcW w:w="1407" w:type="dxa"/>
            <w:vAlign w:val="center"/>
          </w:tcPr>
          <w:p w:rsidR="00A555C6" w:rsidRDefault="004537B3">
            <w:pPr>
              <w:jc w:val="center"/>
            </w:pPr>
            <w:r>
              <w:rPr>
                <w:color w:val="000000"/>
                <w:sz w:val="24"/>
                <w:szCs w:val="24"/>
              </w:rPr>
              <w:t>10</w:t>
            </w:r>
            <w:r>
              <w:rPr>
                <w:color w:val="000000"/>
                <w:sz w:val="24"/>
                <w:szCs w:val="24"/>
              </w:rPr>
              <w:t>年</w:t>
            </w:r>
          </w:p>
        </w:tc>
        <w:tc>
          <w:tcPr>
            <w:tcW w:w="2673" w:type="dxa"/>
            <w:vAlign w:val="center"/>
          </w:tcPr>
          <w:p w:rsidR="00A555C6" w:rsidRDefault="004537B3">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555C6" w:rsidRDefault="004537B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555C6" w:rsidRDefault="004537B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555C6" w:rsidRDefault="004537B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555C6" w:rsidRDefault="004537B3">
      <w:pPr>
        <w:spacing w:before="29" w:line="288" w:lineRule="auto"/>
        <w:ind w:firstLineChars="200" w:firstLine="480"/>
        <w:rPr>
          <w:color w:val="000000"/>
          <w:sz w:val="24"/>
          <w:szCs w:val="24"/>
        </w:rPr>
      </w:pPr>
      <w:r>
        <w:rPr>
          <w:color w:val="000000"/>
          <w:sz w:val="24"/>
          <w:szCs w:val="24"/>
        </w:rPr>
        <w:t>2014</w:t>
      </w:r>
      <w:r>
        <w:rPr>
          <w:color w:val="000000"/>
          <w:sz w:val="24"/>
          <w:szCs w:val="24"/>
        </w:rPr>
        <w:t>年三季度</w:t>
      </w:r>
      <w:r>
        <w:rPr>
          <w:color w:val="000000"/>
          <w:sz w:val="24"/>
          <w:szCs w:val="24"/>
        </w:rPr>
        <w:t>A</w:t>
      </w:r>
      <w:r>
        <w:rPr>
          <w:color w:val="000000"/>
          <w:sz w:val="24"/>
          <w:szCs w:val="24"/>
        </w:rPr>
        <w:t>股市场呈现单边上涨的态势。股市上涨初期主要反映了宏观政策放松的预期，在中后期尽管宏观刺激政策低于市场预期，宏观高频数据显示刺激效果乏力，指数阶段性回调，但在海外热钱和产业资本持续流入股市驱动下，股市依然明显保持强势。</w:t>
      </w:r>
      <w:r>
        <w:rPr>
          <w:color w:val="000000"/>
          <w:sz w:val="24"/>
          <w:szCs w:val="24"/>
        </w:rPr>
        <w:t>A</w:t>
      </w:r>
      <w:r>
        <w:rPr>
          <w:color w:val="000000"/>
          <w:sz w:val="24"/>
          <w:szCs w:val="24"/>
        </w:rPr>
        <w:t>股市场在这个阶段，其走势与以往很多重要趋势出现明显的脱钩，比如，美元指数，螺纹钢，甚至表观热钱流入流出趋势。传统的分析框架遭遇了无法解决的困难。仔细聆听产业资本进入股市的逻辑，最显著的变化是股票资产作为相对性的，高流动性的低风险高收益资产得到越来越多人的认同。这种变化可以从很多现象上得到印证，比如资产的流动性，抵押率的相对变化。但这种认知的基础并非坚实。正如银行表外资产名义坏账率低于表内资产一样，风险定价的扭曲可能有其形成背后不可忽视的力量。</w:t>
      </w:r>
    </w:p>
    <w:p w:rsidR="00A555C6" w:rsidRDefault="004537B3">
      <w:pPr>
        <w:spacing w:before="29" w:line="288" w:lineRule="auto"/>
        <w:ind w:firstLineChars="200" w:firstLine="480"/>
        <w:rPr>
          <w:color w:val="000000"/>
          <w:sz w:val="24"/>
          <w:szCs w:val="24"/>
        </w:rPr>
      </w:pPr>
      <w:r>
        <w:rPr>
          <w:color w:val="000000"/>
          <w:sz w:val="24"/>
          <w:szCs w:val="24"/>
        </w:rPr>
        <w:t>三季度本基金净值上涨</w:t>
      </w:r>
      <w:r>
        <w:rPr>
          <w:color w:val="000000"/>
          <w:sz w:val="24"/>
          <w:szCs w:val="24"/>
        </w:rPr>
        <w:t>10.75%</w:t>
      </w:r>
      <w:r>
        <w:rPr>
          <w:color w:val="000000"/>
          <w:sz w:val="24"/>
          <w:szCs w:val="24"/>
        </w:rPr>
        <w:t>，但由于消费和医药配置比重较高，未能超越业绩比较基准表现。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四季度宏观经济仍处于缓慢寻底的过程，政府在宏观调控方面的适应性对冲，预计可能更多是减少痛苦而无法解决问题。在新常态的背景下，传统的分析框架的预测能力已经受限，但基于常识依然可以看到很多具有确定性的中期趋势，比如人口老龄化的加速带来银发经济，互联网大潮下带来的企业可能性边界的拓展和分工网络拓扑结构的突变等等。</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1.2703</w:t>
      </w:r>
      <w:r w:rsidRPr="00414345">
        <w:rPr>
          <w:color w:val="000000"/>
          <w:sz w:val="24"/>
          <w:szCs w:val="24"/>
        </w:rPr>
        <w:t>元，本报告期份额净值增长率为</w:t>
      </w:r>
      <w:r w:rsidRPr="00414345">
        <w:rPr>
          <w:color w:val="000000"/>
          <w:sz w:val="24"/>
          <w:szCs w:val="24"/>
        </w:rPr>
        <w:t>10.75%</w:t>
      </w:r>
      <w:r w:rsidRPr="00414345">
        <w:rPr>
          <w:color w:val="000000"/>
          <w:sz w:val="24"/>
          <w:szCs w:val="24"/>
        </w:rPr>
        <w:t>，同期业绩比较基准增长率为</w:t>
      </w:r>
      <w:r w:rsidRPr="00414345">
        <w:rPr>
          <w:color w:val="000000"/>
          <w:sz w:val="24"/>
          <w:szCs w:val="24"/>
        </w:rPr>
        <w:t>16.53%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E13D2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908,452,017.48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908,452,017.48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10,000,135.00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78,416,845.13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7.86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278,204.64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997,147,202.25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E13D2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E13D23">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743,323,485.90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18,312,342.40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58,989,947.02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E13D23">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39,474,048.66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48,352,193.50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908,452,017.48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555C6">
        <w:trPr>
          <w:jc w:val="center"/>
        </w:trPr>
        <w:tc>
          <w:tcPr>
            <w:tcW w:w="855" w:type="dxa"/>
            <w:vAlign w:val="center"/>
          </w:tcPr>
          <w:p w:rsidR="00A555C6" w:rsidRDefault="004537B3">
            <w:pPr>
              <w:jc w:val="center"/>
            </w:pPr>
            <w:r>
              <w:rPr>
                <w:color w:val="000000"/>
                <w:sz w:val="24"/>
                <w:szCs w:val="24"/>
              </w:rPr>
              <w:t>1</w:t>
            </w:r>
          </w:p>
        </w:tc>
        <w:tc>
          <w:tcPr>
            <w:tcW w:w="1334" w:type="dxa"/>
            <w:vAlign w:val="center"/>
          </w:tcPr>
          <w:p w:rsidR="00A555C6" w:rsidRDefault="004537B3">
            <w:pPr>
              <w:jc w:val="center"/>
            </w:pPr>
            <w:r>
              <w:rPr>
                <w:color w:val="000000"/>
                <w:sz w:val="24"/>
                <w:szCs w:val="24"/>
              </w:rPr>
              <w:t>300005</w:t>
            </w:r>
          </w:p>
        </w:tc>
        <w:tc>
          <w:tcPr>
            <w:tcW w:w="1777" w:type="dxa"/>
            <w:vAlign w:val="center"/>
          </w:tcPr>
          <w:p w:rsidR="00A555C6" w:rsidRDefault="004537B3">
            <w:pPr>
              <w:jc w:val="center"/>
            </w:pPr>
            <w:r>
              <w:rPr>
                <w:color w:val="000000"/>
                <w:sz w:val="24"/>
                <w:szCs w:val="24"/>
              </w:rPr>
              <w:t>探路者</w:t>
            </w:r>
          </w:p>
        </w:tc>
        <w:tc>
          <w:tcPr>
            <w:tcW w:w="1334" w:type="dxa"/>
            <w:vAlign w:val="center"/>
          </w:tcPr>
          <w:p w:rsidR="00A555C6" w:rsidRDefault="004537B3">
            <w:pPr>
              <w:jc w:val="right"/>
            </w:pPr>
            <w:r>
              <w:rPr>
                <w:color w:val="000000"/>
                <w:sz w:val="24"/>
                <w:szCs w:val="24"/>
              </w:rPr>
              <w:t>5,479,834</w:t>
            </w:r>
          </w:p>
        </w:tc>
        <w:tc>
          <w:tcPr>
            <w:tcW w:w="1924" w:type="dxa"/>
            <w:vAlign w:val="center"/>
          </w:tcPr>
          <w:p w:rsidR="00A555C6" w:rsidRDefault="004537B3">
            <w:pPr>
              <w:jc w:val="right"/>
            </w:pPr>
            <w:r>
              <w:rPr>
                <w:color w:val="000000"/>
                <w:sz w:val="24"/>
                <w:szCs w:val="24"/>
              </w:rPr>
              <w:t>95,897,095.00</w:t>
            </w:r>
          </w:p>
        </w:tc>
        <w:tc>
          <w:tcPr>
            <w:tcW w:w="1644" w:type="dxa"/>
            <w:vAlign w:val="center"/>
          </w:tcPr>
          <w:p w:rsidR="00A555C6" w:rsidRDefault="004537B3">
            <w:pPr>
              <w:jc w:val="right"/>
            </w:pPr>
            <w:r>
              <w:rPr>
                <w:color w:val="000000"/>
                <w:sz w:val="24"/>
                <w:szCs w:val="24"/>
              </w:rPr>
              <w:t>9.69</w:t>
            </w:r>
          </w:p>
        </w:tc>
      </w:tr>
      <w:tr w:rsidR="00A555C6">
        <w:trPr>
          <w:jc w:val="center"/>
        </w:trPr>
        <w:tc>
          <w:tcPr>
            <w:tcW w:w="855" w:type="dxa"/>
            <w:vAlign w:val="center"/>
          </w:tcPr>
          <w:p w:rsidR="00A555C6" w:rsidRDefault="004537B3">
            <w:pPr>
              <w:jc w:val="center"/>
            </w:pPr>
            <w:r>
              <w:rPr>
                <w:color w:val="000000"/>
                <w:sz w:val="24"/>
                <w:szCs w:val="24"/>
              </w:rPr>
              <w:t>2</w:t>
            </w:r>
          </w:p>
        </w:tc>
        <w:tc>
          <w:tcPr>
            <w:tcW w:w="1334" w:type="dxa"/>
            <w:vAlign w:val="center"/>
          </w:tcPr>
          <w:p w:rsidR="00A555C6" w:rsidRDefault="004537B3">
            <w:pPr>
              <w:jc w:val="center"/>
            </w:pPr>
            <w:r>
              <w:rPr>
                <w:color w:val="000000"/>
                <w:sz w:val="24"/>
                <w:szCs w:val="24"/>
              </w:rPr>
              <w:t>600389</w:t>
            </w:r>
          </w:p>
        </w:tc>
        <w:tc>
          <w:tcPr>
            <w:tcW w:w="1777" w:type="dxa"/>
            <w:vAlign w:val="center"/>
          </w:tcPr>
          <w:p w:rsidR="00A555C6" w:rsidRDefault="004537B3">
            <w:pPr>
              <w:jc w:val="center"/>
            </w:pPr>
            <w:r>
              <w:rPr>
                <w:color w:val="000000"/>
                <w:sz w:val="24"/>
                <w:szCs w:val="24"/>
              </w:rPr>
              <w:t>江山股份</w:t>
            </w:r>
          </w:p>
        </w:tc>
        <w:tc>
          <w:tcPr>
            <w:tcW w:w="1334" w:type="dxa"/>
            <w:vAlign w:val="center"/>
          </w:tcPr>
          <w:p w:rsidR="00A555C6" w:rsidRDefault="004537B3">
            <w:pPr>
              <w:jc w:val="right"/>
            </w:pPr>
            <w:r>
              <w:rPr>
                <w:color w:val="000000"/>
                <w:sz w:val="24"/>
                <w:szCs w:val="24"/>
              </w:rPr>
              <w:t>2,960,232</w:t>
            </w:r>
          </w:p>
        </w:tc>
        <w:tc>
          <w:tcPr>
            <w:tcW w:w="1924" w:type="dxa"/>
            <w:vAlign w:val="center"/>
          </w:tcPr>
          <w:p w:rsidR="00A555C6" w:rsidRDefault="004537B3">
            <w:pPr>
              <w:jc w:val="right"/>
            </w:pPr>
            <w:r>
              <w:rPr>
                <w:color w:val="000000"/>
                <w:sz w:val="24"/>
                <w:szCs w:val="24"/>
              </w:rPr>
              <w:t>95,141,856.48</w:t>
            </w:r>
          </w:p>
        </w:tc>
        <w:tc>
          <w:tcPr>
            <w:tcW w:w="1644" w:type="dxa"/>
            <w:vAlign w:val="center"/>
          </w:tcPr>
          <w:p w:rsidR="00A555C6" w:rsidRDefault="004537B3">
            <w:pPr>
              <w:jc w:val="right"/>
            </w:pPr>
            <w:r>
              <w:rPr>
                <w:color w:val="000000"/>
                <w:sz w:val="24"/>
                <w:szCs w:val="24"/>
              </w:rPr>
              <w:t>9.61</w:t>
            </w:r>
          </w:p>
        </w:tc>
      </w:tr>
      <w:tr w:rsidR="00A555C6">
        <w:trPr>
          <w:jc w:val="center"/>
        </w:trPr>
        <w:tc>
          <w:tcPr>
            <w:tcW w:w="855" w:type="dxa"/>
            <w:vAlign w:val="center"/>
          </w:tcPr>
          <w:p w:rsidR="00A555C6" w:rsidRDefault="004537B3">
            <w:pPr>
              <w:jc w:val="center"/>
            </w:pPr>
            <w:r>
              <w:rPr>
                <w:color w:val="000000"/>
                <w:sz w:val="24"/>
                <w:szCs w:val="24"/>
              </w:rPr>
              <w:t>3</w:t>
            </w:r>
          </w:p>
        </w:tc>
        <w:tc>
          <w:tcPr>
            <w:tcW w:w="1334" w:type="dxa"/>
            <w:vAlign w:val="center"/>
          </w:tcPr>
          <w:p w:rsidR="00A555C6" w:rsidRDefault="004537B3">
            <w:pPr>
              <w:jc w:val="center"/>
            </w:pPr>
            <w:r>
              <w:rPr>
                <w:color w:val="000000"/>
                <w:sz w:val="24"/>
                <w:szCs w:val="24"/>
              </w:rPr>
              <w:t>600967</w:t>
            </w:r>
          </w:p>
        </w:tc>
        <w:tc>
          <w:tcPr>
            <w:tcW w:w="1777" w:type="dxa"/>
            <w:vAlign w:val="center"/>
          </w:tcPr>
          <w:p w:rsidR="00A555C6" w:rsidRDefault="004537B3">
            <w:pPr>
              <w:jc w:val="center"/>
            </w:pPr>
            <w:r>
              <w:rPr>
                <w:color w:val="000000"/>
                <w:sz w:val="24"/>
                <w:szCs w:val="24"/>
              </w:rPr>
              <w:t>北方创业</w:t>
            </w:r>
          </w:p>
        </w:tc>
        <w:tc>
          <w:tcPr>
            <w:tcW w:w="1334" w:type="dxa"/>
            <w:vAlign w:val="center"/>
          </w:tcPr>
          <w:p w:rsidR="00A555C6" w:rsidRDefault="004537B3">
            <w:pPr>
              <w:jc w:val="right"/>
            </w:pPr>
            <w:r>
              <w:rPr>
                <w:color w:val="000000"/>
                <w:sz w:val="24"/>
                <w:szCs w:val="24"/>
              </w:rPr>
              <w:t>5,755,680</w:t>
            </w:r>
          </w:p>
        </w:tc>
        <w:tc>
          <w:tcPr>
            <w:tcW w:w="1924" w:type="dxa"/>
            <w:vAlign w:val="center"/>
          </w:tcPr>
          <w:p w:rsidR="00A555C6" w:rsidRDefault="004537B3">
            <w:pPr>
              <w:jc w:val="right"/>
            </w:pPr>
            <w:r>
              <w:rPr>
                <w:color w:val="000000"/>
                <w:sz w:val="24"/>
                <w:szCs w:val="24"/>
              </w:rPr>
              <w:t>91,745,539.20</w:t>
            </w:r>
          </w:p>
        </w:tc>
        <w:tc>
          <w:tcPr>
            <w:tcW w:w="1644" w:type="dxa"/>
            <w:vAlign w:val="center"/>
          </w:tcPr>
          <w:p w:rsidR="00A555C6" w:rsidRDefault="004537B3">
            <w:pPr>
              <w:jc w:val="right"/>
            </w:pPr>
            <w:r>
              <w:rPr>
                <w:color w:val="000000"/>
                <w:sz w:val="24"/>
                <w:szCs w:val="24"/>
              </w:rPr>
              <w:t>9.27</w:t>
            </w:r>
          </w:p>
        </w:tc>
      </w:tr>
      <w:tr w:rsidR="00A555C6">
        <w:trPr>
          <w:jc w:val="center"/>
        </w:trPr>
        <w:tc>
          <w:tcPr>
            <w:tcW w:w="855" w:type="dxa"/>
            <w:vAlign w:val="center"/>
          </w:tcPr>
          <w:p w:rsidR="00A555C6" w:rsidRDefault="004537B3">
            <w:pPr>
              <w:jc w:val="center"/>
            </w:pPr>
            <w:r>
              <w:rPr>
                <w:color w:val="000000"/>
                <w:sz w:val="24"/>
                <w:szCs w:val="24"/>
              </w:rPr>
              <w:t>4</w:t>
            </w:r>
          </w:p>
        </w:tc>
        <w:tc>
          <w:tcPr>
            <w:tcW w:w="1334" w:type="dxa"/>
            <w:vAlign w:val="center"/>
          </w:tcPr>
          <w:p w:rsidR="00A555C6" w:rsidRDefault="004537B3">
            <w:pPr>
              <w:jc w:val="center"/>
            </w:pPr>
            <w:r>
              <w:rPr>
                <w:color w:val="000000"/>
                <w:sz w:val="24"/>
                <w:szCs w:val="24"/>
              </w:rPr>
              <w:t>000423</w:t>
            </w:r>
          </w:p>
        </w:tc>
        <w:tc>
          <w:tcPr>
            <w:tcW w:w="1777" w:type="dxa"/>
            <w:vAlign w:val="center"/>
          </w:tcPr>
          <w:p w:rsidR="00A555C6" w:rsidRDefault="004537B3">
            <w:pPr>
              <w:jc w:val="center"/>
            </w:pPr>
            <w:r>
              <w:rPr>
                <w:color w:val="000000"/>
                <w:sz w:val="24"/>
                <w:szCs w:val="24"/>
              </w:rPr>
              <w:t>东阿阿胶</w:t>
            </w:r>
          </w:p>
        </w:tc>
        <w:tc>
          <w:tcPr>
            <w:tcW w:w="1334" w:type="dxa"/>
            <w:vAlign w:val="center"/>
          </w:tcPr>
          <w:p w:rsidR="00A555C6" w:rsidRDefault="004537B3">
            <w:pPr>
              <w:jc w:val="right"/>
            </w:pPr>
            <w:r>
              <w:rPr>
                <w:color w:val="000000"/>
                <w:sz w:val="24"/>
                <w:szCs w:val="24"/>
              </w:rPr>
              <w:t>2,423,418</w:t>
            </w:r>
          </w:p>
        </w:tc>
        <w:tc>
          <w:tcPr>
            <w:tcW w:w="1924" w:type="dxa"/>
            <w:vAlign w:val="center"/>
          </w:tcPr>
          <w:p w:rsidR="00A555C6" w:rsidRDefault="004537B3">
            <w:pPr>
              <w:jc w:val="right"/>
            </w:pPr>
            <w:r>
              <w:rPr>
                <w:color w:val="000000"/>
                <w:sz w:val="24"/>
                <w:szCs w:val="24"/>
              </w:rPr>
              <w:t>84,456,117.30</w:t>
            </w:r>
          </w:p>
        </w:tc>
        <w:tc>
          <w:tcPr>
            <w:tcW w:w="1644" w:type="dxa"/>
            <w:vAlign w:val="center"/>
          </w:tcPr>
          <w:p w:rsidR="00A555C6" w:rsidRDefault="004537B3">
            <w:pPr>
              <w:jc w:val="right"/>
            </w:pPr>
            <w:r>
              <w:rPr>
                <w:color w:val="000000"/>
                <w:sz w:val="24"/>
                <w:szCs w:val="24"/>
              </w:rPr>
              <w:t>8.53</w:t>
            </w:r>
          </w:p>
        </w:tc>
      </w:tr>
      <w:tr w:rsidR="00A555C6">
        <w:trPr>
          <w:jc w:val="center"/>
        </w:trPr>
        <w:tc>
          <w:tcPr>
            <w:tcW w:w="855" w:type="dxa"/>
            <w:vAlign w:val="center"/>
          </w:tcPr>
          <w:p w:rsidR="00A555C6" w:rsidRDefault="004537B3">
            <w:pPr>
              <w:jc w:val="center"/>
            </w:pPr>
            <w:r>
              <w:rPr>
                <w:color w:val="000000"/>
                <w:sz w:val="24"/>
                <w:szCs w:val="24"/>
              </w:rPr>
              <w:t>5</w:t>
            </w:r>
          </w:p>
        </w:tc>
        <w:tc>
          <w:tcPr>
            <w:tcW w:w="1334" w:type="dxa"/>
            <w:vAlign w:val="center"/>
          </w:tcPr>
          <w:p w:rsidR="00A555C6" w:rsidRDefault="004537B3">
            <w:pPr>
              <w:jc w:val="center"/>
            </w:pPr>
            <w:r>
              <w:rPr>
                <w:color w:val="000000"/>
                <w:sz w:val="24"/>
                <w:szCs w:val="24"/>
              </w:rPr>
              <w:t>000100</w:t>
            </w:r>
          </w:p>
        </w:tc>
        <w:tc>
          <w:tcPr>
            <w:tcW w:w="1777" w:type="dxa"/>
            <w:vAlign w:val="center"/>
          </w:tcPr>
          <w:p w:rsidR="00A555C6" w:rsidRDefault="004537B3">
            <w:pPr>
              <w:jc w:val="center"/>
            </w:pPr>
            <w:r>
              <w:rPr>
                <w:color w:val="000000"/>
                <w:sz w:val="24"/>
                <w:szCs w:val="24"/>
              </w:rPr>
              <w:t xml:space="preserve">TCL </w:t>
            </w:r>
            <w:r>
              <w:rPr>
                <w:color w:val="000000"/>
                <w:sz w:val="24"/>
                <w:szCs w:val="24"/>
              </w:rPr>
              <w:t>集团</w:t>
            </w:r>
          </w:p>
        </w:tc>
        <w:tc>
          <w:tcPr>
            <w:tcW w:w="1334" w:type="dxa"/>
            <w:vAlign w:val="center"/>
          </w:tcPr>
          <w:p w:rsidR="00A555C6" w:rsidRDefault="004537B3">
            <w:pPr>
              <w:jc w:val="right"/>
            </w:pPr>
            <w:r>
              <w:rPr>
                <w:color w:val="000000"/>
                <w:sz w:val="24"/>
                <w:szCs w:val="24"/>
              </w:rPr>
              <w:t>29,599,975</w:t>
            </w:r>
          </w:p>
        </w:tc>
        <w:tc>
          <w:tcPr>
            <w:tcW w:w="1924" w:type="dxa"/>
            <w:vAlign w:val="center"/>
          </w:tcPr>
          <w:p w:rsidR="00A555C6" w:rsidRDefault="004537B3">
            <w:pPr>
              <w:jc w:val="right"/>
            </w:pPr>
            <w:r>
              <w:rPr>
                <w:color w:val="000000"/>
                <w:sz w:val="24"/>
                <w:szCs w:val="24"/>
              </w:rPr>
              <w:t>79,919,932.50</w:t>
            </w:r>
          </w:p>
        </w:tc>
        <w:tc>
          <w:tcPr>
            <w:tcW w:w="1644" w:type="dxa"/>
            <w:vAlign w:val="center"/>
          </w:tcPr>
          <w:p w:rsidR="00A555C6" w:rsidRDefault="004537B3">
            <w:pPr>
              <w:jc w:val="right"/>
            </w:pPr>
            <w:r>
              <w:rPr>
                <w:color w:val="000000"/>
                <w:sz w:val="24"/>
                <w:szCs w:val="24"/>
              </w:rPr>
              <w:t>8.07</w:t>
            </w:r>
          </w:p>
        </w:tc>
      </w:tr>
      <w:tr w:rsidR="00A555C6">
        <w:trPr>
          <w:jc w:val="center"/>
        </w:trPr>
        <w:tc>
          <w:tcPr>
            <w:tcW w:w="855" w:type="dxa"/>
            <w:vAlign w:val="center"/>
          </w:tcPr>
          <w:p w:rsidR="00A555C6" w:rsidRDefault="004537B3">
            <w:pPr>
              <w:jc w:val="center"/>
            </w:pPr>
            <w:r>
              <w:rPr>
                <w:color w:val="000000"/>
                <w:sz w:val="24"/>
                <w:szCs w:val="24"/>
              </w:rPr>
              <w:t>6</w:t>
            </w:r>
          </w:p>
        </w:tc>
        <w:tc>
          <w:tcPr>
            <w:tcW w:w="1334" w:type="dxa"/>
            <w:vAlign w:val="center"/>
          </w:tcPr>
          <w:p w:rsidR="00A555C6" w:rsidRDefault="004537B3">
            <w:pPr>
              <w:jc w:val="center"/>
            </w:pPr>
            <w:r>
              <w:rPr>
                <w:color w:val="000000"/>
                <w:sz w:val="24"/>
                <w:szCs w:val="24"/>
              </w:rPr>
              <w:t>600887</w:t>
            </w:r>
          </w:p>
        </w:tc>
        <w:tc>
          <w:tcPr>
            <w:tcW w:w="1777" w:type="dxa"/>
            <w:vAlign w:val="center"/>
          </w:tcPr>
          <w:p w:rsidR="00A555C6" w:rsidRDefault="004537B3">
            <w:pPr>
              <w:jc w:val="center"/>
            </w:pPr>
            <w:r>
              <w:rPr>
                <w:color w:val="000000"/>
                <w:sz w:val="24"/>
                <w:szCs w:val="24"/>
              </w:rPr>
              <w:t>伊利股份</w:t>
            </w:r>
          </w:p>
        </w:tc>
        <w:tc>
          <w:tcPr>
            <w:tcW w:w="1334" w:type="dxa"/>
            <w:vAlign w:val="center"/>
          </w:tcPr>
          <w:p w:rsidR="00A555C6" w:rsidRDefault="004537B3">
            <w:pPr>
              <w:jc w:val="right"/>
            </w:pPr>
            <w:r>
              <w:rPr>
                <w:color w:val="000000"/>
                <w:sz w:val="24"/>
                <w:szCs w:val="24"/>
              </w:rPr>
              <w:t>2,553,469</w:t>
            </w:r>
          </w:p>
        </w:tc>
        <w:tc>
          <w:tcPr>
            <w:tcW w:w="1924" w:type="dxa"/>
            <w:vAlign w:val="center"/>
          </w:tcPr>
          <w:p w:rsidR="00A555C6" w:rsidRDefault="004537B3">
            <w:pPr>
              <w:jc w:val="right"/>
            </w:pPr>
            <w:r>
              <w:rPr>
                <w:color w:val="000000"/>
                <w:sz w:val="24"/>
                <w:szCs w:val="24"/>
              </w:rPr>
              <w:t>66,134,847.10</w:t>
            </w:r>
          </w:p>
        </w:tc>
        <w:tc>
          <w:tcPr>
            <w:tcW w:w="1644" w:type="dxa"/>
            <w:vAlign w:val="center"/>
          </w:tcPr>
          <w:p w:rsidR="00A555C6" w:rsidRDefault="004537B3">
            <w:pPr>
              <w:jc w:val="right"/>
            </w:pPr>
            <w:r>
              <w:rPr>
                <w:color w:val="000000"/>
                <w:sz w:val="24"/>
                <w:szCs w:val="24"/>
              </w:rPr>
              <w:t>6.68</w:t>
            </w:r>
          </w:p>
        </w:tc>
      </w:tr>
      <w:tr w:rsidR="00A555C6">
        <w:trPr>
          <w:jc w:val="center"/>
        </w:trPr>
        <w:tc>
          <w:tcPr>
            <w:tcW w:w="855" w:type="dxa"/>
            <w:vAlign w:val="center"/>
          </w:tcPr>
          <w:p w:rsidR="00A555C6" w:rsidRDefault="004537B3">
            <w:pPr>
              <w:jc w:val="center"/>
            </w:pPr>
            <w:r>
              <w:rPr>
                <w:color w:val="000000"/>
                <w:sz w:val="24"/>
                <w:szCs w:val="24"/>
              </w:rPr>
              <w:t>7</w:t>
            </w:r>
          </w:p>
        </w:tc>
        <w:tc>
          <w:tcPr>
            <w:tcW w:w="1334" w:type="dxa"/>
            <w:vAlign w:val="center"/>
          </w:tcPr>
          <w:p w:rsidR="00A555C6" w:rsidRDefault="004537B3">
            <w:pPr>
              <w:jc w:val="center"/>
            </w:pPr>
            <w:r>
              <w:rPr>
                <w:color w:val="000000"/>
                <w:sz w:val="24"/>
                <w:szCs w:val="24"/>
              </w:rPr>
              <w:t>601933</w:t>
            </w:r>
          </w:p>
        </w:tc>
        <w:tc>
          <w:tcPr>
            <w:tcW w:w="1777" w:type="dxa"/>
            <w:vAlign w:val="center"/>
          </w:tcPr>
          <w:p w:rsidR="00A555C6" w:rsidRDefault="004537B3">
            <w:pPr>
              <w:jc w:val="center"/>
            </w:pPr>
            <w:r>
              <w:rPr>
                <w:color w:val="000000"/>
                <w:sz w:val="24"/>
                <w:szCs w:val="24"/>
              </w:rPr>
              <w:t>永辉超市</w:t>
            </w:r>
          </w:p>
        </w:tc>
        <w:tc>
          <w:tcPr>
            <w:tcW w:w="1334" w:type="dxa"/>
            <w:vAlign w:val="center"/>
          </w:tcPr>
          <w:p w:rsidR="00A555C6" w:rsidRDefault="004537B3">
            <w:pPr>
              <w:jc w:val="right"/>
            </w:pPr>
            <w:r>
              <w:rPr>
                <w:color w:val="000000"/>
                <w:sz w:val="24"/>
                <w:szCs w:val="24"/>
              </w:rPr>
              <w:t>7,495,546</w:t>
            </w:r>
          </w:p>
        </w:tc>
        <w:tc>
          <w:tcPr>
            <w:tcW w:w="1924" w:type="dxa"/>
            <w:vAlign w:val="center"/>
          </w:tcPr>
          <w:p w:rsidR="00A555C6" w:rsidRDefault="004537B3">
            <w:pPr>
              <w:jc w:val="right"/>
            </w:pPr>
            <w:r>
              <w:rPr>
                <w:color w:val="000000"/>
                <w:sz w:val="24"/>
                <w:szCs w:val="24"/>
              </w:rPr>
              <w:t>58,989,947.02</w:t>
            </w:r>
          </w:p>
        </w:tc>
        <w:tc>
          <w:tcPr>
            <w:tcW w:w="1644" w:type="dxa"/>
            <w:vAlign w:val="center"/>
          </w:tcPr>
          <w:p w:rsidR="00A555C6" w:rsidRDefault="004537B3">
            <w:pPr>
              <w:jc w:val="right"/>
            </w:pPr>
            <w:r>
              <w:rPr>
                <w:color w:val="000000"/>
                <w:sz w:val="24"/>
                <w:szCs w:val="24"/>
              </w:rPr>
              <w:t>5.96</w:t>
            </w:r>
          </w:p>
        </w:tc>
      </w:tr>
      <w:tr w:rsidR="00A555C6">
        <w:trPr>
          <w:jc w:val="center"/>
        </w:trPr>
        <w:tc>
          <w:tcPr>
            <w:tcW w:w="855" w:type="dxa"/>
            <w:vAlign w:val="center"/>
          </w:tcPr>
          <w:p w:rsidR="00A555C6" w:rsidRDefault="004537B3">
            <w:pPr>
              <w:jc w:val="center"/>
            </w:pPr>
            <w:r>
              <w:rPr>
                <w:color w:val="000000"/>
                <w:sz w:val="24"/>
                <w:szCs w:val="24"/>
              </w:rPr>
              <w:t>8</w:t>
            </w:r>
          </w:p>
        </w:tc>
        <w:tc>
          <w:tcPr>
            <w:tcW w:w="1334" w:type="dxa"/>
            <w:vAlign w:val="center"/>
          </w:tcPr>
          <w:p w:rsidR="00A555C6" w:rsidRDefault="004537B3">
            <w:pPr>
              <w:jc w:val="center"/>
            </w:pPr>
            <w:r>
              <w:rPr>
                <w:color w:val="000000"/>
                <w:sz w:val="24"/>
                <w:szCs w:val="24"/>
              </w:rPr>
              <w:t>600315</w:t>
            </w:r>
          </w:p>
        </w:tc>
        <w:tc>
          <w:tcPr>
            <w:tcW w:w="1777" w:type="dxa"/>
            <w:vAlign w:val="center"/>
          </w:tcPr>
          <w:p w:rsidR="00A555C6" w:rsidRDefault="004537B3">
            <w:pPr>
              <w:jc w:val="center"/>
            </w:pPr>
            <w:r>
              <w:rPr>
                <w:color w:val="000000"/>
                <w:sz w:val="24"/>
                <w:szCs w:val="24"/>
              </w:rPr>
              <w:t>上海家化</w:t>
            </w:r>
          </w:p>
        </w:tc>
        <w:tc>
          <w:tcPr>
            <w:tcW w:w="1334" w:type="dxa"/>
            <w:vAlign w:val="center"/>
          </w:tcPr>
          <w:p w:rsidR="00A555C6" w:rsidRDefault="004537B3">
            <w:pPr>
              <w:jc w:val="right"/>
            </w:pPr>
            <w:r>
              <w:rPr>
                <w:color w:val="000000"/>
                <w:sz w:val="24"/>
                <w:szCs w:val="24"/>
              </w:rPr>
              <w:t>1,595,687</w:t>
            </w:r>
          </w:p>
        </w:tc>
        <w:tc>
          <w:tcPr>
            <w:tcW w:w="1924" w:type="dxa"/>
            <w:vAlign w:val="center"/>
          </w:tcPr>
          <w:p w:rsidR="00A555C6" w:rsidRDefault="004537B3">
            <w:pPr>
              <w:jc w:val="right"/>
            </w:pPr>
            <w:r>
              <w:rPr>
                <w:color w:val="000000"/>
                <w:sz w:val="24"/>
                <w:szCs w:val="24"/>
              </w:rPr>
              <w:t>57,285,163.30</w:t>
            </w:r>
          </w:p>
        </w:tc>
        <w:tc>
          <w:tcPr>
            <w:tcW w:w="1644" w:type="dxa"/>
            <w:vAlign w:val="center"/>
          </w:tcPr>
          <w:p w:rsidR="00A555C6" w:rsidRDefault="004537B3">
            <w:pPr>
              <w:jc w:val="right"/>
            </w:pPr>
            <w:r>
              <w:rPr>
                <w:color w:val="000000"/>
                <w:sz w:val="24"/>
                <w:szCs w:val="24"/>
              </w:rPr>
              <w:t>5.79</w:t>
            </w:r>
          </w:p>
        </w:tc>
      </w:tr>
      <w:tr w:rsidR="00A555C6">
        <w:trPr>
          <w:jc w:val="center"/>
        </w:trPr>
        <w:tc>
          <w:tcPr>
            <w:tcW w:w="855" w:type="dxa"/>
            <w:vAlign w:val="center"/>
          </w:tcPr>
          <w:p w:rsidR="00A555C6" w:rsidRDefault="004537B3">
            <w:pPr>
              <w:jc w:val="center"/>
            </w:pPr>
            <w:r>
              <w:rPr>
                <w:color w:val="000000"/>
                <w:sz w:val="24"/>
                <w:szCs w:val="24"/>
              </w:rPr>
              <w:t>9</w:t>
            </w:r>
          </w:p>
        </w:tc>
        <w:tc>
          <w:tcPr>
            <w:tcW w:w="1334" w:type="dxa"/>
            <w:vAlign w:val="center"/>
          </w:tcPr>
          <w:p w:rsidR="00A555C6" w:rsidRDefault="004537B3">
            <w:pPr>
              <w:jc w:val="center"/>
            </w:pPr>
            <w:r>
              <w:rPr>
                <w:color w:val="000000"/>
                <w:sz w:val="24"/>
                <w:szCs w:val="24"/>
              </w:rPr>
              <w:t>600763</w:t>
            </w:r>
          </w:p>
        </w:tc>
        <w:tc>
          <w:tcPr>
            <w:tcW w:w="1777" w:type="dxa"/>
            <w:vAlign w:val="center"/>
          </w:tcPr>
          <w:p w:rsidR="00A555C6" w:rsidRDefault="004537B3">
            <w:pPr>
              <w:jc w:val="center"/>
            </w:pPr>
            <w:r>
              <w:rPr>
                <w:color w:val="000000"/>
                <w:sz w:val="24"/>
                <w:szCs w:val="24"/>
              </w:rPr>
              <w:t>通策医疗</w:t>
            </w:r>
          </w:p>
        </w:tc>
        <w:tc>
          <w:tcPr>
            <w:tcW w:w="1334" w:type="dxa"/>
            <w:vAlign w:val="center"/>
          </w:tcPr>
          <w:p w:rsidR="00A555C6" w:rsidRDefault="004537B3">
            <w:pPr>
              <w:jc w:val="right"/>
            </w:pPr>
            <w:r>
              <w:rPr>
                <w:color w:val="000000"/>
                <w:sz w:val="24"/>
                <w:szCs w:val="24"/>
              </w:rPr>
              <w:t>1,002,118</w:t>
            </w:r>
          </w:p>
        </w:tc>
        <w:tc>
          <w:tcPr>
            <w:tcW w:w="1924" w:type="dxa"/>
            <w:vAlign w:val="center"/>
          </w:tcPr>
          <w:p w:rsidR="00A555C6" w:rsidRDefault="004537B3">
            <w:pPr>
              <w:jc w:val="right"/>
            </w:pPr>
            <w:r>
              <w:rPr>
                <w:color w:val="000000"/>
                <w:sz w:val="24"/>
                <w:szCs w:val="24"/>
              </w:rPr>
              <w:t>48,352,193.50</w:t>
            </w:r>
          </w:p>
        </w:tc>
        <w:tc>
          <w:tcPr>
            <w:tcW w:w="1644" w:type="dxa"/>
            <w:vAlign w:val="center"/>
          </w:tcPr>
          <w:p w:rsidR="00A555C6" w:rsidRDefault="004537B3">
            <w:pPr>
              <w:jc w:val="right"/>
            </w:pPr>
            <w:r>
              <w:rPr>
                <w:color w:val="000000"/>
                <w:sz w:val="24"/>
                <w:szCs w:val="24"/>
              </w:rPr>
              <w:t>4.89</w:t>
            </w:r>
          </w:p>
        </w:tc>
      </w:tr>
      <w:tr w:rsidR="00A555C6">
        <w:trPr>
          <w:jc w:val="center"/>
        </w:trPr>
        <w:tc>
          <w:tcPr>
            <w:tcW w:w="855" w:type="dxa"/>
            <w:vAlign w:val="center"/>
          </w:tcPr>
          <w:p w:rsidR="00A555C6" w:rsidRDefault="004537B3">
            <w:pPr>
              <w:jc w:val="center"/>
            </w:pPr>
            <w:r>
              <w:rPr>
                <w:color w:val="000000"/>
                <w:sz w:val="24"/>
                <w:szCs w:val="24"/>
              </w:rPr>
              <w:t>10</w:t>
            </w:r>
          </w:p>
        </w:tc>
        <w:tc>
          <w:tcPr>
            <w:tcW w:w="1334" w:type="dxa"/>
            <w:vAlign w:val="center"/>
          </w:tcPr>
          <w:p w:rsidR="00A555C6" w:rsidRDefault="004537B3">
            <w:pPr>
              <w:jc w:val="center"/>
            </w:pPr>
            <w:r>
              <w:rPr>
                <w:color w:val="000000"/>
                <w:sz w:val="24"/>
                <w:szCs w:val="24"/>
              </w:rPr>
              <w:t>002400</w:t>
            </w:r>
          </w:p>
        </w:tc>
        <w:tc>
          <w:tcPr>
            <w:tcW w:w="1777" w:type="dxa"/>
            <w:vAlign w:val="center"/>
          </w:tcPr>
          <w:p w:rsidR="00A555C6" w:rsidRDefault="004537B3">
            <w:pPr>
              <w:jc w:val="center"/>
            </w:pPr>
            <w:r>
              <w:rPr>
                <w:color w:val="000000"/>
                <w:sz w:val="24"/>
                <w:szCs w:val="24"/>
              </w:rPr>
              <w:t>省广股份</w:t>
            </w:r>
          </w:p>
        </w:tc>
        <w:tc>
          <w:tcPr>
            <w:tcW w:w="1334" w:type="dxa"/>
            <w:vAlign w:val="center"/>
          </w:tcPr>
          <w:p w:rsidR="00A555C6" w:rsidRDefault="004537B3">
            <w:pPr>
              <w:jc w:val="right"/>
            </w:pPr>
            <w:r>
              <w:rPr>
                <w:color w:val="000000"/>
                <w:sz w:val="24"/>
                <w:szCs w:val="24"/>
              </w:rPr>
              <w:t>1,570,169</w:t>
            </w:r>
          </w:p>
        </w:tc>
        <w:tc>
          <w:tcPr>
            <w:tcW w:w="1924" w:type="dxa"/>
            <w:vAlign w:val="center"/>
          </w:tcPr>
          <w:p w:rsidR="00A555C6" w:rsidRDefault="004537B3">
            <w:pPr>
              <w:jc w:val="right"/>
            </w:pPr>
            <w:r>
              <w:rPr>
                <w:color w:val="000000"/>
                <w:sz w:val="24"/>
                <w:szCs w:val="24"/>
              </w:rPr>
              <w:t>39,474,048.66</w:t>
            </w:r>
          </w:p>
        </w:tc>
        <w:tc>
          <w:tcPr>
            <w:tcW w:w="1644" w:type="dxa"/>
            <w:vAlign w:val="center"/>
          </w:tcPr>
          <w:p w:rsidR="00A555C6" w:rsidRDefault="004537B3">
            <w:pPr>
              <w:jc w:val="right"/>
            </w:pPr>
            <w:r>
              <w:rPr>
                <w:color w:val="000000"/>
                <w:sz w:val="24"/>
                <w:szCs w:val="24"/>
              </w:rPr>
              <w:t>3.99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A555C6" w:rsidRDefault="004537B3">
      <w:pPr>
        <w:autoSpaceDE w:val="0"/>
        <w:autoSpaceDN w:val="0"/>
        <w:adjustRightInd w:val="0"/>
        <w:spacing w:before="29" w:line="288" w:lineRule="auto"/>
        <w:jc w:val="left"/>
        <w:rPr>
          <w:bCs/>
          <w:color w:val="000000"/>
          <w:kern w:val="0"/>
          <w:sz w:val="24"/>
          <w:szCs w:val="24"/>
        </w:rPr>
      </w:pPr>
      <w:r>
        <w:rPr>
          <w:bCs/>
          <w:color w:val="000000"/>
          <w:kern w:val="0"/>
          <w:sz w:val="24"/>
          <w:szCs w:val="24"/>
        </w:rPr>
        <w:t>5.11.1</w:t>
      </w:r>
      <w:r>
        <w:rPr>
          <w:bCs/>
          <w:color w:val="000000"/>
          <w:kern w:val="0"/>
          <w:sz w:val="24"/>
          <w:szCs w:val="24"/>
        </w:rPr>
        <w:t>报告期内本基金投资的前十名证券的发行主体除上海家化（证券代码：</w:t>
      </w:r>
      <w:r>
        <w:rPr>
          <w:bCs/>
          <w:color w:val="000000"/>
          <w:kern w:val="0"/>
          <w:sz w:val="24"/>
          <w:szCs w:val="24"/>
        </w:rPr>
        <w:t>600315</w:t>
      </w:r>
      <w:r>
        <w:rPr>
          <w:bCs/>
          <w:color w:val="000000"/>
          <w:kern w:val="0"/>
          <w:sz w:val="24"/>
          <w:szCs w:val="24"/>
        </w:rPr>
        <w:t>）外，未出现被监管部门立案调查，或在报告编制日前一年内受到公开谴责、处罚的情形。</w:t>
      </w:r>
    </w:p>
    <w:p w:rsidR="00A555C6" w:rsidRDefault="004537B3">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报告期内本基金投资的前十名证券之一上海家化（证券代码：</w:t>
      </w:r>
      <w:r>
        <w:rPr>
          <w:bCs/>
          <w:color w:val="000000"/>
          <w:kern w:val="0"/>
          <w:sz w:val="24"/>
          <w:szCs w:val="24"/>
        </w:rPr>
        <w:t>600315</w:t>
      </w:r>
      <w:r>
        <w:rPr>
          <w:bCs/>
          <w:color w:val="000000"/>
          <w:kern w:val="0"/>
          <w:sz w:val="24"/>
          <w:szCs w:val="24"/>
        </w:rPr>
        <w:t>）于</w:t>
      </w:r>
      <w:r>
        <w:rPr>
          <w:bCs/>
          <w:color w:val="000000"/>
          <w:kern w:val="0"/>
          <w:sz w:val="24"/>
          <w:szCs w:val="24"/>
        </w:rPr>
        <w:t>2013</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21</w:t>
      </w:r>
      <w:r>
        <w:rPr>
          <w:bCs/>
          <w:color w:val="000000"/>
          <w:kern w:val="0"/>
          <w:sz w:val="24"/>
          <w:szCs w:val="24"/>
        </w:rPr>
        <w:t>日公告，公司于</w:t>
      </w:r>
      <w:r>
        <w:rPr>
          <w:bCs/>
          <w:color w:val="000000"/>
          <w:kern w:val="0"/>
          <w:sz w:val="24"/>
          <w:szCs w:val="24"/>
        </w:rPr>
        <w:t>2013</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20</w:t>
      </w:r>
      <w:r>
        <w:rPr>
          <w:bCs/>
          <w:color w:val="000000"/>
          <w:kern w:val="0"/>
          <w:sz w:val="24"/>
          <w:szCs w:val="24"/>
        </w:rPr>
        <w:t>日收到中国证券监督管理委员会《调查通知书》及上海证监局《行政监管措施决定书》，据此上海家化已于</w:t>
      </w:r>
      <w:r>
        <w:rPr>
          <w:bCs/>
          <w:color w:val="000000"/>
          <w:kern w:val="0"/>
          <w:sz w:val="24"/>
          <w:szCs w:val="24"/>
        </w:rPr>
        <w:t>2013</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18</w:t>
      </w:r>
      <w:r>
        <w:rPr>
          <w:bCs/>
          <w:color w:val="000000"/>
          <w:kern w:val="0"/>
          <w:sz w:val="24"/>
          <w:szCs w:val="24"/>
        </w:rPr>
        <w:t>日公告，按照上海证监局要求对关联交易进行了相关信息披露。</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50,406.99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24,645.46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203,152.19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278,204.64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952,611,121.75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14,425,876.50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187,935,654.60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779,101,343.65</w:t>
            </w:r>
          </w:p>
        </w:tc>
      </w:tr>
    </w:tbl>
    <w:p w:rsidR="00A555C6" w:rsidRDefault="004537B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13D2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32,044,493.17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4537B3" w:rsidP="00C15CAC">
            <w:pPr>
              <w:spacing w:line="288" w:lineRule="auto"/>
              <w:jc w:val="right"/>
              <w:rPr>
                <w:rFonts w:eastAsiaTheme="minorEastAsia"/>
                <w:sz w:val="24"/>
                <w:szCs w:val="24"/>
              </w:rPr>
            </w:pPr>
            <w:r w:rsidRPr="00ED2620">
              <w:rPr>
                <w:rFonts w:eastAsiaTheme="minorEastAsia"/>
                <w:color w:val="000000"/>
                <w:sz w:val="24"/>
              </w:rPr>
              <w:t>32,044,493.17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1D0FAE" w:rsidP="004537B3">
            <w:pPr>
              <w:spacing w:line="288" w:lineRule="auto"/>
              <w:jc w:val="right"/>
              <w:rPr>
                <w:rFonts w:eastAsiaTheme="minorEastAsia"/>
                <w:color w:val="000000"/>
                <w:kern w:val="0"/>
                <w:sz w:val="24"/>
                <w:szCs w:val="24"/>
              </w:rPr>
            </w:pPr>
            <w:r>
              <w:rPr>
                <w:rFonts w:eastAsiaTheme="minorEastAsia"/>
                <w:color w:val="000000"/>
                <w:sz w:val="24"/>
              </w:rPr>
              <w:t>4.11</w:t>
            </w:r>
          </w:p>
        </w:tc>
      </w:tr>
    </w:tbl>
    <w:p w:rsidR="00A555C6" w:rsidRDefault="004537B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bookmarkStart w:id="0" w:name="_GoBack"/>
      <w:bookmarkEnd w:id="0"/>
      <w:r w:rsidRPr="00ED2620">
        <w:rPr>
          <w:rFonts w:eastAsiaTheme="minorEastAsia"/>
          <w:color w:val="000000"/>
          <w:sz w:val="24"/>
        </w:rPr>
        <w:t>。</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E13D2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w:t>
      </w:r>
      <w:r w:rsidRPr="00414345">
        <w:rPr>
          <w:color w:val="000000"/>
          <w:sz w:val="24"/>
          <w:szCs w:val="24"/>
        </w:rPr>
        <w:t>TCL</w:t>
      </w:r>
      <w:r w:rsidRPr="00414345">
        <w:rPr>
          <w:color w:val="000000"/>
          <w:sz w:val="24"/>
          <w:szCs w:val="24"/>
        </w:rPr>
        <w:t>集团（证券代码：</w:t>
      </w:r>
      <w:r w:rsidRPr="00414345">
        <w:rPr>
          <w:color w:val="000000"/>
          <w:sz w:val="24"/>
          <w:szCs w:val="24"/>
        </w:rPr>
        <w:t>000100</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5</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15</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E13D2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555C6" w:rsidRDefault="004537B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A555C6" w:rsidRDefault="004537B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、《交银施罗德先锋股票证券投资基金基金合同》；</w:t>
      </w:r>
    </w:p>
    <w:p w:rsidR="00A555C6" w:rsidRDefault="004537B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、《交银施罗德先锋股票证券投资基金招募说明书》；</w:t>
      </w:r>
    </w:p>
    <w:p w:rsidR="00A555C6" w:rsidRDefault="004537B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、《交银施罗德先锋股票证券投资基金托管协议》；</w:t>
      </w:r>
    </w:p>
    <w:p w:rsidR="00A555C6" w:rsidRDefault="004537B3">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A555C6" w:rsidRDefault="004537B3">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A555C6" w:rsidRDefault="004537B3">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555C6" w:rsidRDefault="004537B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85" w:rsidRDefault="002E3785" w:rsidP="00876D65">
      <w:r>
        <w:separator/>
      </w:r>
    </w:p>
  </w:endnote>
  <w:endnote w:type="continuationSeparator" w:id="0">
    <w:p w:rsidR="002E3785" w:rsidRDefault="002E378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646ACB">
      <w:rPr>
        <w:kern w:val="0"/>
        <w:szCs w:val="21"/>
      </w:rPr>
      <w:fldChar w:fldCharType="begin"/>
    </w:r>
    <w:r>
      <w:rPr>
        <w:kern w:val="0"/>
        <w:szCs w:val="21"/>
      </w:rPr>
      <w:instrText xml:space="preserve"> PAGE </w:instrText>
    </w:r>
    <w:r w:rsidR="00646ACB">
      <w:rPr>
        <w:kern w:val="0"/>
        <w:szCs w:val="21"/>
      </w:rPr>
      <w:fldChar w:fldCharType="separate"/>
    </w:r>
    <w:r w:rsidR="002B0296">
      <w:rPr>
        <w:noProof/>
        <w:kern w:val="0"/>
        <w:szCs w:val="21"/>
      </w:rPr>
      <w:t>10</w:t>
    </w:r>
    <w:r w:rsidR="00646ACB">
      <w:rPr>
        <w:kern w:val="0"/>
        <w:szCs w:val="21"/>
      </w:rPr>
      <w:fldChar w:fldCharType="end"/>
    </w:r>
    <w:r>
      <w:rPr>
        <w:rFonts w:hint="eastAsia"/>
        <w:kern w:val="0"/>
        <w:szCs w:val="21"/>
      </w:rPr>
      <w:t>页共</w:t>
    </w:r>
    <w:r w:rsidR="00646ACB">
      <w:rPr>
        <w:kern w:val="0"/>
        <w:szCs w:val="21"/>
      </w:rPr>
      <w:fldChar w:fldCharType="begin"/>
    </w:r>
    <w:r>
      <w:rPr>
        <w:kern w:val="0"/>
        <w:szCs w:val="21"/>
      </w:rPr>
      <w:instrText xml:space="preserve"> NUMPAGES </w:instrText>
    </w:r>
    <w:r w:rsidR="00646ACB">
      <w:rPr>
        <w:kern w:val="0"/>
        <w:szCs w:val="21"/>
      </w:rPr>
      <w:fldChar w:fldCharType="separate"/>
    </w:r>
    <w:r w:rsidR="002B0296">
      <w:rPr>
        <w:noProof/>
        <w:kern w:val="0"/>
        <w:szCs w:val="21"/>
      </w:rPr>
      <w:t>11</w:t>
    </w:r>
    <w:r w:rsidR="00646AC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85" w:rsidRDefault="002E3785" w:rsidP="00876D65">
      <w:r>
        <w:separator/>
      </w:r>
    </w:p>
  </w:footnote>
  <w:footnote w:type="continuationSeparator" w:id="0">
    <w:p w:rsidR="002E3785" w:rsidRDefault="002E378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0FAE"/>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0296"/>
    <w:rsid w:val="002B1D1A"/>
    <w:rsid w:val="002C2834"/>
    <w:rsid w:val="002C3C7A"/>
    <w:rsid w:val="002C5F95"/>
    <w:rsid w:val="002C657A"/>
    <w:rsid w:val="002D6872"/>
    <w:rsid w:val="002D6FB6"/>
    <w:rsid w:val="002E3785"/>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537B3"/>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46ACB"/>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55C6"/>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13D23"/>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52CE9B8-F724-4143-A6D9-D9BBDFC8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556D-D8EF-46F9-B09B-F801E411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11</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539</cp:revision>
  <dcterms:created xsi:type="dcterms:W3CDTF">2012-10-16T06:07:00Z</dcterms:created>
  <dcterms:modified xsi:type="dcterms:W3CDTF">2014-10-21T03:13:00Z</dcterms:modified>
</cp:coreProperties>
</file>