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9E01E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55C35" w:rsidRDefault="0025445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E01E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2,439,429,623.70</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本基金是一只股票型基金，以具有良好成长性的公司为主要投资对象，追求超额收益，属于证券投资基金中较高预期收益和较高风险的品种。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E01E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54459" w:rsidRPr="00414345" w:rsidTr="0025445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54459" w:rsidRPr="00414345" w:rsidTr="002544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417,259,871.95</w:t>
            </w:r>
          </w:p>
        </w:tc>
      </w:tr>
      <w:tr w:rsidR="00254459" w:rsidRPr="00414345" w:rsidTr="002544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770,543,217.69</w:t>
            </w:r>
          </w:p>
        </w:tc>
      </w:tr>
      <w:tr w:rsidR="00254459" w:rsidRPr="00414345" w:rsidTr="002544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0.2985</w:t>
            </w:r>
          </w:p>
        </w:tc>
      </w:tr>
      <w:tr w:rsidR="00254459" w:rsidRPr="00414345" w:rsidTr="002544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7,770,460,019.27</w:t>
            </w:r>
          </w:p>
        </w:tc>
      </w:tr>
      <w:tr w:rsidR="00254459" w:rsidRPr="00414345" w:rsidTr="0025445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3.1854</w:t>
            </w:r>
          </w:p>
        </w:tc>
      </w:tr>
    </w:tbl>
    <w:p w:rsidR="00055C35" w:rsidRDefault="0025445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55C35">
        <w:trPr>
          <w:jc w:val="center"/>
        </w:trPr>
        <w:tc>
          <w:tcPr>
            <w:tcW w:w="1701" w:type="dxa"/>
            <w:vAlign w:val="center"/>
          </w:tcPr>
          <w:p w:rsidR="00055C35" w:rsidRDefault="00254459">
            <w:pPr>
              <w:jc w:val="left"/>
            </w:pPr>
            <w:r>
              <w:rPr>
                <w:color w:val="000000"/>
                <w:sz w:val="24"/>
                <w:szCs w:val="24"/>
              </w:rPr>
              <w:t>过去三个月</w:t>
            </w:r>
          </w:p>
        </w:tc>
        <w:tc>
          <w:tcPr>
            <w:tcW w:w="1045" w:type="dxa"/>
            <w:vAlign w:val="center"/>
          </w:tcPr>
          <w:p w:rsidR="00055C35" w:rsidRDefault="00254459">
            <w:pPr>
              <w:jc w:val="center"/>
            </w:pPr>
            <w:r>
              <w:rPr>
                <w:color w:val="000000"/>
                <w:sz w:val="24"/>
                <w:szCs w:val="24"/>
              </w:rPr>
              <w:t>10.48%</w:t>
            </w:r>
          </w:p>
        </w:tc>
        <w:tc>
          <w:tcPr>
            <w:tcW w:w="1344" w:type="dxa"/>
            <w:vAlign w:val="center"/>
          </w:tcPr>
          <w:p w:rsidR="00055C35" w:rsidRDefault="00254459">
            <w:pPr>
              <w:jc w:val="center"/>
            </w:pPr>
            <w:r>
              <w:rPr>
                <w:color w:val="000000"/>
                <w:sz w:val="24"/>
                <w:szCs w:val="24"/>
              </w:rPr>
              <w:t>0.86%</w:t>
            </w:r>
          </w:p>
        </w:tc>
        <w:tc>
          <w:tcPr>
            <w:tcW w:w="1194" w:type="dxa"/>
            <w:vAlign w:val="center"/>
          </w:tcPr>
          <w:p w:rsidR="00055C35" w:rsidRDefault="00254459">
            <w:pPr>
              <w:jc w:val="center"/>
            </w:pPr>
            <w:r>
              <w:rPr>
                <w:color w:val="000000"/>
                <w:sz w:val="24"/>
                <w:szCs w:val="24"/>
              </w:rPr>
              <w:t>10.48%</w:t>
            </w:r>
          </w:p>
        </w:tc>
        <w:tc>
          <w:tcPr>
            <w:tcW w:w="1492" w:type="dxa"/>
            <w:vAlign w:val="center"/>
          </w:tcPr>
          <w:p w:rsidR="00055C35" w:rsidRDefault="00254459">
            <w:pPr>
              <w:jc w:val="center"/>
            </w:pPr>
            <w:r>
              <w:rPr>
                <w:color w:val="000000"/>
                <w:sz w:val="24"/>
                <w:szCs w:val="24"/>
              </w:rPr>
              <w:t>0.67%</w:t>
            </w:r>
          </w:p>
        </w:tc>
        <w:tc>
          <w:tcPr>
            <w:tcW w:w="1194" w:type="dxa"/>
            <w:vAlign w:val="center"/>
          </w:tcPr>
          <w:p w:rsidR="00055C35" w:rsidRDefault="00254459">
            <w:pPr>
              <w:jc w:val="center"/>
            </w:pPr>
            <w:r>
              <w:rPr>
                <w:color w:val="000000"/>
                <w:sz w:val="24"/>
                <w:szCs w:val="24"/>
              </w:rPr>
              <w:t>0.00%</w:t>
            </w:r>
          </w:p>
        </w:tc>
        <w:tc>
          <w:tcPr>
            <w:tcW w:w="898" w:type="dxa"/>
            <w:vAlign w:val="center"/>
          </w:tcPr>
          <w:p w:rsidR="00055C35" w:rsidRDefault="00254459">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E01E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55C35">
        <w:trPr>
          <w:jc w:val="center"/>
        </w:trPr>
        <w:tc>
          <w:tcPr>
            <w:tcW w:w="846" w:type="dxa"/>
            <w:vAlign w:val="center"/>
          </w:tcPr>
          <w:p w:rsidR="00055C35" w:rsidRDefault="00254459">
            <w:pPr>
              <w:jc w:val="center"/>
            </w:pPr>
            <w:r>
              <w:rPr>
                <w:color w:val="000000"/>
                <w:sz w:val="24"/>
                <w:szCs w:val="24"/>
              </w:rPr>
              <w:t>管华雨</w:t>
            </w:r>
          </w:p>
        </w:tc>
        <w:tc>
          <w:tcPr>
            <w:tcW w:w="845" w:type="dxa"/>
            <w:vAlign w:val="center"/>
          </w:tcPr>
          <w:p w:rsidR="00055C35" w:rsidRDefault="00254459">
            <w:pPr>
              <w:jc w:val="center"/>
            </w:pPr>
            <w:r>
              <w:rPr>
                <w:color w:val="000000"/>
                <w:sz w:val="24"/>
                <w:szCs w:val="24"/>
              </w:rPr>
              <w:t>本基金、交银趋势股票、交银成长</w:t>
            </w:r>
            <w:r>
              <w:rPr>
                <w:color w:val="000000"/>
                <w:sz w:val="24"/>
                <w:szCs w:val="24"/>
              </w:rPr>
              <w:t>30</w:t>
            </w:r>
            <w:r>
              <w:rPr>
                <w:color w:val="000000"/>
                <w:sz w:val="24"/>
                <w:szCs w:val="24"/>
              </w:rPr>
              <w:t>股票、交银新成长股票的基金经理，公司权益投资总监</w:t>
            </w:r>
          </w:p>
        </w:tc>
        <w:tc>
          <w:tcPr>
            <w:tcW w:w="1549" w:type="dxa"/>
            <w:vAlign w:val="center"/>
          </w:tcPr>
          <w:p w:rsidR="00055C35" w:rsidRDefault="00254459">
            <w:pPr>
              <w:jc w:val="center"/>
            </w:pPr>
            <w:r>
              <w:rPr>
                <w:color w:val="000000"/>
                <w:sz w:val="24"/>
                <w:szCs w:val="24"/>
              </w:rPr>
              <w:t>2010-10-08</w:t>
            </w:r>
          </w:p>
        </w:tc>
        <w:tc>
          <w:tcPr>
            <w:tcW w:w="1548" w:type="dxa"/>
            <w:vAlign w:val="center"/>
          </w:tcPr>
          <w:p w:rsidR="00055C35" w:rsidRDefault="00254459">
            <w:pPr>
              <w:jc w:val="center"/>
            </w:pPr>
            <w:r>
              <w:rPr>
                <w:color w:val="000000"/>
                <w:sz w:val="24"/>
                <w:szCs w:val="24"/>
              </w:rPr>
              <w:t>-</w:t>
            </w:r>
          </w:p>
        </w:tc>
        <w:tc>
          <w:tcPr>
            <w:tcW w:w="1407" w:type="dxa"/>
            <w:vAlign w:val="center"/>
          </w:tcPr>
          <w:p w:rsidR="00055C35" w:rsidRDefault="00254459">
            <w:pPr>
              <w:jc w:val="center"/>
            </w:pPr>
            <w:r>
              <w:rPr>
                <w:color w:val="000000"/>
                <w:sz w:val="24"/>
                <w:szCs w:val="24"/>
              </w:rPr>
              <w:t>12</w:t>
            </w:r>
            <w:r>
              <w:rPr>
                <w:color w:val="000000"/>
                <w:sz w:val="24"/>
                <w:szCs w:val="24"/>
              </w:rPr>
              <w:t>年</w:t>
            </w:r>
          </w:p>
        </w:tc>
        <w:tc>
          <w:tcPr>
            <w:tcW w:w="2673" w:type="dxa"/>
            <w:vAlign w:val="center"/>
          </w:tcPr>
          <w:p w:rsidR="00055C35" w:rsidRDefault="00254459">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55C35" w:rsidRDefault="0025445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55C35" w:rsidRDefault="0025445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55C35" w:rsidRDefault="0025445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55C35" w:rsidRDefault="00254459">
      <w:pPr>
        <w:spacing w:before="29" w:line="288" w:lineRule="auto"/>
        <w:ind w:firstLineChars="200" w:firstLine="480"/>
        <w:rPr>
          <w:color w:val="000000"/>
          <w:sz w:val="24"/>
          <w:szCs w:val="24"/>
        </w:rPr>
      </w:pPr>
      <w:r>
        <w:rPr>
          <w:color w:val="000000"/>
          <w:sz w:val="24"/>
          <w:szCs w:val="24"/>
        </w:rPr>
        <w:t>在政府微刺激的作用下，三季度宏观经济整体企稳，流动性宽松，各项改革出现加速迹象，股市对此反应积极。周期性大市值股票直接受益于经济回稳和货币宽松，</w:t>
      </w:r>
      <w:r>
        <w:rPr>
          <w:color w:val="000000"/>
          <w:sz w:val="24"/>
          <w:szCs w:val="24"/>
        </w:rPr>
        <w:t>7</w:t>
      </w:r>
      <w:r>
        <w:rPr>
          <w:color w:val="000000"/>
          <w:sz w:val="24"/>
          <w:szCs w:val="24"/>
        </w:rPr>
        <w:t>月份涨幅可观；以创业板为代表的中小市值股票则在经济环境趋好和改革加速的推动下，</w:t>
      </w:r>
      <w:r>
        <w:rPr>
          <w:color w:val="000000"/>
          <w:sz w:val="24"/>
          <w:szCs w:val="24"/>
        </w:rPr>
        <w:t>8</w:t>
      </w:r>
      <w:r>
        <w:rPr>
          <w:color w:val="000000"/>
          <w:sz w:val="24"/>
          <w:szCs w:val="24"/>
        </w:rPr>
        <w:t>、</w:t>
      </w:r>
      <w:r>
        <w:rPr>
          <w:color w:val="000000"/>
          <w:sz w:val="24"/>
          <w:szCs w:val="24"/>
        </w:rPr>
        <w:t>9</w:t>
      </w:r>
      <w:r>
        <w:rPr>
          <w:color w:val="000000"/>
          <w:sz w:val="24"/>
          <w:szCs w:val="24"/>
        </w:rPr>
        <w:t>月份均取得不错的涨幅。从行业板块看，基本上所有股票都出现一定的涨幅，新兴行业略跑赢传统行业。</w:t>
      </w:r>
    </w:p>
    <w:p w:rsidR="00055C35" w:rsidRDefault="00254459">
      <w:pPr>
        <w:spacing w:before="29" w:line="288" w:lineRule="auto"/>
        <w:ind w:firstLineChars="200" w:firstLine="480"/>
        <w:rPr>
          <w:color w:val="000000"/>
          <w:sz w:val="24"/>
          <w:szCs w:val="24"/>
        </w:rPr>
      </w:pPr>
      <w:r>
        <w:rPr>
          <w:color w:val="000000"/>
          <w:sz w:val="24"/>
          <w:szCs w:val="24"/>
        </w:rPr>
        <w:t>三季度前半期，本基金捕捉到经济企稳的信号，增加了房地产等周期股票的配置，享受了</w:t>
      </w:r>
      <w:r>
        <w:rPr>
          <w:color w:val="000000"/>
          <w:sz w:val="24"/>
          <w:szCs w:val="24"/>
        </w:rPr>
        <w:t>7</w:t>
      </w:r>
      <w:r>
        <w:rPr>
          <w:color w:val="000000"/>
          <w:sz w:val="24"/>
          <w:szCs w:val="24"/>
        </w:rPr>
        <w:t>月份的整体市场反弹；其后，随着改革出现加速迹象，本基金持股又回到符合改革和转型大方向的优质成长股上来，起到了一定的积极效果。</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展望未来，本基金认为，在</w:t>
      </w:r>
      <w:r w:rsidRPr="00414345">
        <w:rPr>
          <w:color w:val="000000"/>
          <w:sz w:val="24"/>
          <w:szCs w:val="24"/>
        </w:rPr>
        <w:t>“</w:t>
      </w:r>
      <w:r w:rsidRPr="00414345">
        <w:rPr>
          <w:color w:val="000000"/>
          <w:sz w:val="24"/>
          <w:szCs w:val="24"/>
        </w:rPr>
        <w:t>新常态</w:t>
      </w:r>
      <w:r w:rsidRPr="00414345">
        <w:rPr>
          <w:color w:val="000000"/>
          <w:sz w:val="24"/>
          <w:szCs w:val="24"/>
        </w:rPr>
        <w:t>”</w:t>
      </w:r>
      <w:r w:rsidRPr="00414345">
        <w:rPr>
          <w:color w:val="000000"/>
          <w:sz w:val="24"/>
          <w:szCs w:val="24"/>
        </w:rPr>
        <w:t>下，经济增速逐渐降低，但是无风险收益率也将逐级下行，股市面临的外部环境比较温和。微刺激着力于稳住经济和市场的底，而改革和转型则打开了相关板块的上行空间。因此，整体股市风险可能不大，预计较好的投资机会则来自于能够实实在在受益于改革和转型的新兴行业。本基金将继续深入研究，把握主要新兴行业的产业发展规律和估值方法，并密切关注国内外政策、流动性变化的影响，控制好风险，努力为持有人创造好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3.1854</w:t>
      </w:r>
      <w:r w:rsidRPr="00414345">
        <w:rPr>
          <w:color w:val="000000"/>
          <w:sz w:val="24"/>
          <w:szCs w:val="24"/>
        </w:rPr>
        <w:t>元，本报告期份额净值增长率为</w:t>
      </w:r>
      <w:r w:rsidRPr="00414345">
        <w:rPr>
          <w:color w:val="000000"/>
          <w:sz w:val="24"/>
          <w:szCs w:val="24"/>
        </w:rPr>
        <w:t>10.48%</w:t>
      </w:r>
      <w:r w:rsidRPr="00414345">
        <w:rPr>
          <w:color w:val="000000"/>
          <w:sz w:val="24"/>
          <w:szCs w:val="24"/>
        </w:rPr>
        <w:t>，同期业绩比较基准增长率</w:t>
      </w:r>
      <w:r w:rsidRPr="00414345">
        <w:rPr>
          <w:color w:val="000000"/>
          <w:sz w:val="24"/>
          <w:szCs w:val="24"/>
        </w:rPr>
        <w:t>10.48%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9E01E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7,270,651,865.72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7,270,651,865.72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252,539,355.20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252,539,355.20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10,000,135.00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0.13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303,871,882.45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3.87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18,838,972.96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7,855,902,211.33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254459" w:rsidP="00254459">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254459">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4,295,728,231.66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173,753,652.62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392,688,058.86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177,848,801.20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254459">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780,471,954.35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334,048,000.00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163,796,661.00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119,706,448.02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383,547,410.19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406,072,647.82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7,270,651,865.72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93.57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55C35">
        <w:trPr>
          <w:jc w:val="center"/>
        </w:trPr>
        <w:tc>
          <w:tcPr>
            <w:tcW w:w="855" w:type="dxa"/>
            <w:vAlign w:val="center"/>
          </w:tcPr>
          <w:p w:rsidR="00055C35" w:rsidRDefault="00254459">
            <w:pPr>
              <w:jc w:val="center"/>
            </w:pPr>
            <w:r>
              <w:rPr>
                <w:color w:val="000000"/>
                <w:sz w:val="24"/>
                <w:szCs w:val="24"/>
              </w:rPr>
              <w:t>1</w:t>
            </w:r>
          </w:p>
        </w:tc>
        <w:tc>
          <w:tcPr>
            <w:tcW w:w="1334" w:type="dxa"/>
            <w:vAlign w:val="center"/>
          </w:tcPr>
          <w:p w:rsidR="00055C35" w:rsidRDefault="00254459">
            <w:pPr>
              <w:jc w:val="center"/>
            </w:pPr>
            <w:r>
              <w:rPr>
                <w:color w:val="000000"/>
                <w:sz w:val="24"/>
                <w:szCs w:val="24"/>
              </w:rPr>
              <w:t>002008</w:t>
            </w:r>
          </w:p>
        </w:tc>
        <w:tc>
          <w:tcPr>
            <w:tcW w:w="1777" w:type="dxa"/>
            <w:vAlign w:val="center"/>
          </w:tcPr>
          <w:p w:rsidR="00055C35" w:rsidRDefault="00254459">
            <w:pPr>
              <w:jc w:val="center"/>
            </w:pPr>
            <w:r>
              <w:rPr>
                <w:color w:val="000000"/>
                <w:sz w:val="24"/>
                <w:szCs w:val="24"/>
              </w:rPr>
              <w:t>大族激光</w:t>
            </w:r>
          </w:p>
        </w:tc>
        <w:tc>
          <w:tcPr>
            <w:tcW w:w="1334" w:type="dxa"/>
            <w:vAlign w:val="center"/>
          </w:tcPr>
          <w:p w:rsidR="00055C35" w:rsidRDefault="00254459">
            <w:pPr>
              <w:jc w:val="right"/>
            </w:pPr>
            <w:r>
              <w:rPr>
                <w:color w:val="000000"/>
                <w:sz w:val="24"/>
                <w:szCs w:val="24"/>
              </w:rPr>
              <w:t>20,999,901</w:t>
            </w:r>
          </w:p>
        </w:tc>
        <w:tc>
          <w:tcPr>
            <w:tcW w:w="1924" w:type="dxa"/>
            <w:vAlign w:val="center"/>
          </w:tcPr>
          <w:p w:rsidR="00055C35" w:rsidRDefault="00254459">
            <w:pPr>
              <w:jc w:val="right"/>
            </w:pPr>
            <w:r>
              <w:rPr>
                <w:color w:val="000000"/>
                <w:sz w:val="24"/>
                <w:szCs w:val="24"/>
              </w:rPr>
              <w:t>410,548,064.55</w:t>
            </w:r>
          </w:p>
        </w:tc>
        <w:tc>
          <w:tcPr>
            <w:tcW w:w="1644" w:type="dxa"/>
            <w:vAlign w:val="center"/>
          </w:tcPr>
          <w:p w:rsidR="00055C35" w:rsidRDefault="00254459">
            <w:pPr>
              <w:jc w:val="right"/>
            </w:pPr>
            <w:r>
              <w:rPr>
                <w:color w:val="000000"/>
                <w:sz w:val="24"/>
                <w:szCs w:val="24"/>
              </w:rPr>
              <w:t>5.28</w:t>
            </w:r>
          </w:p>
        </w:tc>
      </w:tr>
      <w:tr w:rsidR="00055C35">
        <w:trPr>
          <w:jc w:val="center"/>
        </w:trPr>
        <w:tc>
          <w:tcPr>
            <w:tcW w:w="855" w:type="dxa"/>
            <w:vAlign w:val="center"/>
          </w:tcPr>
          <w:p w:rsidR="00055C35" w:rsidRDefault="00254459">
            <w:pPr>
              <w:jc w:val="center"/>
            </w:pPr>
            <w:r>
              <w:rPr>
                <w:color w:val="000000"/>
                <w:sz w:val="24"/>
                <w:szCs w:val="24"/>
              </w:rPr>
              <w:t>2</w:t>
            </w:r>
          </w:p>
        </w:tc>
        <w:tc>
          <w:tcPr>
            <w:tcW w:w="1334" w:type="dxa"/>
            <w:vAlign w:val="center"/>
          </w:tcPr>
          <w:p w:rsidR="00055C35" w:rsidRDefault="00254459">
            <w:pPr>
              <w:jc w:val="center"/>
            </w:pPr>
            <w:r>
              <w:rPr>
                <w:color w:val="000000"/>
                <w:sz w:val="24"/>
                <w:szCs w:val="24"/>
              </w:rPr>
              <w:t>600109</w:t>
            </w:r>
          </w:p>
        </w:tc>
        <w:tc>
          <w:tcPr>
            <w:tcW w:w="1777" w:type="dxa"/>
            <w:vAlign w:val="center"/>
          </w:tcPr>
          <w:p w:rsidR="00055C35" w:rsidRDefault="00254459">
            <w:pPr>
              <w:jc w:val="center"/>
            </w:pPr>
            <w:r>
              <w:rPr>
                <w:color w:val="000000"/>
                <w:sz w:val="24"/>
                <w:szCs w:val="24"/>
              </w:rPr>
              <w:t>国金证券</w:t>
            </w:r>
          </w:p>
        </w:tc>
        <w:tc>
          <w:tcPr>
            <w:tcW w:w="1334" w:type="dxa"/>
            <w:vAlign w:val="center"/>
          </w:tcPr>
          <w:p w:rsidR="00055C35" w:rsidRDefault="00254459">
            <w:pPr>
              <w:jc w:val="right"/>
            </w:pPr>
            <w:r>
              <w:rPr>
                <w:color w:val="000000"/>
                <w:sz w:val="24"/>
                <w:szCs w:val="24"/>
              </w:rPr>
              <w:t>14,300,000</w:t>
            </w:r>
          </w:p>
        </w:tc>
        <w:tc>
          <w:tcPr>
            <w:tcW w:w="1924" w:type="dxa"/>
            <w:vAlign w:val="center"/>
          </w:tcPr>
          <w:p w:rsidR="00055C35" w:rsidRDefault="00254459">
            <w:pPr>
              <w:jc w:val="right"/>
            </w:pPr>
            <w:r>
              <w:rPr>
                <w:color w:val="000000"/>
                <w:sz w:val="24"/>
                <w:szCs w:val="24"/>
              </w:rPr>
              <w:t>334,048,000.00</w:t>
            </w:r>
          </w:p>
        </w:tc>
        <w:tc>
          <w:tcPr>
            <w:tcW w:w="1644" w:type="dxa"/>
            <w:vAlign w:val="center"/>
          </w:tcPr>
          <w:p w:rsidR="00055C35" w:rsidRDefault="00254459">
            <w:pPr>
              <w:jc w:val="right"/>
            </w:pPr>
            <w:r>
              <w:rPr>
                <w:color w:val="000000"/>
                <w:sz w:val="24"/>
                <w:szCs w:val="24"/>
              </w:rPr>
              <w:t>4.30</w:t>
            </w:r>
          </w:p>
        </w:tc>
      </w:tr>
      <w:tr w:rsidR="00055C35">
        <w:trPr>
          <w:jc w:val="center"/>
        </w:trPr>
        <w:tc>
          <w:tcPr>
            <w:tcW w:w="855" w:type="dxa"/>
            <w:vAlign w:val="center"/>
          </w:tcPr>
          <w:p w:rsidR="00055C35" w:rsidRDefault="00254459">
            <w:pPr>
              <w:jc w:val="center"/>
            </w:pPr>
            <w:r>
              <w:rPr>
                <w:color w:val="000000"/>
                <w:sz w:val="24"/>
                <w:szCs w:val="24"/>
              </w:rPr>
              <w:t>3</w:t>
            </w:r>
          </w:p>
        </w:tc>
        <w:tc>
          <w:tcPr>
            <w:tcW w:w="1334" w:type="dxa"/>
            <w:vAlign w:val="center"/>
          </w:tcPr>
          <w:p w:rsidR="00055C35" w:rsidRDefault="00254459">
            <w:pPr>
              <w:jc w:val="center"/>
            </w:pPr>
            <w:r>
              <w:rPr>
                <w:color w:val="000000"/>
                <w:sz w:val="24"/>
                <w:szCs w:val="24"/>
              </w:rPr>
              <w:t>002353</w:t>
            </w:r>
          </w:p>
        </w:tc>
        <w:tc>
          <w:tcPr>
            <w:tcW w:w="1777" w:type="dxa"/>
            <w:vAlign w:val="center"/>
          </w:tcPr>
          <w:p w:rsidR="00055C35" w:rsidRDefault="00254459">
            <w:pPr>
              <w:jc w:val="center"/>
            </w:pPr>
            <w:r>
              <w:rPr>
                <w:color w:val="000000"/>
                <w:sz w:val="24"/>
                <w:szCs w:val="24"/>
              </w:rPr>
              <w:t>杰瑞股份</w:t>
            </w:r>
          </w:p>
        </w:tc>
        <w:tc>
          <w:tcPr>
            <w:tcW w:w="1334" w:type="dxa"/>
            <w:vAlign w:val="center"/>
          </w:tcPr>
          <w:p w:rsidR="00055C35" w:rsidRDefault="00254459">
            <w:pPr>
              <w:jc w:val="right"/>
            </w:pPr>
            <w:r>
              <w:rPr>
                <w:color w:val="000000"/>
                <w:sz w:val="24"/>
                <w:szCs w:val="24"/>
              </w:rPr>
              <w:t>6,999,634</w:t>
            </w:r>
          </w:p>
        </w:tc>
        <w:tc>
          <w:tcPr>
            <w:tcW w:w="1924" w:type="dxa"/>
            <w:vAlign w:val="center"/>
          </w:tcPr>
          <w:p w:rsidR="00055C35" w:rsidRDefault="00254459">
            <w:pPr>
              <w:jc w:val="right"/>
            </w:pPr>
            <w:r>
              <w:rPr>
                <w:color w:val="000000"/>
                <w:sz w:val="24"/>
                <w:szCs w:val="24"/>
              </w:rPr>
              <w:t>272,845,733.32</w:t>
            </w:r>
          </w:p>
        </w:tc>
        <w:tc>
          <w:tcPr>
            <w:tcW w:w="1644" w:type="dxa"/>
            <w:vAlign w:val="center"/>
          </w:tcPr>
          <w:p w:rsidR="00055C35" w:rsidRDefault="00254459">
            <w:pPr>
              <w:jc w:val="right"/>
            </w:pPr>
            <w:r>
              <w:rPr>
                <w:color w:val="000000"/>
                <w:sz w:val="24"/>
                <w:szCs w:val="24"/>
              </w:rPr>
              <w:t>3.51</w:t>
            </w:r>
          </w:p>
        </w:tc>
      </w:tr>
      <w:tr w:rsidR="00055C35">
        <w:trPr>
          <w:jc w:val="center"/>
        </w:trPr>
        <w:tc>
          <w:tcPr>
            <w:tcW w:w="855" w:type="dxa"/>
            <w:vAlign w:val="center"/>
          </w:tcPr>
          <w:p w:rsidR="00055C35" w:rsidRDefault="00254459">
            <w:pPr>
              <w:jc w:val="center"/>
            </w:pPr>
            <w:r>
              <w:rPr>
                <w:color w:val="000000"/>
                <w:sz w:val="24"/>
                <w:szCs w:val="24"/>
              </w:rPr>
              <w:t>4</w:t>
            </w:r>
          </w:p>
        </w:tc>
        <w:tc>
          <w:tcPr>
            <w:tcW w:w="1334" w:type="dxa"/>
            <w:vAlign w:val="center"/>
          </w:tcPr>
          <w:p w:rsidR="00055C35" w:rsidRDefault="00254459">
            <w:pPr>
              <w:jc w:val="center"/>
            </w:pPr>
            <w:r>
              <w:rPr>
                <w:color w:val="000000"/>
                <w:sz w:val="24"/>
                <w:szCs w:val="24"/>
              </w:rPr>
              <w:t>002081</w:t>
            </w:r>
          </w:p>
        </w:tc>
        <w:tc>
          <w:tcPr>
            <w:tcW w:w="1777" w:type="dxa"/>
            <w:vAlign w:val="center"/>
          </w:tcPr>
          <w:p w:rsidR="00055C35" w:rsidRDefault="00254459">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055C35" w:rsidRDefault="00254459">
            <w:pPr>
              <w:jc w:val="right"/>
            </w:pPr>
            <w:r>
              <w:rPr>
                <w:color w:val="000000"/>
                <w:sz w:val="24"/>
                <w:szCs w:val="24"/>
              </w:rPr>
              <w:t>13,909,678</w:t>
            </w:r>
          </w:p>
        </w:tc>
        <w:tc>
          <w:tcPr>
            <w:tcW w:w="1924" w:type="dxa"/>
            <w:vAlign w:val="center"/>
          </w:tcPr>
          <w:p w:rsidR="00055C35" w:rsidRDefault="00254459">
            <w:pPr>
              <w:jc w:val="right"/>
            </w:pPr>
            <w:r>
              <w:rPr>
                <w:color w:val="000000"/>
                <w:sz w:val="24"/>
                <w:szCs w:val="24"/>
              </w:rPr>
              <w:t>269,430,462.86</w:t>
            </w:r>
          </w:p>
        </w:tc>
        <w:tc>
          <w:tcPr>
            <w:tcW w:w="1644" w:type="dxa"/>
            <w:vAlign w:val="center"/>
          </w:tcPr>
          <w:p w:rsidR="00055C35" w:rsidRDefault="00254459">
            <w:pPr>
              <w:jc w:val="right"/>
            </w:pPr>
            <w:r>
              <w:rPr>
                <w:color w:val="000000"/>
                <w:sz w:val="24"/>
                <w:szCs w:val="24"/>
              </w:rPr>
              <w:t>3.47</w:t>
            </w:r>
          </w:p>
        </w:tc>
      </w:tr>
      <w:tr w:rsidR="00055C35">
        <w:trPr>
          <w:jc w:val="center"/>
        </w:trPr>
        <w:tc>
          <w:tcPr>
            <w:tcW w:w="855" w:type="dxa"/>
            <w:vAlign w:val="center"/>
          </w:tcPr>
          <w:p w:rsidR="00055C35" w:rsidRDefault="00254459">
            <w:pPr>
              <w:jc w:val="center"/>
            </w:pPr>
            <w:r>
              <w:rPr>
                <w:color w:val="000000"/>
                <w:sz w:val="24"/>
                <w:szCs w:val="24"/>
              </w:rPr>
              <w:t>5</w:t>
            </w:r>
          </w:p>
        </w:tc>
        <w:tc>
          <w:tcPr>
            <w:tcW w:w="1334" w:type="dxa"/>
            <w:vAlign w:val="center"/>
          </w:tcPr>
          <w:p w:rsidR="00055C35" w:rsidRDefault="00254459">
            <w:pPr>
              <w:jc w:val="center"/>
            </w:pPr>
            <w:r>
              <w:rPr>
                <w:color w:val="000000"/>
                <w:sz w:val="24"/>
                <w:szCs w:val="24"/>
              </w:rPr>
              <w:t>002223</w:t>
            </w:r>
          </w:p>
        </w:tc>
        <w:tc>
          <w:tcPr>
            <w:tcW w:w="1777" w:type="dxa"/>
            <w:vAlign w:val="center"/>
          </w:tcPr>
          <w:p w:rsidR="00055C35" w:rsidRDefault="00254459">
            <w:pPr>
              <w:jc w:val="center"/>
            </w:pPr>
            <w:r>
              <w:rPr>
                <w:color w:val="000000"/>
                <w:sz w:val="24"/>
                <w:szCs w:val="24"/>
              </w:rPr>
              <w:t>鱼跃医疗</w:t>
            </w:r>
          </w:p>
        </w:tc>
        <w:tc>
          <w:tcPr>
            <w:tcW w:w="1334" w:type="dxa"/>
            <w:vAlign w:val="center"/>
          </w:tcPr>
          <w:p w:rsidR="00055C35" w:rsidRDefault="00254459">
            <w:pPr>
              <w:jc w:val="right"/>
            </w:pPr>
            <w:r>
              <w:rPr>
                <w:color w:val="000000"/>
                <w:sz w:val="24"/>
                <w:szCs w:val="24"/>
              </w:rPr>
              <w:t>9,000,000</w:t>
            </w:r>
          </w:p>
        </w:tc>
        <w:tc>
          <w:tcPr>
            <w:tcW w:w="1924" w:type="dxa"/>
            <w:vAlign w:val="center"/>
          </w:tcPr>
          <w:p w:rsidR="00055C35" w:rsidRDefault="00254459">
            <w:pPr>
              <w:jc w:val="right"/>
            </w:pPr>
            <w:r>
              <w:rPr>
                <w:color w:val="000000"/>
                <w:sz w:val="24"/>
                <w:szCs w:val="24"/>
              </w:rPr>
              <w:t>261,000,000.00</w:t>
            </w:r>
          </w:p>
        </w:tc>
        <w:tc>
          <w:tcPr>
            <w:tcW w:w="1644" w:type="dxa"/>
            <w:vAlign w:val="center"/>
          </w:tcPr>
          <w:p w:rsidR="00055C35" w:rsidRDefault="00254459">
            <w:pPr>
              <w:jc w:val="right"/>
            </w:pPr>
            <w:r>
              <w:rPr>
                <w:color w:val="000000"/>
                <w:sz w:val="24"/>
                <w:szCs w:val="24"/>
              </w:rPr>
              <w:t>3.36</w:t>
            </w:r>
          </w:p>
        </w:tc>
      </w:tr>
      <w:tr w:rsidR="00055C35">
        <w:trPr>
          <w:jc w:val="center"/>
        </w:trPr>
        <w:tc>
          <w:tcPr>
            <w:tcW w:w="855" w:type="dxa"/>
            <w:vAlign w:val="center"/>
          </w:tcPr>
          <w:p w:rsidR="00055C35" w:rsidRDefault="00254459">
            <w:pPr>
              <w:jc w:val="center"/>
            </w:pPr>
            <w:r>
              <w:rPr>
                <w:color w:val="000000"/>
                <w:sz w:val="24"/>
                <w:szCs w:val="24"/>
              </w:rPr>
              <w:t>6</w:t>
            </w:r>
          </w:p>
        </w:tc>
        <w:tc>
          <w:tcPr>
            <w:tcW w:w="1334" w:type="dxa"/>
            <w:vAlign w:val="center"/>
          </w:tcPr>
          <w:p w:rsidR="00055C35" w:rsidRDefault="00254459">
            <w:pPr>
              <w:jc w:val="center"/>
            </w:pPr>
            <w:r>
              <w:rPr>
                <w:color w:val="000000"/>
                <w:sz w:val="24"/>
                <w:szCs w:val="24"/>
              </w:rPr>
              <w:t>000869</w:t>
            </w:r>
          </w:p>
        </w:tc>
        <w:tc>
          <w:tcPr>
            <w:tcW w:w="1777" w:type="dxa"/>
            <w:vAlign w:val="center"/>
          </w:tcPr>
          <w:p w:rsidR="00055C35" w:rsidRDefault="00254459">
            <w:pPr>
              <w:jc w:val="center"/>
            </w:pPr>
            <w:r>
              <w:rPr>
                <w:color w:val="000000"/>
                <w:sz w:val="24"/>
                <w:szCs w:val="24"/>
              </w:rPr>
              <w:t>张</w:t>
            </w:r>
            <w:r>
              <w:rPr>
                <w:color w:val="000000"/>
                <w:sz w:val="24"/>
                <w:szCs w:val="24"/>
              </w:rPr>
              <w:t xml:space="preserve">  </w:t>
            </w:r>
            <w:r>
              <w:rPr>
                <w:color w:val="000000"/>
                <w:sz w:val="24"/>
                <w:szCs w:val="24"/>
              </w:rPr>
              <w:t>裕Ａ</w:t>
            </w:r>
          </w:p>
        </w:tc>
        <w:tc>
          <w:tcPr>
            <w:tcW w:w="1334" w:type="dxa"/>
            <w:vAlign w:val="center"/>
          </w:tcPr>
          <w:p w:rsidR="00055C35" w:rsidRDefault="00254459">
            <w:pPr>
              <w:jc w:val="right"/>
            </w:pPr>
            <w:r>
              <w:rPr>
                <w:color w:val="000000"/>
                <w:sz w:val="24"/>
                <w:szCs w:val="24"/>
              </w:rPr>
              <w:t>8,009,270</w:t>
            </w:r>
          </w:p>
        </w:tc>
        <w:tc>
          <w:tcPr>
            <w:tcW w:w="1924" w:type="dxa"/>
            <w:vAlign w:val="center"/>
          </w:tcPr>
          <w:p w:rsidR="00055C35" w:rsidRDefault="00254459">
            <w:pPr>
              <w:jc w:val="right"/>
            </w:pPr>
            <w:r>
              <w:rPr>
                <w:color w:val="000000"/>
                <w:sz w:val="24"/>
                <w:szCs w:val="24"/>
              </w:rPr>
              <w:t>247,166,072.20</w:t>
            </w:r>
          </w:p>
        </w:tc>
        <w:tc>
          <w:tcPr>
            <w:tcW w:w="1644" w:type="dxa"/>
            <w:vAlign w:val="center"/>
          </w:tcPr>
          <w:p w:rsidR="00055C35" w:rsidRDefault="00254459">
            <w:pPr>
              <w:jc w:val="right"/>
            </w:pPr>
            <w:r>
              <w:rPr>
                <w:color w:val="000000"/>
                <w:sz w:val="24"/>
                <w:szCs w:val="24"/>
              </w:rPr>
              <w:t>3.18</w:t>
            </w:r>
          </w:p>
        </w:tc>
      </w:tr>
      <w:tr w:rsidR="00055C35">
        <w:trPr>
          <w:jc w:val="center"/>
        </w:trPr>
        <w:tc>
          <w:tcPr>
            <w:tcW w:w="855" w:type="dxa"/>
            <w:vAlign w:val="center"/>
          </w:tcPr>
          <w:p w:rsidR="00055C35" w:rsidRDefault="00254459">
            <w:pPr>
              <w:jc w:val="center"/>
            </w:pPr>
            <w:r>
              <w:rPr>
                <w:color w:val="000000"/>
                <w:sz w:val="24"/>
                <w:szCs w:val="24"/>
              </w:rPr>
              <w:t>7</w:t>
            </w:r>
          </w:p>
        </w:tc>
        <w:tc>
          <w:tcPr>
            <w:tcW w:w="1334" w:type="dxa"/>
            <w:vAlign w:val="center"/>
          </w:tcPr>
          <w:p w:rsidR="00055C35" w:rsidRDefault="00254459">
            <w:pPr>
              <w:jc w:val="center"/>
            </w:pPr>
            <w:r>
              <w:rPr>
                <w:color w:val="000000"/>
                <w:sz w:val="24"/>
                <w:szCs w:val="24"/>
              </w:rPr>
              <w:t>300347</w:t>
            </w:r>
          </w:p>
        </w:tc>
        <w:tc>
          <w:tcPr>
            <w:tcW w:w="1777" w:type="dxa"/>
            <w:vAlign w:val="center"/>
          </w:tcPr>
          <w:p w:rsidR="00055C35" w:rsidRDefault="00254459">
            <w:pPr>
              <w:jc w:val="center"/>
            </w:pPr>
            <w:r>
              <w:rPr>
                <w:color w:val="000000"/>
                <w:sz w:val="24"/>
                <w:szCs w:val="24"/>
              </w:rPr>
              <w:t>泰格医药</w:t>
            </w:r>
          </w:p>
        </w:tc>
        <w:tc>
          <w:tcPr>
            <w:tcW w:w="1334" w:type="dxa"/>
            <w:vAlign w:val="center"/>
          </w:tcPr>
          <w:p w:rsidR="00055C35" w:rsidRDefault="00254459">
            <w:pPr>
              <w:jc w:val="right"/>
            </w:pPr>
            <w:r>
              <w:rPr>
                <w:color w:val="000000"/>
                <w:sz w:val="24"/>
                <w:szCs w:val="24"/>
              </w:rPr>
              <w:t>7,202,641</w:t>
            </w:r>
          </w:p>
        </w:tc>
        <w:tc>
          <w:tcPr>
            <w:tcW w:w="1924" w:type="dxa"/>
            <w:vAlign w:val="center"/>
          </w:tcPr>
          <w:p w:rsidR="00055C35" w:rsidRDefault="00254459">
            <w:pPr>
              <w:jc w:val="right"/>
            </w:pPr>
            <w:r>
              <w:rPr>
                <w:color w:val="000000"/>
                <w:sz w:val="24"/>
                <w:szCs w:val="24"/>
              </w:rPr>
              <w:t>245,538,031.69</w:t>
            </w:r>
          </w:p>
        </w:tc>
        <w:tc>
          <w:tcPr>
            <w:tcW w:w="1644" w:type="dxa"/>
            <w:vAlign w:val="center"/>
          </w:tcPr>
          <w:p w:rsidR="00055C35" w:rsidRDefault="00254459">
            <w:pPr>
              <w:jc w:val="right"/>
            </w:pPr>
            <w:r>
              <w:rPr>
                <w:color w:val="000000"/>
                <w:sz w:val="24"/>
                <w:szCs w:val="24"/>
              </w:rPr>
              <w:t>3.16</w:t>
            </w:r>
          </w:p>
        </w:tc>
      </w:tr>
      <w:tr w:rsidR="00055C35">
        <w:trPr>
          <w:jc w:val="center"/>
        </w:trPr>
        <w:tc>
          <w:tcPr>
            <w:tcW w:w="855" w:type="dxa"/>
            <w:vAlign w:val="center"/>
          </w:tcPr>
          <w:p w:rsidR="00055C35" w:rsidRDefault="00254459">
            <w:pPr>
              <w:jc w:val="center"/>
            </w:pPr>
            <w:r>
              <w:rPr>
                <w:color w:val="000000"/>
                <w:sz w:val="24"/>
                <w:szCs w:val="24"/>
              </w:rPr>
              <w:t>8</w:t>
            </w:r>
          </w:p>
        </w:tc>
        <w:tc>
          <w:tcPr>
            <w:tcW w:w="1334" w:type="dxa"/>
            <w:vAlign w:val="center"/>
          </w:tcPr>
          <w:p w:rsidR="00055C35" w:rsidRDefault="00254459">
            <w:pPr>
              <w:jc w:val="center"/>
            </w:pPr>
            <w:r>
              <w:rPr>
                <w:color w:val="000000"/>
                <w:sz w:val="24"/>
                <w:szCs w:val="24"/>
              </w:rPr>
              <w:t>300026</w:t>
            </w:r>
          </w:p>
        </w:tc>
        <w:tc>
          <w:tcPr>
            <w:tcW w:w="1777" w:type="dxa"/>
            <w:vAlign w:val="center"/>
          </w:tcPr>
          <w:p w:rsidR="00055C35" w:rsidRDefault="00254459">
            <w:pPr>
              <w:jc w:val="center"/>
            </w:pPr>
            <w:r>
              <w:rPr>
                <w:color w:val="000000"/>
                <w:sz w:val="24"/>
                <w:szCs w:val="24"/>
              </w:rPr>
              <w:t>红日药业</w:t>
            </w:r>
          </w:p>
        </w:tc>
        <w:tc>
          <w:tcPr>
            <w:tcW w:w="1334" w:type="dxa"/>
            <w:vAlign w:val="center"/>
          </w:tcPr>
          <w:p w:rsidR="00055C35" w:rsidRDefault="00254459">
            <w:pPr>
              <w:jc w:val="right"/>
            </w:pPr>
            <w:r>
              <w:rPr>
                <w:color w:val="000000"/>
                <w:sz w:val="24"/>
                <w:szCs w:val="24"/>
              </w:rPr>
              <w:t>7,941,838</w:t>
            </w:r>
          </w:p>
        </w:tc>
        <w:tc>
          <w:tcPr>
            <w:tcW w:w="1924" w:type="dxa"/>
            <w:vAlign w:val="center"/>
          </w:tcPr>
          <w:p w:rsidR="00055C35" w:rsidRDefault="00254459">
            <w:pPr>
              <w:jc w:val="right"/>
            </w:pPr>
            <w:r>
              <w:rPr>
                <w:color w:val="000000"/>
                <w:sz w:val="24"/>
                <w:szCs w:val="24"/>
              </w:rPr>
              <w:t>232,934,108.54</w:t>
            </w:r>
          </w:p>
        </w:tc>
        <w:tc>
          <w:tcPr>
            <w:tcW w:w="1644" w:type="dxa"/>
            <w:vAlign w:val="center"/>
          </w:tcPr>
          <w:p w:rsidR="00055C35" w:rsidRDefault="00254459">
            <w:pPr>
              <w:jc w:val="right"/>
            </w:pPr>
            <w:r>
              <w:rPr>
                <w:color w:val="000000"/>
                <w:sz w:val="24"/>
                <w:szCs w:val="24"/>
              </w:rPr>
              <w:t>3.00</w:t>
            </w:r>
          </w:p>
        </w:tc>
      </w:tr>
      <w:tr w:rsidR="00055C35">
        <w:trPr>
          <w:jc w:val="center"/>
        </w:trPr>
        <w:tc>
          <w:tcPr>
            <w:tcW w:w="855" w:type="dxa"/>
            <w:vAlign w:val="center"/>
          </w:tcPr>
          <w:p w:rsidR="00055C35" w:rsidRDefault="00254459">
            <w:pPr>
              <w:jc w:val="center"/>
            </w:pPr>
            <w:r>
              <w:rPr>
                <w:color w:val="000000"/>
                <w:sz w:val="24"/>
                <w:szCs w:val="24"/>
              </w:rPr>
              <w:t>9</w:t>
            </w:r>
          </w:p>
        </w:tc>
        <w:tc>
          <w:tcPr>
            <w:tcW w:w="1334" w:type="dxa"/>
            <w:vAlign w:val="center"/>
          </w:tcPr>
          <w:p w:rsidR="00055C35" w:rsidRDefault="00254459">
            <w:pPr>
              <w:jc w:val="center"/>
            </w:pPr>
            <w:r>
              <w:rPr>
                <w:color w:val="000000"/>
                <w:sz w:val="24"/>
                <w:szCs w:val="24"/>
              </w:rPr>
              <w:t>300291</w:t>
            </w:r>
          </w:p>
        </w:tc>
        <w:tc>
          <w:tcPr>
            <w:tcW w:w="1777" w:type="dxa"/>
            <w:vAlign w:val="center"/>
          </w:tcPr>
          <w:p w:rsidR="00055C35" w:rsidRDefault="00254459">
            <w:pPr>
              <w:jc w:val="center"/>
            </w:pPr>
            <w:r>
              <w:rPr>
                <w:color w:val="000000"/>
                <w:sz w:val="24"/>
                <w:szCs w:val="24"/>
              </w:rPr>
              <w:t>华录百纳</w:t>
            </w:r>
          </w:p>
        </w:tc>
        <w:tc>
          <w:tcPr>
            <w:tcW w:w="1334" w:type="dxa"/>
            <w:vAlign w:val="center"/>
          </w:tcPr>
          <w:p w:rsidR="00055C35" w:rsidRDefault="00254459">
            <w:pPr>
              <w:jc w:val="right"/>
            </w:pPr>
            <w:r>
              <w:rPr>
                <w:color w:val="000000"/>
                <w:sz w:val="24"/>
                <w:szCs w:val="24"/>
              </w:rPr>
              <w:t>5,505,404</w:t>
            </w:r>
          </w:p>
        </w:tc>
        <w:tc>
          <w:tcPr>
            <w:tcW w:w="1924" w:type="dxa"/>
            <w:vAlign w:val="center"/>
          </w:tcPr>
          <w:p w:rsidR="00055C35" w:rsidRDefault="00254459">
            <w:pPr>
              <w:jc w:val="right"/>
            </w:pPr>
            <w:r>
              <w:rPr>
                <w:color w:val="000000"/>
                <w:sz w:val="24"/>
                <w:szCs w:val="24"/>
              </w:rPr>
              <w:t>219,115,079.20</w:t>
            </w:r>
          </w:p>
        </w:tc>
        <w:tc>
          <w:tcPr>
            <w:tcW w:w="1644" w:type="dxa"/>
            <w:vAlign w:val="center"/>
          </w:tcPr>
          <w:p w:rsidR="00055C35" w:rsidRDefault="00254459">
            <w:pPr>
              <w:jc w:val="right"/>
            </w:pPr>
            <w:r>
              <w:rPr>
                <w:color w:val="000000"/>
                <w:sz w:val="24"/>
                <w:szCs w:val="24"/>
              </w:rPr>
              <w:t>2.82</w:t>
            </w:r>
          </w:p>
        </w:tc>
      </w:tr>
      <w:tr w:rsidR="00055C35">
        <w:trPr>
          <w:jc w:val="center"/>
        </w:trPr>
        <w:tc>
          <w:tcPr>
            <w:tcW w:w="855" w:type="dxa"/>
            <w:vAlign w:val="center"/>
          </w:tcPr>
          <w:p w:rsidR="00055C35" w:rsidRDefault="00254459">
            <w:pPr>
              <w:jc w:val="center"/>
            </w:pPr>
            <w:r>
              <w:rPr>
                <w:color w:val="000000"/>
                <w:sz w:val="24"/>
                <w:szCs w:val="24"/>
              </w:rPr>
              <w:t>10</w:t>
            </w:r>
          </w:p>
        </w:tc>
        <w:tc>
          <w:tcPr>
            <w:tcW w:w="1334" w:type="dxa"/>
            <w:vAlign w:val="center"/>
          </w:tcPr>
          <w:p w:rsidR="00055C35" w:rsidRDefault="00254459">
            <w:pPr>
              <w:jc w:val="center"/>
            </w:pPr>
            <w:r>
              <w:rPr>
                <w:color w:val="000000"/>
                <w:sz w:val="24"/>
                <w:szCs w:val="24"/>
              </w:rPr>
              <w:t>002065</w:t>
            </w:r>
          </w:p>
        </w:tc>
        <w:tc>
          <w:tcPr>
            <w:tcW w:w="1777" w:type="dxa"/>
            <w:vAlign w:val="center"/>
          </w:tcPr>
          <w:p w:rsidR="00055C35" w:rsidRDefault="00254459">
            <w:pPr>
              <w:jc w:val="center"/>
            </w:pPr>
            <w:r>
              <w:rPr>
                <w:color w:val="000000"/>
                <w:sz w:val="24"/>
                <w:szCs w:val="24"/>
              </w:rPr>
              <w:t>东华软件</w:t>
            </w:r>
          </w:p>
        </w:tc>
        <w:tc>
          <w:tcPr>
            <w:tcW w:w="1334" w:type="dxa"/>
            <w:vAlign w:val="center"/>
          </w:tcPr>
          <w:p w:rsidR="00055C35" w:rsidRDefault="00254459">
            <w:pPr>
              <w:jc w:val="right"/>
            </w:pPr>
            <w:r>
              <w:rPr>
                <w:color w:val="000000"/>
                <w:sz w:val="24"/>
                <w:szCs w:val="24"/>
              </w:rPr>
              <w:t>10,045,582</w:t>
            </w:r>
          </w:p>
        </w:tc>
        <w:tc>
          <w:tcPr>
            <w:tcW w:w="1924" w:type="dxa"/>
            <w:vAlign w:val="center"/>
          </w:tcPr>
          <w:p w:rsidR="00055C35" w:rsidRDefault="00254459">
            <w:pPr>
              <w:jc w:val="right"/>
            </w:pPr>
            <w:r>
              <w:rPr>
                <w:color w:val="000000"/>
                <w:sz w:val="24"/>
                <w:szCs w:val="24"/>
              </w:rPr>
              <w:t>210,053,119.62</w:t>
            </w:r>
          </w:p>
        </w:tc>
        <w:tc>
          <w:tcPr>
            <w:tcW w:w="1644" w:type="dxa"/>
            <w:vAlign w:val="center"/>
          </w:tcPr>
          <w:p w:rsidR="00055C35" w:rsidRDefault="00254459">
            <w:pPr>
              <w:jc w:val="right"/>
            </w:pPr>
            <w:r>
              <w:rPr>
                <w:color w:val="000000"/>
                <w:sz w:val="24"/>
                <w:szCs w:val="24"/>
              </w:rPr>
              <w:t>2.70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250,580,000.00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250,580,000.00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1,959,355.20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252,539,355.20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55C35">
        <w:trPr>
          <w:jc w:val="center"/>
        </w:trPr>
        <w:tc>
          <w:tcPr>
            <w:tcW w:w="850" w:type="dxa"/>
            <w:vAlign w:val="center"/>
          </w:tcPr>
          <w:p w:rsidR="00055C35" w:rsidRDefault="00254459">
            <w:pPr>
              <w:jc w:val="center"/>
            </w:pPr>
            <w:r>
              <w:rPr>
                <w:color w:val="000000"/>
                <w:sz w:val="24"/>
                <w:szCs w:val="24"/>
              </w:rPr>
              <w:t>1</w:t>
            </w:r>
          </w:p>
        </w:tc>
        <w:tc>
          <w:tcPr>
            <w:tcW w:w="1475" w:type="dxa"/>
            <w:vAlign w:val="center"/>
          </w:tcPr>
          <w:p w:rsidR="00055C35" w:rsidRDefault="00254459">
            <w:pPr>
              <w:jc w:val="center"/>
            </w:pPr>
            <w:r>
              <w:rPr>
                <w:color w:val="000000"/>
                <w:sz w:val="24"/>
                <w:szCs w:val="24"/>
              </w:rPr>
              <w:t>140207</w:t>
            </w:r>
          </w:p>
        </w:tc>
        <w:tc>
          <w:tcPr>
            <w:tcW w:w="1769" w:type="dxa"/>
            <w:vAlign w:val="center"/>
          </w:tcPr>
          <w:p w:rsidR="00055C35" w:rsidRDefault="00254459">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055C35" w:rsidRDefault="00254459">
            <w:pPr>
              <w:jc w:val="right"/>
            </w:pPr>
            <w:r>
              <w:rPr>
                <w:color w:val="000000"/>
                <w:sz w:val="24"/>
                <w:szCs w:val="24"/>
              </w:rPr>
              <w:t>2,000,000</w:t>
            </w:r>
          </w:p>
        </w:tc>
        <w:tc>
          <w:tcPr>
            <w:tcW w:w="2150" w:type="dxa"/>
            <w:vAlign w:val="center"/>
          </w:tcPr>
          <w:p w:rsidR="00055C35" w:rsidRDefault="00254459">
            <w:pPr>
              <w:jc w:val="right"/>
            </w:pPr>
            <w:r>
              <w:rPr>
                <w:color w:val="000000"/>
                <w:sz w:val="24"/>
                <w:szCs w:val="24"/>
              </w:rPr>
              <w:t>200,460,000.00</w:t>
            </w:r>
          </w:p>
        </w:tc>
        <w:tc>
          <w:tcPr>
            <w:tcW w:w="1237" w:type="dxa"/>
            <w:vAlign w:val="center"/>
          </w:tcPr>
          <w:p w:rsidR="00055C35" w:rsidRDefault="00254459">
            <w:pPr>
              <w:jc w:val="right"/>
            </w:pPr>
            <w:r>
              <w:rPr>
                <w:color w:val="000000"/>
                <w:sz w:val="24"/>
                <w:szCs w:val="24"/>
              </w:rPr>
              <w:t>2.58</w:t>
            </w:r>
          </w:p>
        </w:tc>
      </w:tr>
      <w:tr w:rsidR="00055C35">
        <w:trPr>
          <w:jc w:val="center"/>
        </w:trPr>
        <w:tc>
          <w:tcPr>
            <w:tcW w:w="850" w:type="dxa"/>
            <w:vAlign w:val="center"/>
          </w:tcPr>
          <w:p w:rsidR="00055C35" w:rsidRDefault="00254459">
            <w:pPr>
              <w:jc w:val="center"/>
            </w:pPr>
            <w:r>
              <w:rPr>
                <w:color w:val="000000"/>
                <w:sz w:val="24"/>
                <w:szCs w:val="24"/>
              </w:rPr>
              <w:t>2</w:t>
            </w:r>
          </w:p>
        </w:tc>
        <w:tc>
          <w:tcPr>
            <w:tcW w:w="1475" w:type="dxa"/>
            <w:vAlign w:val="center"/>
          </w:tcPr>
          <w:p w:rsidR="00055C35" w:rsidRDefault="00254459">
            <w:pPr>
              <w:jc w:val="center"/>
            </w:pPr>
            <w:r>
              <w:rPr>
                <w:color w:val="000000"/>
                <w:sz w:val="24"/>
                <w:szCs w:val="24"/>
              </w:rPr>
              <w:t>140204</w:t>
            </w:r>
          </w:p>
        </w:tc>
        <w:tc>
          <w:tcPr>
            <w:tcW w:w="1769" w:type="dxa"/>
            <w:vAlign w:val="center"/>
          </w:tcPr>
          <w:p w:rsidR="00055C35" w:rsidRDefault="00254459">
            <w:pPr>
              <w:jc w:val="cente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055C35" w:rsidRDefault="00254459">
            <w:pPr>
              <w:jc w:val="right"/>
            </w:pPr>
            <w:r>
              <w:rPr>
                <w:color w:val="000000"/>
                <w:sz w:val="24"/>
                <w:szCs w:val="24"/>
              </w:rPr>
              <w:t>500,000</w:t>
            </w:r>
          </w:p>
        </w:tc>
        <w:tc>
          <w:tcPr>
            <w:tcW w:w="2150" w:type="dxa"/>
            <w:vAlign w:val="center"/>
          </w:tcPr>
          <w:p w:rsidR="00055C35" w:rsidRDefault="00254459">
            <w:pPr>
              <w:jc w:val="right"/>
            </w:pPr>
            <w:r>
              <w:rPr>
                <w:color w:val="000000"/>
                <w:sz w:val="24"/>
                <w:szCs w:val="24"/>
              </w:rPr>
              <w:t>50,120,000.00</w:t>
            </w:r>
          </w:p>
        </w:tc>
        <w:tc>
          <w:tcPr>
            <w:tcW w:w="1237" w:type="dxa"/>
            <w:vAlign w:val="center"/>
          </w:tcPr>
          <w:p w:rsidR="00055C35" w:rsidRDefault="00254459">
            <w:pPr>
              <w:jc w:val="right"/>
            </w:pPr>
            <w:r>
              <w:rPr>
                <w:color w:val="000000"/>
                <w:sz w:val="24"/>
                <w:szCs w:val="24"/>
              </w:rPr>
              <w:t>0.65</w:t>
            </w:r>
          </w:p>
        </w:tc>
      </w:tr>
      <w:tr w:rsidR="00055C35">
        <w:trPr>
          <w:jc w:val="center"/>
        </w:trPr>
        <w:tc>
          <w:tcPr>
            <w:tcW w:w="850" w:type="dxa"/>
            <w:vAlign w:val="center"/>
          </w:tcPr>
          <w:p w:rsidR="00055C35" w:rsidRDefault="00254459">
            <w:pPr>
              <w:jc w:val="center"/>
            </w:pPr>
            <w:r>
              <w:rPr>
                <w:color w:val="000000"/>
                <w:sz w:val="24"/>
                <w:szCs w:val="24"/>
              </w:rPr>
              <w:t>3</w:t>
            </w:r>
          </w:p>
        </w:tc>
        <w:tc>
          <w:tcPr>
            <w:tcW w:w="1475" w:type="dxa"/>
            <w:vAlign w:val="center"/>
          </w:tcPr>
          <w:p w:rsidR="00055C35" w:rsidRDefault="00254459">
            <w:pPr>
              <w:jc w:val="center"/>
            </w:pPr>
            <w:r>
              <w:rPr>
                <w:color w:val="000000"/>
                <w:sz w:val="24"/>
                <w:szCs w:val="24"/>
              </w:rPr>
              <w:t>113001</w:t>
            </w:r>
          </w:p>
        </w:tc>
        <w:tc>
          <w:tcPr>
            <w:tcW w:w="1769" w:type="dxa"/>
            <w:vAlign w:val="center"/>
          </w:tcPr>
          <w:p w:rsidR="00055C35" w:rsidRDefault="00254459">
            <w:pPr>
              <w:jc w:val="center"/>
            </w:pPr>
            <w:r>
              <w:rPr>
                <w:color w:val="000000"/>
                <w:sz w:val="24"/>
                <w:szCs w:val="24"/>
              </w:rPr>
              <w:t>中行转债</w:t>
            </w:r>
          </w:p>
        </w:tc>
        <w:tc>
          <w:tcPr>
            <w:tcW w:w="1387" w:type="dxa"/>
            <w:vAlign w:val="center"/>
          </w:tcPr>
          <w:p w:rsidR="00055C35" w:rsidRDefault="00254459">
            <w:pPr>
              <w:jc w:val="right"/>
            </w:pPr>
            <w:r>
              <w:rPr>
                <w:color w:val="000000"/>
                <w:sz w:val="24"/>
                <w:szCs w:val="24"/>
              </w:rPr>
              <w:t>18,920</w:t>
            </w:r>
          </w:p>
        </w:tc>
        <w:tc>
          <w:tcPr>
            <w:tcW w:w="2150" w:type="dxa"/>
            <w:vAlign w:val="center"/>
          </w:tcPr>
          <w:p w:rsidR="00055C35" w:rsidRDefault="00254459">
            <w:pPr>
              <w:jc w:val="right"/>
            </w:pPr>
            <w:r>
              <w:rPr>
                <w:color w:val="000000"/>
                <w:sz w:val="24"/>
                <w:szCs w:val="24"/>
              </w:rPr>
              <w:t>1,959,355.20</w:t>
            </w:r>
          </w:p>
        </w:tc>
        <w:tc>
          <w:tcPr>
            <w:tcW w:w="1237" w:type="dxa"/>
            <w:vAlign w:val="center"/>
          </w:tcPr>
          <w:p w:rsidR="00055C35" w:rsidRDefault="00254459">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2,308,160.72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7,776,849.84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6,414,082.58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2,339,879.82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18,838,972.96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55C35">
        <w:trPr>
          <w:jc w:val="center"/>
        </w:trPr>
        <w:tc>
          <w:tcPr>
            <w:tcW w:w="1883" w:type="dxa"/>
            <w:vAlign w:val="center"/>
          </w:tcPr>
          <w:p w:rsidR="00055C35" w:rsidRDefault="00254459">
            <w:pPr>
              <w:jc w:val="center"/>
            </w:pPr>
            <w:r>
              <w:rPr>
                <w:color w:val="000000"/>
                <w:sz w:val="24"/>
                <w:szCs w:val="24"/>
              </w:rPr>
              <w:t>1</w:t>
            </w:r>
          </w:p>
        </w:tc>
        <w:tc>
          <w:tcPr>
            <w:tcW w:w="1801" w:type="dxa"/>
            <w:vAlign w:val="center"/>
          </w:tcPr>
          <w:p w:rsidR="00055C35" w:rsidRDefault="00254459">
            <w:pPr>
              <w:jc w:val="center"/>
            </w:pPr>
            <w:r>
              <w:rPr>
                <w:color w:val="000000"/>
                <w:sz w:val="24"/>
                <w:szCs w:val="24"/>
              </w:rPr>
              <w:t>113001</w:t>
            </w:r>
          </w:p>
        </w:tc>
        <w:tc>
          <w:tcPr>
            <w:tcW w:w="1727" w:type="dxa"/>
            <w:vAlign w:val="center"/>
          </w:tcPr>
          <w:p w:rsidR="00055C35" w:rsidRDefault="00254459">
            <w:pPr>
              <w:jc w:val="center"/>
            </w:pPr>
            <w:r>
              <w:rPr>
                <w:color w:val="000000"/>
                <w:sz w:val="24"/>
                <w:szCs w:val="24"/>
              </w:rPr>
              <w:t>中行转债</w:t>
            </w:r>
          </w:p>
        </w:tc>
        <w:tc>
          <w:tcPr>
            <w:tcW w:w="1768" w:type="dxa"/>
            <w:vAlign w:val="center"/>
          </w:tcPr>
          <w:p w:rsidR="00055C35" w:rsidRDefault="00254459">
            <w:pPr>
              <w:jc w:val="right"/>
            </w:pPr>
            <w:r>
              <w:rPr>
                <w:color w:val="000000"/>
                <w:sz w:val="24"/>
                <w:szCs w:val="24"/>
              </w:rPr>
              <w:t>1,959,355.20</w:t>
            </w:r>
          </w:p>
        </w:tc>
        <w:tc>
          <w:tcPr>
            <w:tcW w:w="1689" w:type="dxa"/>
            <w:vAlign w:val="center"/>
          </w:tcPr>
          <w:p w:rsidR="00055C35" w:rsidRDefault="00254459">
            <w:pPr>
              <w:jc w:val="right"/>
            </w:pPr>
            <w:r>
              <w:rPr>
                <w:color w:val="000000"/>
                <w:sz w:val="24"/>
                <w:szCs w:val="24"/>
              </w:rPr>
              <w:t>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55C35">
        <w:trPr>
          <w:jc w:val="center"/>
        </w:trPr>
        <w:tc>
          <w:tcPr>
            <w:tcW w:w="1129" w:type="dxa"/>
            <w:vAlign w:val="center"/>
          </w:tcPr>
          <w:p w:rsidR="00055C35" w:rsidRDefault="00254459">
            <w:pPr>
              <w:jc w:val="center"/>
            </w:pPr>
            <w:r>
              <w:rPr>
                <w:color w:val="000000"/>
                <w:sz w:val="24"/>
                <w:szCs w:val="24"/>
              </w:rPr>
              <w:t>1</w:t>
            </w:r>
          </w:p>
        </w:tc>
        <w:tc>
          <w:tcPr>
            <w:tcW w:w="1356" w:type="dxa"/>
            <w:vAlign w:val="center"/>
          </w:tcPr>
          <w:p w:rsidR="00055C35" w:rsidRDefault="00254459">
            <w:pPr>
              <w:jc w:val="center"/>
            </w:pPr>
            <w:r>
              <w:rPr>
                <w:color w:val="000000"/>
                <w:sz w:val="24"/>
                <w:szCs w:val="24"/>
              </w:rPr>
              <w:t>002065</w:t>
            </w:r>
          </w:p>
        </w:tc>
        <w:tc>
          <w:tcPr>
            <w:tcW w:w="1355" w:type="dxa"/>
            <w:vAlign w:val="center"/>
          </w:tcPr>
          <w:p w:rsidR="00055C35" w:rsidRDefault="00254459">
            <w:pPr>
              <w:jc w:val="center"/>
            </w:pPr>
            <w:r>
              <w:rPr>
                <w:color w:val="000000"/>
                <w:sz w:val="24"/>
                <w:szCs w:val="24"/>
              </w:rPr>
              <w:t>东华软件</w:t>
            </w:r>
          </w:p>
        </w:tc>
        <w:tc>
          <w:tcPr>
            <w:tcW w:w="1880" w:type="dxa"/>
            <w:vAlign w:val="center"/>
          </w:tcPr>
          <w:p w:rsidR="00055C35" w:rsidRDefault="00254459">
            <w:pPr>
              <w:jc w:val="right"/>
            </w:pPr>
            <w:r>
              <w:rPr>
                <w:color w:val="000000"/>
                <w:sz w:val="24"/>
                <w:szCs w:val="24"/>
              </w:rPr>
              <w:t>210,053,119.62</w:t>
            </w:r>
          </w:p>
        </w:tc>
        <w:tc>
          <w:tcPr>
            <w:tcW w:w="1724" w:type="dxa"/>
            <w:vAlign w:val="center"/>
          </w:tcPr>
          <w:p w:rsidR="00055C35" w:rsidRDefault="00254459">
            <w:pPr>
              <w:jc w:val="right"/>
            </w:pPr>
            <w:r>
              <w:rPr>
                <w:color w:val="000000"/>
                <w:sz w:val="24"/>
                <w:szCs w:val="24"/>
              </w:rPr>
              <w:t>2.70</w:t>
            </w:r>
          </w:p>
        </w:tc>
        <w:tc>
          <w:tcPr>
            <w:tcW w:w="1424" w:type="dxa"/>
            <w:vAlign w:val="center"/>
          </w:tcPr>
          <w:p w:rsidR="00055C35" w:rsidRDefault="0025445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2,652,342,623.85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48,250,531.74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261,163,531.89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2,439,429,623.70</w:t>
            </w:r>
          </w:p>
        </w:tc>
      </w:tr>
    </w:tbl>
    <w:p w:rsidR="00055C35" w:rsidRDefault="0025445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E01E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9E01E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日起恢复按市场价格进行估值；本基金对其所持有的东华软件（证券代码：</w:t>
      </w:r>
      <w:r w:rsidRPr="00414345">
        <w:rPr>
          <w:color w:val="000000"/>
          <w:sz w:val="24"/>
          <w:szCs w:val="24"/>
        </w:rPr>
        <w:t>002065</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9E01E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55C35" w:rsidRDefault="0025445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、中国证监会批准交银施罗德成长股票证券投资基金募集的文件；</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、《交银施罗德成长股票证券投资基金基金合同》；</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、《交银施罗德成长股票证券投资基金招募说明书》；</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、《交银施罗德成长股票证券投资基金托管协议》；</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、关于募集交银施罗德成长股票证券投资基金之法律意见书；</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55C35" w:rsidRDefault="0025445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55C35" w:rsidRDefault="0025445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F41AE">
      <w:rPr>
        <w:kern w:val="0"/>
        <w:szCs w:val="21"/>
      </w:rPr>
      <w:fldChar w:fldCharType="begin"/>
    </w:r>
    <w:r>
      <w:rPr>
        <w:kern w:val="0"/>
        <w:szCs w:val="21"/>
      </w:rPr>
      <w:instrText xml:space="preserve"> PAGE </w:instrText>
    </w:r>
    <w:r w:rsidR="007F41AE">
      <w:rPr>
        <w:kern w:val="0"/>
        <w:szCs w:val="21"/>
      </w:rPr>
      <w:fldChar w:fldCharType="separate"/>
    </w:r>
    <w:r w:rsidR="000400F3">
      <w:rPr>
        <w:noProof/>
        <w:kern w:val="0"/>
        <w:szCs w:val="21"/>
      </w:rPr>
      <w:t>9</w:t>
    </w:r>
    <w:r w:rsidR="007F41AE">
      <w:rPr>
        <w:kern w:val="0"/>
        <w:szCs w:val="21"/>
      </w:rPr>
      <w:fldChar w:fldCharType="end"/>
    </w:r>
    <w:r>
      <w:rPr>
        <w:rFonts w:hint="eastAsia"/>
        <w:kern w:val="0"/>
        <w:szCs w:val="21"/>
      </w:rPr>
      <w:t>页共</w:t>
    </w:r>
    <w:r w:rsidR="007F41AE">
      <w:rPr>
        <w:kern w:val="0"/>
        <w:szCs w:val="21"/>
      </w:rPr>
      <w:fldChar w:fldCharType="begin"/>
    </w:r>
    <w:r>
      <w:rPr>
        <w:kern w:val="0"/>
        <w:szCs w:val="21"/>
      </w:rPr>
      <w:instrText xml:space="preserve"> NUMPAGES </w:instrText>
    </w:r>
    <w:r w:rsidR="007F41AE">
      <w:rPr>
        <w:kern w:val="0"/>
        <w:szCs w:val="21"/>
      </w:rPr>
      <w:fldChar w:fldCharType="separate"/>
    </w:r>
    <w:r w:rsidR="000400F3">
      <w:rPr>
        <w:noProof/>
        <w:kern w:val="0"/>
        <w:szCs w:val="21"/>
      </w:rPr>
      <w:t>12</w:t>
    </w:r>
    <w:r w:rsidR="007F41A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00F3"/>
    <w:rsid w:val="0004308C"/>
    <w:rsid w:val="00043852"/>
    <w:rsid w:val="000450DD"/>
    <w:rsid w:val="000463DE"/>
    <w:rsid w:val="00055C35"/>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54459"/>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7F41AE"/>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01E1"/>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138D54ED-FDE7-4E1D-8945-66EDDD2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6CB4-BADA-411E-A1A4-81299128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12</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538</cp:revision>
  <dcterms:created xsi:type="dcterms:W3CDTF">2012-10-16T06:07:00Z</dcterms:created>
  <dcterms:modified xsi:type="dcterms:W3CDTF">2014-10-21T03:12:00Z</dcterms:modified>
</cp:coreProperties>
</file>