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7D8A" w:rsidRDefault="00B67D8A">
      <w:pPr>
        <w:tabs>
          <w:tab w:val="left" w:pos="5580"/>
        </w:tabs>
        <w:spacing w:line="360" w:lineRule="auto"/>
        <w:jc w:val="center"/>
        <w:rPr>
          <w:rFonts w:ascii="宋体" w:hAnsi="宋体"/>
          <w:sz w:val="28"/>
          <w:szCs w:val="28"/>
        </w:rPr>
      </w:pPr>
    </w:p>
    <w:p w:rsidR="00B67D8A" w:rsidRDefault="00B67D8A">
      <w:pPr>
        <w:spacing w:line="360" w:lineRule="auto"/>
        <w:jc w:val="center"/>
        <w:rPr>
          <w:rFonts w:ascii="宋体" w:hAnsi="宋体"/>
          <w:sz w:val="28"/>
          <w:szCs w:val="28"/>
        </w:rPr>
      </w:pPr>
    </w:p>
    <w:p w:rsidR="00B67D8A" w:rsidRDefault="00B67D8A">
      <w:pPr>
        <w:spacing w:line="360" w:lineRule="auto"/>
        <w:jc w:val="center"/>
        <w:rPr>
          <w:rFonts w:ascii="宋体" w:hAnsi="宋体"/>
          <w:sz w:val="28"/>
          <w:szCs w:val="28"/>
        </w:rPr>
      </w:pPr>
    </w:p>
    <w:p w:rsidR="00B67D8A" w:rsidRDefault="00B67D8A">
      <w:pPr>
        <w:spacing w:line="360" w:lineRule="auto"/>
        <w:jc w:val="center"/>
        <w:rPr>
          <w:rFonts w:ascii="宋体" w:hAnsi="宋体"/>
          <w:sz w:val="28"/>
          <w:szCs w:val="28"/>
        </w:rPr>
      </w:pPr>
    </w:p>
    <w:p w:rsidR="00B67D8A" w:rsidRDefault="00772CAA">
      <w:pPr>
        <w:spacing w:line="360" w:lineRule="auto"/>
        <w:jc w:val="center"/>
        <w:rPr>
          <w:rFonts w:ascii="宋体" w:hAnsi="宋体"/>
          <w:sz w:val="32"/>
        </w:rPr>
      </w:pPr>
      <w:r>
        <w:rPr>
          <w:rFonts w:ascii="宋体" w:hAnsi="宋体"/>
          <w:noProof/>
        </w:rPr>
        <w:drawing>
          <wp:inline distT="0" distB="0" distL="0" distR="0">
            <wp:extent cx="4343400" cy="571500"/>
            <wp:effectExtent l="19050" t="0" r="0" b="0"/>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67D8A" w:rsidRDefault="00B67D8A">
      <w:pPr>
        <w:spacing w:line="360" w:lineRule="auto"/>
        <w:jc w:val="center"/>
        <w:rPr>
          <w:rFonts w:ascii="宋体" w:hAnsi="宋体"/>
          <w:b/>
          <w:sz w:val="28"/>
          <w:szCs w:val="28"/>
        </w:rPr>
      </w:pPr>
    </w:p>
    <w:p w:rsidR="00B67D8A" w:rsidRDefault="00B67D8A">
      <w:pPr>
        <w:spacing w:line="360" w:lineRule="auto"/>
        <w:jc w:val="center"/>
        <w:rPr>
          <w:rFonts w:ascii="宋体" w:hAnsi="宋体"/>
          <w:b/>
          <w:sz w:val="28"/>
          <w:szCs w:val="28"/>
        </w:rPr>
      </w:pPr>
    </w:p>
    <w:p w:rsidR="00B67D8A" w:rsidRDefault="00B67D8A">
      <w:pPr>
        <w:spacing w:line="360" w:lineRule="auto"/>
        <w:jc w:val="center"/>
        <w:rPr>
          <w:rFonts w:ascii="宋体" w:hAnsi="宋体"/>
          <w:b/>
          <w:sz w:val="28"/>
          <w:szCs w:val="28"/>
        </w:rPr>
      </w:pPr>
    </w:p>
    <w:p w:rsidR="00B67D8A" w:rsidRDefault="00B67D8A">
      <w:pPr>
        <w:adjustRightInd w:val="0"/>
        <w:snapToGrid w:val="0"/>
        <w:spacing w:line="360" w:lineRule="auto"/>
        <w:jc w:val="center"/>
        <w:rPr>
          <w:rFonts w:ascii="宋体" w:hAnsi="宋体"/>
          <w:b/>
          <w:sz w:val="44"/>
        </w:rPr>
      </w:pPr>
      <w:r>
        <w:rPr>
          <w:rFonts w:ascii="宋体" w:hAnsi="宋体" w:hint="eastAsia"/>
          <w:b/>
          <w:sz w:val="44"/>
        </w:rPr>
        <w:t>交银施罗德定期支付双</w:t>
      </w:r>
      <w:proofErr w:type="gramStart"/>
      <w:r>
        <w:rPr>
          <w:rFonts w:ascii="宋体" w:hAnsi="宋体" w:hint="eastAsia"/>
          <w:b/>
          <w:sz w:val="44"/>
        </w:rPr>
        <w:t>息平衡</w:t>
      </w:r>
      <w:proofErr w:type="gramEnd"/>
      <w:r>
        <w:rPr>
          <w:rFonts w:ascii="宋体" w:hAnsi="宋体" w:hint="eastAsia"/>
          <w:b/>
          <w:sz w:val="44"/>
        </w:rPr>
        <w:t>混合型</w:t>
      </w:r>
    </w:p>
    <w:p w:rsidR="00B67D8A" w:rsidRDefault="00B67D8A">
      <w:pPr>
        <w:adjustRightInd w:val="0"/>
        <w:snapToGrid w:val="0"/>
        <w:spacing w:line="360" w:lineRule="auto"/>
        <w:jc w:val="center"/>
        <w:rPr>
          <w:rFonts w:ascii="宋体" w:hAnsi="宋体"/>
          <w:b/>
          <w:sz w:val="44"/>
        </w:rPr>
      </w:pPr>
      <w:r>
        <w:rPr>
          <w:rFonts w:ascii="宋体" w:hAnsi="宋体" w:hint="eastAsia"/>
          <w:b/>
          <w:sz w:val="44"/>
        </w:rPr>
        <w:t>证券投资基金（更新）招募说明书</w:t>
      </w:r>
    </w:p>
    <w:p w:rsidR="00B67D8A" w:rsidRDefault="00B67D8A">
      <w:pPr>
        <w:spacing w:line="360" w:lineRule="auto"/>
        <w:jc w:val="center"/>
        <w:rPr>
          <w:rFonts w:ascii="宋体" w:hAnsi="宋体"/>
          <w:sz w:val="24"/>
        </w:rPr>
      </w:pPr>
    </w:p>
    <w:p w:rsidR="00B67D8A" w:rsidRDefault="00B67D8A">
      <w:pPr>
        <w:spacing w:line="360" w:lineRule="auto"/>
        <w:jc w:val="center"/>
        <w:rPr>
          <w:rFonts w:ascii="宋体" w:hAnsi="宋体"/>
          <w:b/>
          <w:sz w:val="24"/>
        </w:rPr>
      </w:pPr>
    </w:p>
    <w:p w:rsidR="00B67D8A" w:rsidRDefault="00B67D8A">
      <w:pPr>
        <w:jc w:val="center"/>
        <w:rPr>
          <w:rFonts w:eastAsia="黑体"/>
          <w:b/>
          <w:color w:val="000000"/>
          <w:sz w:val="24"/>
          <w:szCs w:val="28"/>
        </w:rPr>
      </w:pPr>
      <w:r>
        <w:rPr>
          <w:rFonts w:ascii="黑体" w:eastAsia="黑体" w:hint="eastAsia"/>
          <w:b/>
          <w:sz w:val="32"/>
          <w:szCs w:val="32"/>
        </w:rPr>
        <w:t>（2014年</w:t>
      </w:r>
      <w:r w:rsidR="00772CAA">
        <w:rPr>
          <w:rFonts w:ascii="黑体" w:eastAsia="黑体" w:hint="eastAsia"/>
          <w:b/>
          <w:sz w:val="32"/>
          <w:szCs w:val="32"/>
        </w:rPr>
        <w:t>第2</w:t>
      </w:r>
      <w:r>
        <w:rPr>
          <w:rFonts w:ascii="黑体" w:eastAsia="黑体" w:hint="eastAsia"/>
          <w:b/>
          <w:sz w:val="32"/>
          <w:szCs w:val="32"/>
        </w:rPr>
        <w:t>号）</w:t>
      </w:r>
    </w:p>
    <w:p w:rsidR="00B67D8A" w:rsidRDefault="00B67D8A">
      <w:pPr>
        <w:spacing w:line="360" w:lineRule="auto"/>
        <w:jc w:val="center"/>
        <w:rPr>
          <w:rFonts w:ascii="宋体" w:hAnsi="宋体"/>
          <w:b/>
          <w:sz w:val="28"/>
        </w:rPr>
      </w:pPr>
    </w:p>
    <w:p w:rsidR="00B67D8A" w:rsidRDefault="00B67D8A">
      <w:pPr>
        <w:spacing w:line="360" w:lineRule="auto"/>
        <w:jc w:val="center"/>
        <w:rPr>
          <w:rFonts w:ascii="宋体" w:hAnsi="宋体"/>
          <w:b/>
          <w:sz w:val="28"/>
        </w:rPr>
      </w:pPr>
    </w:p>
    <w:p w:rsidR="00B67D8A" w:rsidRDefault="00B67D8A">
      <w:pPr>
        <w:spacing w:line="360" w:lineRule="auto"/>
        <w:jc w:val="center"/>
        <w:rPr>
          <w:rFonts w:ascii="宋体" w:hAnsi="宋体"/>
          <w:b/>
          <w:sz w:val="28"/>
        </w:rPr>
      </w:pPr>
    </w:p>
    <w:p w:rsidR="00B67D8A" w:rsidRDefault="00B67D8A">
      <w:pPr>
        <w:spacing w:line="360" w:lineRule="auto"/>
        <w:jc w:val="center"/>
        <w:rPr>
          <w:rFonts w:ascii="宋体" w:hAnsi="宋体"/>
          <w:b/>
          <w:sz w:val="28"/>
        </w:rPr>
      </w:pPr>
    </w:p>
    <w:p w:rsidR="00B67D8A" w:rsidRDefault="00B67D8A">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rsidR="00B67D8A" w:rsidRDefault="00B67D8A">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rsidR="00B67D8A" w:rsidRDefault="00B67D8A">
      <w:pPr>
        <w:widowControl/>
        <w:spacing w:line="360" w:lineRule="auto"/>
        <w:jc w:val="center"/>
        <w:rPr>
          <w:rFonts w:ascii="宋体" w:hAnsi="宋体"/>
          <w:kern w:val="0"/>
        </w:rPr>
      </w:pPr>
    </w:p>
    <w:p w:rsidR="00B67D8A" w:rsidRDefault="00772CAA">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二〇一四年九月</w:t>
      </w:r>
    </w:p>
    <w:p w:rsidR="00B67D8A" w:rsidRDefault="00B67D8A">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B67D8A" w:rsidRDefault="00B67D8A">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B67D8A" w:rsidRDefault="00B67D8A">
      <w:pPr>
        <w:widowControl/>
        <w:adjustRightInd w:val="0"/>
        <w:snapToGrid w:val="0"/>
        <w:spacing w:line="360" w:lineRule="auto"/>
        <w:ind w:firstLineChars="200" w:firstLine="480"/>
        <w:rPr>
          <w:kern w:val="0"/>
          <w:sz w:val="24"/>
        </w:rPr>
      </w:pPr>
      <w:r>
        <w:rPr>
          <w:rFonts w:hAnsi="宋体"/>
          <w:kern w:val="0"/>
          <w:sz w:val="24"/>
        </w:rPr>
        <w:t>交银施罗德定期支付双</w:t>
      </w:r>
      <w:proofErr w:type="gramStart"/>
      <w:r>
        <w:rPr>
          <w:rFonts w:hAnsi="宋体"/>
          <w:kern w:val="0"/>
          <w:sz w:val="24"/>
        </w:rPr>
        <w:t>息平衡</w:t>
      </w:r>
      <w:proofErr w:type="gramEnd"/>
      <w:r>
        <w:rPr>
          <w:rFonts w:hAnsi="宋体"/>
          <w:kern w:val="0"/>
          <w:sz w:val="24"/>
        </w:rPr>
        <w:t>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合同于2013年9月4日正式生效。</w:t>
      </w:r>
    </w:p>
    <w:p w:rsidR="00B67D8A" w:rsidRDefault="00B67D8A">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67D8A" w:rsidRDefault="00B67D8A">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w:t>
      </w:r>
      <w:proofErr w:type="gramStart"/>
      <w:r>
        <w:rPr>
          <w:rFonts w:hint="eastAsia"/>
          <w:kern w:val="0"/>
          <w:sz w:val="24"/>
        </w:rPr>
        <w:t>年化现金</w:t>
      </w:r>
      <w:proofErr w:type="gramEnd"/>
      <w:r>
        <w:rPr>
          <w:rFonts w:hint="eastAsia"/>
          <w:kern w:val="0"/>
          <w:sz w:val="24"/>
        </w:rPr>
        <w:t>支付比率不代表基金实际投资收益率、定期支付被确认失败的风险、</w:t>
      </w:r>
      <w:proofErr w:type="gramStart"/>
      <w:r>
        <w:rPr>
          <w:rFonts w:hAnsi="宋体" w:hint="eastAsia"/>
          <w:sz w:val="24"/>
          <w:szCs w:val="24"/>
        </w:rPr>
        <w:t>年化现金</w:t>
      </w:r>
      <w:proofErr w:type="gramEnd"/>
      <w:r>
        <w:rPr>
          <w:rFonts w:hAnsi="宋体" w:hint="eastAsia"/>
          <w:sz w:val="24"/>
          <w:szCs w:val="24"/>
        </w:rPr>
        <w:t>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rsidR="00B67D8A" w:rsidRDefault="00B67D8A">
      <w:pPr>
        <w:widowControl/>
        <w:adjustRightInd w:val="0"/>
        <w:snapToGrid w:val="0"/>
        <w:spacing w:line="360" w:lineRule="auto"/>
        <w:ind w:firstLineChars="200" w:firstLine="480"/>
        <w:rPr>
          <w:sz w:val="24"/>
          <w:szCs w:val="18"/>
        </w:rPr>
      </w:pPr>
      <w:r>
        <w:rPr>
          <w:rFonts w:hint="eastAsia"/>
          <w:sz w:val="24"/>
          <w:szCs w:val="18"/>
        </w:rPr>
        <w:t>本基金按照基金合同的约定，每月定期</w:t>
      </w:r>
      <w:proofErr w:type="gramStart"/>
      <w:r>
        <w:rPr>
          <w:rFonts w:hint="eastAsia"/>
          <w:sz w:val="24"/>
          <w:szCs w:val="18"/>
        </w:rPr>
        <w:t>按照年化现金</w:t>
      </w:r>
      <w:proofErr w:type="gramEnd"/>
      <w:r>
        <w:rPr>
          <w:rFonts w:hint="eastAsia"/>
          <w:sz w:val="24"/>
          <w:szCs w:val="18"/>
        </w:rPr>
        <w:t>支付比率计算现金支付金额并通过自动赎回基金份额向基金份额持有人支付一定现金，但基金管理人不保证本基金一定盈利，也不保证最低收益，定期支付不等同于收益分配，</w:t>
      </w:r>
      <w:proofErr w:type="gramStart"/>
      <w:r>
        <w:rPr>
          <w:rFonts w:hint="eastAsia"/>
          <w:sz w:val="24"/>
          <w:szCs w:val="18"/>
        </w:rPr>
        <w:t>年化现金</w:t>
      </w:r>
      <w:proofErr w:type="gramEnd"/>
      <w:r>
        <w:rPr>
          <w:rFonts w:hint="eastAsia"/>
          <w:sz w:val="24"/>
          <w:szCs w:val="18"/>
        </w:rPr>
        <w:t>支付比率也不代表本基金的实际投资收益率。根据基金合同的约定，特定情形下并存在当期定期支付业务被确认失败的风险。基金管理人可以根据基金实际运作情况和市场环境的变化，在履行适当程序后对上述约定</w:t>
      </w:r>
      <w:proofErr w:type="gramStart"/>
      <w:r>
        <w:rPr>
          <w:rFonts w:hint="eastAsia"/>
          <w:sz w:val="24"/>
          <w:szCs w:val="18"/>
        </w:rPr>
        <w:t>的年化现金</w:t>
      </w:r>
      <w:proofErr w:type="gramEnd"/>
      <w:r>
        <w:rPr>
          <w:rFonts w:hint="eastAsia"/>
          <w:sz w:val="24"/>
          <w:szCs w:val="18"/>
        </w:rPr>
        <w:t>支付比率进行调整，并至少在调整前一个月公告，上述调整不须召开份额持有人大会。</w:t>
      </w:r>
    </w:p>
    <w:p w:rsidR="00B67D8A" w:rsidRDefault="00B67D8A">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rsidR="00B67D8A" w:rsidRDefault="00465D3C">
      <w:pPr>
        <w:widowControl/>
        <w:spacing w:line="360" w:lineRule="auto"/>
        <w:ind w:firstLineChars="200" w:firstLine="480"/>
        <w:rPr>
          <w:rFonts w:ascii="宋体" w:hAnsi="宋体"/>
          <w:kern w:val="0"/>
          <w:sz w:val="24"/>
        </w:rPr>
      </w:pPr>
      <w:r w:rsidRPr="00BA20C0">
        <w:rPr>
          <w:rFonts w:ascii="宋体" w:hAnsi="宋体" w:hint="eastAsia"/>
          <w:kern w:val="0"/>
          <w:sz w:val="24"/>
        </w:rPr>
        <w:t>本招募说明书所载内容截止日为</w:t>
      </w:r>
      <w:r w:rsidR="003B1D3E">
        <w:rPr>
          <w:rFonts w:ascii="宋体" w:hAnsi="宋体"/>
          <w:kern w:val="0"/>
          <w:sz w:val="24"/>
        </w:rPr>
        <w:t>2014年9</w:t>
      </w:r>
      <w:r w:rsidR="003B1D3E">
        <w:rPr>
          <w:rFonts w:ascii="宋体" w:hAnsi="宋体" w:hint="eastAsia"/>
          <w:kern w:val="0"/>
          <w:sz w:val="24"/>
        </w:rPr>
        <w:t>月</w:t>
      </w:r>
      <w:r w:rsidR="003B1D3E">
        <w:rPr>
          <w:rFonts w:ascii="宋体" w:hAnsi="宋体"/>
          <w:kern w:val="0"/>
          <w:sz w:val="24"/>
        </w:rPr>
        <w:t>4日</w:t>
      </w:r>
      <w:r w:rsidR="00B67D8A">
        <w:rPr>
          <w:rFonts w:ascii="宋体" w:hAnsi="宋体" w:hint="eastAsia"/>
          <w:kern w:val="0"/>
          <w:sz w:val="24"/>
        </w:rPr>
        <w:t>，有关财务数据和净值表现截止日为</w:t>
      </w:r>
      <w:r w:rsidR="00755EC5">
        <w:rPr>
          <w:rFonts w:ascii="宋体" w:hAnsi="宋体" w:hint="eastAsia"/>
          <w:kern w:val="0"/>
          <w:sz w:val="24"/>
        </w:rPr>
        <w:t>2014</w:t>
      </w:r>
      <w:r w:rsidR="00B67D8A">
        <w:rPr>
          <w:rFonts w:ascii="宋体" w:hAnsi="宋体" w:hint="eastAsia"/>
          <w:kern w:val="0"/>
          <w:sz w:val="24"/>
        </w:rPr>
        <w:t>年</w:t>
      </w:r>
      <w:r w:rsidR="00755EC5">
        <w:rPr>
          <w:rFonts w:ascii="宋体" w:hAnsi="宋体" w:hint="eastAsia"/>
          <w:kern w:val="0"/>
          <w:sz w:val="24"/>
        </w:rPr>
        <w:t>6</w:t>
      </w:r>
      <w:r w:rsidR="00B67D8A">
        <w:rPr>
          <w:rFonts w:ascii="宋体" w:hAnsi="宋体" w:hint="eastAsia"/>
          <w:kern w:val="0"/>
          <w:sz w:val="24"/>
        </w:rPr>
        <w:t>月</w:t>
      </w:r>
      <w:r w:rsidR="00755EC5">
        <w:rPr>
          <w:rFonts w:ascii="宋体" w:hAnsi="宋体" w:hint="eastAsia"/>
          <w:kern w:val="0"/>
          <w:sz w:val="24"/>
        </w:rPr>
        <w:t>30</w:t>
      </w:r>
      <w:r w:rsidR="00B67D8A">
        <w:rPr>
          <w:rFonts w:ascii="宋体" w:hAnsi="宋体" w:hint="eastAsia"/>
          <w:kern w:val="0"/>
          <w:sz w:val="24"/>
        </w:rPr>
        <w:t>日。本招募说明书所载的财务数据未经审计。</w:t>
      </w:r>
    </w:p>
    <w:p w:rsidR="00B67D8A" w:rsidRDefault="00B67D8A">
      <w:pPr>
        <w:widowControl/>
        <w:adjustRightInd w:val="0"/>
        <w:snapToGrid w:val="0"/>
        <w:spacing w:line="360" w:lineRule="auto"/>
        <w:ind w:firstLineChars="200" w:firstLine="480"/>
        <w:rPr>
          <w:rFonts w:ascii="宋体" w:hAnsi="宋体"/>
          <w:kern w:val="0"/>
          <w:sz w:val="24"/>
        </w:rPr>
      </w:pPr>
    </w:p>
    <w:p w:rsidR="00B67D8A" w:rsidRDefault="00B67D8A">
      <w:pPr>
        <w:widowControl/>
        <w:spacing w:line="360" w:lineRule="auto"/>
        <w:jc w:val="center"/>
        <w:rPr>
          <w:rFonts w:ascii="宋体" w:hAnsi="宋体"/>
          <w:b/>
          <w:kern w:val="0"/>
          <w:sz w:val="30"/>
        </w:rPr>
      </w:pPr>
      <w:r>
        <w:rPr>
          <w:rFonts w:ascii="宋体" w:hAnsi="宋体"/>
          <w:kern w:val="0"/>
          <w:sz w:val="30"/>
        </w:rPr>
        <w:br w:type="page"/>
      </w:r>
      <w:r>
        <w:rPr>
          <w:rFonts w:ascii="宋体" w:hAnsi="宋体"/>
          <w:b/>
          <w:kern w:val="0"/>
          <w:sz w:val="30"/>
        </w:rPr>
        <w:lastRenderedPageBreak/>
        <w:t>目 录</w:t>
      </w:r>
    </w:p>
    <w:bookmarkStart w:id="0" w:name="_Toc109537379"/>
    <w:p w:rsidR="00B67D8A" w:rsidRDefault="00232C13">
      <w:pPr>
        <w:pStyle w:val="10"/>
        <w:rPr>
          <w:rFonts w:ascii="Calibri" w:eastAsia="宋体" w:hAnsi="Calibri"/>
          <w:noProof/>
          <w:sz w:val="21"/>
          <w:szCs w:val="22"/>
        </w:rPr>
      </w:pPr>
      <w:r>
        <w:rPr>
          <w:rFonts w:ascii="宋体" w:eastAsia="宋体"/>
          <w:kern w:val="0"/>
        </w:rPr>
        <w:fldChar w:fldCharType="begin"/>
      </w:r>
      <w:r w:rsidR="00B67D8A">
        <w:rPr>
          <w:rFonts w:ascii="宋体" w:eastAsia="宋体"/>
          <w:kern w:val="0"/>
        </w:rPr>
        <w:instrText xml:space="preserve"> TOC \o "1-1" \h \z \u </w:instrText>
      </w:r>
      <w:r>
        <w:rPr>
          <w:rFonts w:ascii="宋体" w:eastAsia="宋体"/>
          <w:kern w:val="0"/>
        </w:rPr>
        <w:fldChar w:fldCharType="separate"/>
      </w:r>
      <w:hyperlink w:anchor="_Toc382321312" w:history="1">
        <w:r w:rsidR="00B67D8A">
          <w:rPr>
            <w:rStyle w:val="a7"/>
            <w:rFonts w:ascii="宋体" w:hint="eastAsia"/>
            <w:b/>
            <w:noProof/>
            <w:kern w:val="0"/>
          </w:rPr>
          <w:t>一、绪言</w:t>
        </w:r>
        <w:r w:rsidR="00B67D8A">
          <w:rPr>
            <w:noProof/>
          </w:rPr>
          <w:tab/>
        </w:r>
        <w:r>
          <w:rPr>
            <w:noProof/>
          </w:rPr>
          <w:fldChar w:fldCharType="begin"/>
        </w:r>
        <w:r w:rsidR="00B67D8A">
          <w:rPr>
            <w:noProof/>
          </w:rPr>
          <w:instrText xml:space="preserve"> PAGEREF _Toc382321312 \h </w:instrText>
        </w:r>
        <w:r>
          <w:rPr>
            <w:noProof/>
          </w:rPr>
        </w:r>
        <w:r>
          <w:rPr>
            <w:noProof/>
          </w:rPr>
          <w:fldChar w:fldCharType="separate"/>
        </w:r>
        <w:r w:rsidR="005B0479">
          <w:rPr>
            <w:noProof/>
          </w:rPr>
          <w:t>5</w:t>
        </w:r>
        <w:r>
          <w:rPr>
            <w:noProof/>
          </w:rPr>
          <w:fldChar w:fldCharType="end"/>
        </w:r>
      </w:hyperlink>
    </w:p>
    <w:p w:rsidR="00B67D8A" w:rsidRDefault="00F07ADE">
      <w:pPr>
        <w:pStyle w:val="10"/>
        <w:rPr>
          <w:rFonts w:ascii="Calibri" w:eastAsia="宋体" w:hAnsi="Calibri"/>
          <w:noProof/>
          <w:sz w:val="21"/>
          <w:szCs w:val="22"/>
        </w:rPr>
      </w:pPr>
      <w:hyperlink w:anchor="_Toc382321313" w:history="1">
        <w:r w:rsidR="00B67D8A">
          <w:rPr>
            <w:rStyle w:val="a7"/>
            <w:rFonts w:ascii="宋体" w:hint="eastAsia"/>
            <w:b/>
            <w:noProof/>
            <w:kern w:val="0"/>
          </w:rPr>
          <w:t>二、释义</w:t>
        </w:r>
        <w:r w:rsidR="00B67D8A">
          <w:rPr>
            <w:noProof/>
          </w:rPr>
          <w:tab/>
        </w:r>
        <w:r w:rsidR="00232C13">
          <w:rPr>
            <w:noProof/>
          </w:rPr>
          <w:fldChar w:fldCharType="begin"/>
        </w:r>
        <w:r w:rsidR="00B67D8A">
          <w:rPr>
            <w:noProof/>
          </w:rPr>
          <w:instrText xml:space="preserve"> PAGEREF _Toc382321313 \h </w:instrText>
        </w:r>
        <w:r w:rsidR="00232C13">
          <w:rPr>
            <w:noProof/>
          </w:rPr>
        </w:r>
        <w:r w:rsidR="00232C13">
          <w:rPr>
            <w:noProof/>
          </w:rPr>
          <w:fldChar w:fldCharType="separate"/>
        </w:r>
        <w:r w:rsidR="005B0479">
          <w:rPr>
            <w:noProof/>
          </w:rPr>
          <w:t>5</w:t>
        </w:r>
        <w:r w:rsidR="00232C13">
          <w:rPr>
            <w:noProof/>
          </w:rPr>
          <w:fldChar w:fldCharType="end"/>
        </w:r>
      </w:hyperlink>
    </w:p>
    <w:p w:rsidR="00B67D8A" w:rsidRDefault="00F07ADE">
      <w:pPr>
        <w:pStyle w:val="10"/>
        <w:rPr>
          <w:rFonts w:ascii="Calibri" w:eastAsia="宋体" w:hAnsi="Calibri"/>
          <w:noProof/>
          <w:sz w:val="21"/>
          <w:szCs w:val="22"/>
        </w:rPr>
      </w:pPr>
      <w:hyperlink w:anchor="_Toc382321314" w:history="1">
        <w:r w:rsidR="00B67D8A">
          <w:rPr>
            <w:rStyle w:val="a7"/>
            <w:rFonts w:ascii="宋体" w:hint="eastAsia"/>
            <w:b/>
            <w:noProof/>
            <w:kern w:val="0"/>
          </w:rPr>
          <w:t>三、基金管理人</w:t>
        </w:r>
        <w:r w:rsidR="00B67D8A">
          <w:rPr>
            <w:noProof/>
          </w:rPr>
          <w:tab/>
        </w:r>
        <w:r w:rsidR="00232C13">
          <w:rPr>
            <w:noProof/>
          </w:rPr>
          <w:fldChar w:fldCharType="begin"/>
        </w:r>
        <w:r w:rsidR="00B67D8A">
          <w:rPr>
            <w:noProof/>
          </w:rPr>
          <w:instrText xml:space="preserve"> PAGEREF _Toc382321314 \h </w:instrText>
        </w:r>
        <w:r w:rsidR="00232C13">
          <w:rPr>
            <w:noProof/>
          </w:rPr>
        </w:r>
        <w:r w:rsidR="00232C13">
          <w:rPr>
            <w:noProof/>
          </w:rPr>
          <w:fldChar w:fldCharType="separate"/>
        </w:r>
        <w:r w:rsidR="005B0479">
          <w:rPr>
            <w:noProof/>
          </w:rPr>
          <w:t>9</w:t>
        </w:r>
        <w:r w:rsidR="00232C13">
          <w:rPr>
            <w:noProof/>
          </w:rPr>
          <w:fldChar w:fldCharType="end"/>
        </w:r>
      </w:hyperlink>
    </w:p>
    <w:p w:rsidR="00B67D8A" w:rsidRDefault="00F07ADE">
      <w:pPr>
        <w:pStyle w:val="10"/>
        <w:rPr>
          <w:rFonts w:ascii="Calibri" w:eastAsia="宋体" w:hAnsi="Calibri"/>
          <w:noProof/>
          <w:sz w:val="21"/>
          <w:szCs w:val="22"/>
        </w:rPr>
      </w:pPr>
      <w:hyperlink w:anchor="_Toc382321315" w:history="1">
        <w:r w:rsidR="00B67D8A">
          <w:rPr>
            <w:rStyle w:val="a7"/>
            <w:rFonts w:ascii="宋体" w:hint="eastAsia"/>
            <w:b/>
            <w:noProof/>
            <w:kern w:val="0"/>
          </w:rPr>
          <w:t>四、基金托管人</w:t>
        </w:r>
        <w:r w:rsidR="00B67D8A">
          <w:rPr>
            <w:noProof/>
          </w:rPr>
          <w:tab/>
        </w:r>
        <w:r w:rsidR="00232C13">
          <w:rPr>
            <w:noProof/>
          </w:rPr>
          <w:fldChar w:fldCharType="begin"/>
        </w:r>
        <w:r w:rsidR="00B67D8A">
          <w:rPr>
            <w:noProof/>
          </w:rPr>
          <w:instrText xml:space="preserve"> PAGEREF _Toc382321315 \h </w:instrText>
        </w:r>
        <w:r w:rsidR="00232C13">
          <w:rPr>
            <w:noProof/>
          </w:rPr>
        </w:r>
        <w:r w:rsidR="00232C13">
          <w:rPr>
            <w:noProof/>
          </w:rPr>
          <w:fldChar w:fldCharType="separate"/>
        </w:r>
        <w:r w:rsidR="005B0479">
          <w:rPr>
            <w:noProof/>
          </w:rPr>
          <w:t>17</w:t>
        </w:r>
        <w:r w:rsidR="00232C13">
          <w:rPr>
            <w:noProof/>
          </w:rPr>
          <w:fldChar w:fldCharType="end"/>
        </w:r>
      </w:hyperlink>
    </w:p>
    <w:p w:rsidR="00B67D8A" w:rsidRDefault="00F07ADE">
      <w:pPr>
        <w:pStyle w:val="10"/>
        <w:rPr>
          <w:rFonts w:ascii="Calibri" w:eastAsia="宋体" w:hAnsi="Calibri"/>
          <w:noProof/>
          <w:sz w:val="21"/>
          <w:szCs w:val="22"/>
        </w:rPr>
      </w:pPr>
      <w:hyperlink w:anchor="_Toc382321316" w:history="1">
        <w:r w:rsidR="00B67D8A">
          <w:rPr>
            <w:rStyle w:val="a7"/>
            <w:rFonts w:ascii="宋体" w:hint="eastAsia"/>
            <w:b/>
            <w:noProof/>
            <w:kern w:val="0"/>
          </w:rPr>
          <w:t>五、相关服务机构</w:t>
        </w:r>
        <w:r w:rsidR="00B67D8A">
          <w:rPr>
            <w:noProof/>
          </w:rPr>
          <w:tab/>
        </w:r>
        <w:r w:rsidR="00232C13">
          <w:rPr>
            <w:noProof/>
          </w:rPr>
          <w:fldChar w:fldCharType="begin"/>
        </w:r>
        <w:r w:rsidR="00B67D8A">
          <w:rPr>
            <w:noProof/>
          </w:rPr>
          <w:instrText xml:space="preserve"> PAGEREF _Toc382321316 \h </w:instrText>
        </w:r>
        <w:r w:rsidR="00232C13">
          <w:rPr>
            <w:noProof/>
          </w:rPr>
        </w:r>
        <w:r w:rsidR="00232C13">
          <w:rPr>
            <w:noProof/>
          </w:rPr>
          <w:fldChar w:fldCharType="separate"/>
        </w:r>
        <w:r w:rsidR="005B0479">
          <w:rPr>
            <w:noProof/>
          </w:rPr>
          <w:t>24</w:t>
        </w:r>
        <w:r w:rsidR="00232C13">
          <w:rPr>
            <w:noProof/>
          </w:rPr>
          <w:fldChar w:fldCharType="end"/>
        </w:r>
      </w:hyperlink>
    </w:p>
    <w:p w:rsidR="00B67D8A" w:rsidRDefault="00F07ADE">
      <w:pPr>
        <w:pStyle w:val="10"/>
        <w:rPr>
          <w:rFonts w:ascii="Calibri" w:eastAsia="宋体" w:hAnsi="Calibri"/>
          <w:noProof/>
          <w:sz w:val="21"/>
          <w:szCs w:val="22"/>
        </w:rPr>
      </w:pPr>
      <w:hyperlink w:anchor="_Toc382321317" w:history="1">
        <w:r w:rsidR="00B67D8A">
          <w:rPr>
            <w:rStyle w:val="a7"/>
            <w:rFonts w:ascii="宋体" w:hint="eastAsia"/>
            <w:b/>
            <w:noProof/>
            <w:kern w:val="0"/>
          </w:rPr>
          <w:t>六、基金的募集</w:t>
        </w:r>
        <w:r w:rsidR="00B67D8A">
          <w:rPr>
            <w:noProof/>
          </w:rPr>
          <w:tab/>
        </w:r>
        <w:r w:rsidR="00232C13">
          <w:rPr>
            <w:noProof/>
          </w:rPr>
          <w:fldChar w:fldCharType="begin"/>
        </w:r>
        <w:r w:rsidR="00B67D8A">
          <w:rPr>
            <w:noProof/>
          </w:rPr>
          <w:instrText xml:space="preserve"> PAGEREF _Toc382321317 \h </w:instrText>
        </w:r>
        <w:r w:rsidR="00232C13">
          <w:rPr>
            <w:noProof/>
          </w:rPr>
        </w:r>
        <w:r w:rsidR="00232C13">
          <w:rPr>
            <w:noProof/>
          </w:rPr>
          <w:fldChar w:fldCharType="separate"/>
        </w:r>
        <w:r w:rsidR="005B0479">
          <w:rPr>
            <w:noProof/>
          </w:rPr>
          <w:t>36</w:t>
        </w:r>
        <w:r w:rsidR="00232C13">
          <w:rPr>
            <w:noProof/>
          </w:rPr>
          <w:fldChar w:fldCharType="end"/>
        </w:r>
      </w:hyperlink>
    </w:p>
    <w:p w:rsidR="00B67D8A" w:rsidRDefault="00F07ADE">
      <w:pPr>
        <w:pStyle w:val="10"/>
        <w:rPr>
          <w:rFonts w:ascii="Calibri" w:eastAsia="宋体" w:hAnsi="Calibri"/>
          <w:noProof/>
          <w:sz w:val="21"/>
          <w:szCs w:val="22"/>
        </w:rPr>
      </w:pPr>
      <w:hyperlink w:anchor="_Toc382321318" w:history="1">
        <w:r w:rsidR="00B67D8A">
          <w:rPr>
            <w:rStyle w:val="a7"/>
            <w:rFonts w:ascii="宋体" w:hint="eastAsia"/>
            <w:b/>
            <w:noProof/>
            <w:kern w:val="0"/>
          </w:rPr>
          <w:t>七、基金合同的生效</w:t>
        </w:r>
        <w:r w:rsidR="00B67D8A">
          <w:rPr>
            <w:noProof/>
          </w:rPr>
          <w:tab/>
        </w:r>
        <w:r w:rsidR="00232C13">
          <w:rPr>
            <w:noProof/>
          </w:rPr>
          <w:fldChar w:fldCharType="begin"/>
        </w:r>
        <w:r w:rsidR="00B67D8A">
          <w:rPr>
            <w:noProof/>
          </w:rPr>
          <w:instrText xml:space="preserve"> PAGEREF _Toc382321318 \h </w:instrText>
        </w:r>
        <w:r w:rsidR="00232C13">
          <w:rPr>
            <w:noProof/>
          </w:rPr>
        </w:r>
        <w:r w:rsidR="00232C13">
          <w:rPr>
            <w:noProof/>
          </w:rPr>
          <w:fldChar w:fldCharType="separate"/>
        </w:r>
        <w:r w:rsidR="005B0479">
          <w:rPr>
            <w:noProof/>
          </w:rPr>
          <w:t>37</w:t>
        </w:r>
        <w:r w:rsidR="00232C13">
          <w:rPr>
            <w:noProof/>
          </w:rPr>
          <w:fldChar w:fldCharType="end"/>
        </w:r>
      </w:hyperlink>
    </w:p>
    <w:p w:rsidR="00B67D8A" w:rsidRDefault="00F07ADE">
      <w:pPr>
        <w:pStyle w:val="10"/>
        <w:rPr>
          <w:rFonts w:ascii="Calibri" w:eastAsia="宋体" w:hAnsi="Calibri"/>
          <w:noProof/>
          <w:sz w:val="21"/>
          <w:szCs w:val="22"/>
        </w:rPr>
      </w:pPr>
      <w:hyperlink w:anchor="_Toc382321319" w:history="1">
        <w:r w:rsidR="00B67D8A">
          <w:rPr>
            <w:rStyle w:val="a7"/>
            <w:rFonts w:ascii="宋体" w:hint="eastAsia"/>
            <w:b/>
            <w:noProof/>
            <w:kern w:val="0"/>
          </w:rPr>
          <w:t>八、基金份额的申购与赎回</w:t>
        </w:r>
        <w:r w:rsidR="00B67D8A">
          <w:rPr>
            <w:noProof/>
          </w:rPr>
          <w:tab/>
        </w:r>
        <w:r w:rsidR="00232C13">
          <w:rPr>
            <w:noProof/>
          </w:rPr>
          <w:fldChar w:fldCharType="begin"/>
        </w:r>
        <w:r w:rsidR="00B67D8A">
          <w:rPr>
            <w:noProof/>
          </w:rPr>
          <w:instrText xml:space="preserve"> PAGEREF _Toc382321319 \h </w:instrText>
        </w:r>
        <w:r w:rsidR="00232C13">
          <w:rPr>
            <w:noProof/>
          </w:rPr>
        </w:r>
        <w:r w:rsidR="00232C13">
          <w:rPr>
            <w:noProof/>
          </w:rPr>
          <w:fldChar w:fldCharType="separate"/>
        </w:r>
        <w:r w:rsidR="005B0479">
          <w:rPr>
            <w:noProof/>
          </w:rPr>
          <w:t>37</w:t>
        </w:r>
        <w:r w:rsidR="00232C13">
          <w:rPr>
            <w:noProof/>
          </w:rPr>
          <w:fldChar w:fldCharType="end"/>
        </w:r>
      </w:hyperlink>
    </w:p>
    <w:p w:rsidR="00B67D8A" w:rsidRDefault="00F07ADE">
      <w:pPr>
        <w:pStyle w:val="10"/>
        <w:rPr>
          <w:rFonts w:ascii="Calibri" w:eastAsia="宋体" w:hAnsi="Calibri"/>
          <w:noProof/>
          <w:sz w:val="21"/>
          <w:szCs w:val="22"/>
        </w:rPr>
      </w:pPr>
      <w:hyperlink w:anchor="_Toc382321320" w:history="1">
        <w:r w:rsidR="00B67D8A">
          <w:rPr>
            <w:rStyle w:val="a7"/>
            <w:rFonts w:ascii="宋体" w:hint="eastAsia"/>
            <w:b/>
            <w:noProof/>
            <w:kern w:val="0"/>
          </w:rPr>
          <w:t>九、基金的转换</w:t>
        </w:r>
        <w:r w:rsidR="00B67D8A">
          <w:rPr>
            <w:noProof/>
          </w:rPr>
          <w:tab/>
        </w:r>
        <w:r w:rsidR="00232C13">
          <w:rPr>
            <w:noProof/>
          </w:rPr>
          <w:fldChar w:fldCharType="begin"/>
        </w:r>
        <w:r w:rsidR="00B67D8A">
          <w:rPr>
            <w:noProof/>
          </w:rPr>
          <w:instrText xml:space="preserve"> PAGEREF _Toc382321320 \h </w:instrText>
        </w:r>
        <w:r w:rsidR="00232C13">
          <w:rPr>
            <w:noProof/>
          </w:rPr>
        </w:r>
        <w:r w:rsidR="00232C13">
          <w:rPr>
            <w:noProof/>
          </w:rPr>
          <w:fldChar w:fldCharType="separate"/>
        </w:r>
        <w:r w:rsidR="005B0479">
          <w:rPr>
            <w:noProof/>
          </w:rPr>
          <w:t>48</w:t>
        </w:r>
        <w:r w:rsidR="00232C13">
          <w:rPr>
            <w:noProof/>
          </w:rPr>
          <w:fldChar w:fldCharType="end"/>
        </w:r>
      </w:hyperlink>
    </w:p>
    <w:p w:rsidR="00B67D8A" w:rsidRDefault="00F07ADE">
      <w:pPr>
        <w:pStyle w:val="10"/>
        <w:rPr>
          <w:rFonts w:ascii="Calibri" w:eastAsia="宋体" w:hAnsi="Calibri"/>
          <w:noProof/>
          <w:sz w:val="21"/>
          <w:szCs w:val="22"/>
        </w:rPr>
      </w:pPr>
      <w:hyperlink w:anchor="_Toc382321321" w:history="1">
        <w:r w:rsidR="00B67D8A">
          <w:rPr>
            <w:rStyle w:val="a7"/>
            <w:rFonts w:ascii="宋体" w:hint="eastAsia"/>
            <w:b/>
            <w:noProof/>
            <w:kern w:val="0"/>
          </w:rPr>
          <w:t>十、基金的定期支付</w:t>
        </w:r>
        <w:r w:rsidR="00B67D8A">
          <w:rPr>
            <w:noProof/>
          </w:rPr>
          <w:tab/>
        </w:r>
        <w:r w:rsidR="00232C13">
          <w:rPr>
            <w:noProof/>
          </w:rPr>
          <w:fldChar w:fldCharType="begin"/>
        </w:r>
        <w:r w:rsidR="00B67D8A">
          <w:rPr>
            <w:noProof/>
          </w:rPr>
          <w:instrText xml:space="preserve"> PAGEREF _Toc382321321 \h </w:instrText>
        </w:r>
        <w:r w:rsidR="00232C13">
          <w:rPr>
            <w:noProof/>
          </w:rPr>
        </w:r>
        <w:r w:rsidR="00232C13">
          <w:rPr>
            <w:noProof/>
          </w:rPr>
          <w:fldChar w:fldCharType="separate"/>
        </w:r>
        <w:r w:rsidR="005B0479">
          <w:rPr>
            <w:noProof/>
          </w:rPr>
          <w:t>56</w:t>
        </w:r>
        <w:r w:rsidR="00232C13">
          <w:rPr>
            <w:noProof/>
          </w:rPr>
          <w:fldChar w:fldCharType="end"/>
        </w:r>
      </w:hyperlink>
    </w:p>
    <w:p w:rsidR="00B67D8A" w:rsidRDefault="00F07ADE">
      <w:pPr>
        <w:pStyle w:val="10"/>
        <w:rPr>
          <w:rFonts w:ascii="Calibri" w:eastAsia="宋体" w:hAnsi="Calibri"/>
          <w:noProof/>
          <w:sz w:val="21"/>
          <w:szCs w:val="22"/>
        </w:rPr>
      </w:pPr>
      <w:hyperlink w:anchor="_Toc382321322" w:history="1">
        <w:r w:rsidR="00B67D8A">
          <w:rPr>
            <w:rStyle w:val="a7"/>
            <w:rFonts w:ascii="宋体" w:hint="eastAsia"/>
            <w:b/>
            <w:noProof/>
            <w:kern w:val="0"/>
          </w:rPr>
          <w:t>十一、基金的投资</w:t>
        </w:r>
        <w:r w:rsidR="00B67D8A">
          <w:rPr>
            <w:noProof/>
          </w:rPr>
          <w:tab/>
        </w:r>
        <w:r w:rsidR="00232C13">
          <w:rPr>
            <w:noProof/>
          </w:rPr>
          <w:fldChar w:fldCharType="begin"/>
        </w:r>
        <w:r w:rsidR="00B67D8A">
          <w:rPr>
            <w:noProof/>
          </w:rPr>
          <w:instrText xml:space="preserve"> PAGEREF _Toc382321322 \h </w:instrText>
        </w:r>
        <w:r w:rsidR="00232C13">
          <w:rPr>
            <w:noProof/>
          </w:rPr>
        </w:r>
        <w:r w:rsidR="00232C13">
          <w:rPr>
            <w:noProof/>
          </w:rPr>
          <w:fldChar w:fldCharType="separate"/>
        </w:r>
        <w:r w:rsidR="005B0479">
          <w:rPr>
            <w:noProof/>
          </w:rPr>
          <w:t>60</w:t>
        </w:r>
        <w:r w:rsidR="00232C13">
          <w:rPr>
            <w:noProof/>
          </w:rPr>
          <w:fldChar w:fldCharType="end"/>
        </w:r>
      </w:hyperlink>
    </w:p>
    <w:p w:rsidR="00B67D8A" w:rsidRDefault="00F07ADE">
      <w:pPr>
        <w:pStyle w:val="10"/>
        <w:rPr>
          <w:rFonts w:ascii="Calibri" w:eastAsia="宋体" w:hAnsi="Calibri"/>
          <w:noProof/>
          <w:sz w:val="21"/>
          <w:szCs w:val="22"/>
        </w:rPr>
      </w:pPr>
      <w:hyperlink w:anchor="_Toc382321323" w:history="1">
        <w:r w:rsidR="00B67D8A">
          <w:rPr>
            <w:rStyle w:val="a7"/>
            <w:rFonts w:ascii="宋体" w:hint="eastAsia"/>
            <w:b/>
            <w:noProof/>
            <w:kern w:val="0"/>
          </w:rPr>
          <w:t>十二、基金的业绩</w:t>
        </w:r>
        <w:r w:rsidR="00B67D8A">
          <w:rPr>
            <w:noProof/>
          </w:rPr>
          <w:tab/>
        </w:r>
        <w:r w:rsidR="00232C13">
          <w:rPr>
            <w:noProof/>
          </w:rPr>
          <w:fldChar w:fldCharType="begin"/>
        </w:r>
        <w:r w:rsidR="00B67D8A">
          <w:rPr>
            <w:noProof/>
          </w:rPr>
          <w:instrText xml:space="preserve"> PAGEREF _Toc382321323 \h </w:instrText>
        </w:r>
        <w:r w:rsidR="00232C13">
          <w:rPr>
            <w:noProof/>
          </w:rPr>
        </w:r>
        <w:r w:rsidR="00232C13">
          <w:rPr>
            <w:noProof/>
          </w:rPr>
          <w:fldChar w:fldCharType="separate"/>
        </w:r>
        <w:r w:rsidR="005B0479">
          <w:rPr>
            <w:noProof/>
          </w:rPr>
          <w:t>73</w:t>
        </w:r>
        <w:r w:rsidR="00232C13">
          <w:rPr>
            <w:noProof/>
          </w:rPr>
          <w:fldChar w:fldCharType="end"/>
        </w:r>
      </w:hyperlink>
    </w:p>
    <w:p w:rsidR="00B67D8A" w:rsidRDefault="00F07ADE">
      <w:pPr>
        <w:pStyle w:val="10"/>
        <w:rPr>
          <w:rFonts w:ascii="Calibri" w:eastAsia="宋体" w:hAnsi="Calibri"/>
          <w:noProof/>
          <w:sz w:val="21"/>
          <w:szCs w:val="22"/>
        </w:rPr>
      </w:pPr>
      <w:hyperlink w:anchor="_Toc382321324" w:history="1">
        <w:r w:rsidR="00B67D8A">
          <w:rPr>
            <w:rStyle w:val="a7"/>
            <w:rFonts w:ascii="宋体" w:hint="eastAsia"/>
            <w:b/>
            <w:noProof/>
            <w:kern w:val="0"/>
          </w:rPr>
          <w:t>十三、基金的财产</w:t>
        </w:r>
        <w:r w:rsidR="00B67D8A">
          <w:rPr>
            <w:noProof/>
          </w:rPr>
          <w:tab/>
        </w:r>
        <w:r w:rsidR="00232C13">
          <w:rPr>
            <w:noProof/>
          </w:rPr>
          <w:fldChar w:fldCharType="begin"/>
        </w:r>
        <w:r w:rsidR="00B67D8A">
          <w:rPr>
            <w:noProof/>
          </w:rPr>
          <w:instrText xml:space="preserve"> PAGEREF _Toc382321324 \h </w:instrText>
        </w:r>
        <w:r w:rsidR="00232C13">
          <w:rPr>
            <w:noProof/>
          </w:rPr>
        </w:r>
        <w:r w:rsidR="00232C13">
          <w:rPr>
            <w:noProof/>
          </w:rPr>
          <w:fldChar w:fldCharType="separate"/>
        </w:r>
        <w:r w:rsidR="005B0479">
          <w:rPr>
            <w:noProof/>
          </w:rPr>
          <w:t>74</w:t>
        </w:r>
        <w:r w:rsidR="00232C13">
          <w:rPr>
            <w:noProof/>
          </w:rPr>
          <w:fldChar w:fldCharType="end"/>
        </w:r>
      </w:hyperlink>
    </w:p>
    <w:p w:rsidR="00B67D8A" w:rsidRDefault="00F07ADE">
      <w:pPr>
        <w:pStyle w:val="10"/>
        <w:rPr>
          <w:rFonts w:ascii="Calibri" w:eastAsia="宋体" w:hAnsi="Calibri"/>
          <w:noProof/>
          <w:sz w:val="21"/>
          <w:szCs w:val="22"/>
        </w:rPr>
      </w:pPr>
      <w:hyperlink w:anchor="_Toc382321325" w:history="1">
        <w:r w:rsidR="00B67D8A">
          <w:rPr>
            <w:rStyle w:val="a7"/>
            <w:rFonts w:ascii="宋体" w:hint="eastAsia"/>
            <w:b/>
            <w:noProof/>
            <w:kern w:val="0"/>
          </w:rPr>
          <w:t>十四、基金资产的估值</w:t>
        </w:r>
        <w:r w:rsidR="00B67D8A">
          <w:rPr>
            <w:noProof/>
          </w:rPr>
          <w:tab/>
        </w:r>
        <w:r w:rsidR="00232C13">
          <w:rPr>
            <w:noProof/>
          </w:rPr>
          <w:fldChar w:fldCharType="begin"/>
        </w:r>
        <w:r w:rsidR="00B67D8A">
          <w:rPr>
            <w:noProof/>
          </w:rPr>
          <w:instrText xml:space="preserve"> PAGEREF _Toc382321325 \h </w:instrText>
        </w:r>
        <w:r w:rsidR="00232C13">
          <w:rPr>
            <w:noProof/>
          </w:rPr>
        </w:r>
        <w:r w:rsidR="00232C13">
          <w:rPr>
            <w:noProof/>
          </w:rPr>
          <w:fldChar w:fldCharType="separate"/>
        </w:r>
        <w:r w:rsidR="005B0479">
          <w:rPr>
            <w:noProof/>
          </w:rPr>
          <w:t>75</w:t>
        </w:r>
        <w:r w:rsidR="00232C13">
          <w:rPr>
            <w:noProof/>
          </w:rPr>
          <w:fldChar w:fldCharType="end"/>
        </w:r>
      </w:hyperlink>
    </w:p>
    <w:p w:rsidR="00B67D8A" w:rsidRDefault="00F07ADE">
      <w:pPr>
        <w:pStyle w:val="10"/>
        <w:rPr>
          <w:rFonts w:ascii="Calibri" w:eastAsia="宋体" w:hAnsi="Calibri"/>
          <w:noProof/>
          <w:sz w:val="21"/>
          <w:szCs w:val="22"/>
        </w:rPr>
      </w:pPr>
      <w:hyperlink w:anchor="_Toc382321326" w:history="1">
        <w:r w:rsidR="00B67D8A">
          <w:rPr>
            <w:rStyle w:val="a7"/>
            <w:rFonts w:ascii="宋体" w:hint="eastAsia"/>
            <w:b/>
            <w:noProof/>
            <w:kern w:val="0"/>
          </w:rPr>
          <w:t>十五、基金收益与分配</w:t>
        </w:r>
        <w:r w:rsidR="00B67D8A">
          <w:rPr>
            <w:noProof/>
          </w:rPr>
          <w:tab/>
        </w:r>
        <w:r w:rsidR="00232C13">
          <w:rPr>
            <w:noProof/>
          </w:rPr>
          <w:fldChar w:fldCharType="begin"/>
        </w:r>
        <w:r w:rsidR="00B67D8A">
          <w:rPr>
            <w:noProof/>
          </w:rPr>
          <w:instrText xml:space="preserve"> PAGEREF _Toc382321326 \h </w:instrText>
        </w:r>
        <w:r w:rsidR="00232C13">
          <w:rPr>
            <w:noProof/>
          </w:rPr>
        </w:r>
        <w:r w:rsidR="00232C13">
          <w:rPr>
            <w:noProof/>
          </w:rPr>
          <w:fldChar w:fldCharType="separate"/>
        </w:r>
        <w:r w:rsidR="005B0479">
          <w:rPr>
            <w:noProof/>
          </w:rPr>
          <w:t>80</w:t>
        </w:r>
        <w:r w:rsidR="00232C13">
          <w:rPr>
            <w:noProof/>
          </w:rPr>
          <w:fldChar w:fldCharType="end"/>
        </w:r>
      </w:hyperlink>
    </w:p>
    <w:p w:rsidR="00B67D8A" w:rsidRDefault="00F07ADE">
      <w:pPr>
        <w:pStyle w:val="10"/>
        <w:rPr>
          <w:rFonts w:ascii="Calibri" w:eastAsia="宋体" w:hAnsi="Calibri"/>
          <w:noProof/>
          <w:sz w:val="21"/>
          <w:szCs w:val="22"/>
        </w:rPr>
      </w:pPr>
      <w:hyperlink w:anchor="_Toc382321327" w:history="1">
        <w:r w:rsidR="00B67D8A">
          <w:rPr>
            <w:rStyle w:val="a7"/>
            <w:rFonts w:ascii="宋体" w:hint="eastAsia"/>
            <w:b/>
            <w:noProof/>
            <w:kern w:val="0"/>
          </w:rPr>
          <w:t>十六、基金的费用与税收</w:t>
        </w:r>
        <w:r w:rsidR="00B67D8A">
          <w:rPr>
            <w:noProof/>
          </w:rPr>
          <w:tab/>
        </w:r>
        <w:r w:rsidR="00232C13">
          <w:rPr>
            <w:noProof/>
          </w:rPr>
          <w:fldChar w:fldCharType="begin"/>
        </w:r>
        <w:r w:rsidR="00B67D8A">
          <w:rPr>
            <w:noProof/>
          </w:rPr>
          <w:instrText xml:space="preserve"> PAGEREF _Toc382321327 \h </w:instrText>
        </w:r>
        <w:r w:rsidR="00232C13">
          <w:rPr>
            <w:noProof/>
          </w:rPr>
        </w:r>
        <w:r w:rsidR="00232C13">
          <w:rPr>
            <w:noProof/>
          </w:rPr>
          <w:fldChar w:fldCharType="separate"/>
        </w:r>
        <w:r w:rsidR="005B0479">
          <w:rPr>
            <w:noProof/>
          </w:rPr>
          <w:t>80</w:t>
        </w:r>
        <w:r w:rsidR="00232C13">
          <w:rPr>
            <w:noProof/>
          </w:rPr>
          <w:fldChar w:fldCharType="end"/>
        </w:r>
      </w:hyperlink>
    </w:p>
    <w:p w:rsidR="00B67D8A" w:rsidRDefault="00F07ADE">
      <w:pPr>
        <w:pStyle w:val="10"/>
        <w:rPr>
          <w:rFonts w:ascii="Calibri" w:eastAsia="宋体" w:hAnsi="Calibri"/>
          <w:noProof/>
          <w:sz w:val="21"/>
          <w:szCs w:val="22"/>
        </w:rPr>
      </w:pPr>
      <w:hyperlink w:anchor="_Toc382321328" w:history="1">
        <w:r w:rsidR="00B67D8A">
          <w:rPr>
            <w:rStyle w:val="a7"/>
            <w:rFonts w:ascii="宋体" w:hint="eastAsia"/>
            <w:b/>
            <w:noProof/>
            <w:kern w:val="0"/>
          </w:rPr>
          <w:t>十七、基金的会计与审计</w:t>
        </w:r>
        <w:r w:rsidR="00B67D8A">
          <w:rPr>
            <w:noProof/>
          </w:rPr>
          <w:tab/>
        </w:r>
        <w:r w:rsidR="00232C13">
          <w:rPr>
            <w:noProof/>
          </w:rPr>
          <w:fldChar w:fldCharType="begin"/>
        </w:r>
        <w:r w:rsidR="00B67D8A">
          <w:rPr>
            <w:noProof/>
          </w:rPr>
          <w:instrText xml:space="preserve"> PAGEREF _Toc382321328 \h </w:instrText>
        </w:r>
        <w:r w:rsidR="00232C13">
          <w:rPr>
            <w:noProof/>
          </w:rPr>
        </w:r>
        <w:r w:rsidR="00232C13">
          <w:rPr>
            <w:noProof/>
          </w:rPr>
          <w:fldChar w:fldCharType="separate"/>
        </w:r>
        <w:r w:rsidR="005B0479">
          <w:rPr>
            <w:noProof/>
          </w:rPr>
          <w:t>82</w:t>
        </w:r>
        <w:r w:rsidR="00232C13">
          <w:rPr>
            <w:noProof/>
          </w:rPr>
          <w:fldChar w:fldCharType="end"/>
        </w:r>
      </w:hyperlink>
    </w:p>
    <w:p w:rsidR="00B67D8A" w:rsidRDefault="00F07ADE">
      <w:pPr>
        <w:pStyle w:val="10"/>
        <w:rPr>
          <w:rFonts w:ascii="Calibri" w:eastAsia="宋体" w:hAnsi="Calibri"/>
          <w:noProof/>
          <w:sz w:val="21"/>
          <w:szCs w:val="22"/>
        </w:rPr>
      </w:pPr>
      <w:hyperlink w:anchor="_Toc382321329" w:history="1">
        <w:r w:rsidR="00B67D8A">
          <w:rPr>
            <w:rStyle w:val="a7"/>
            <w:rFonts w:ascii="宋体" w:hint="eastAsia"/>
            <w:b/>
            <w:noProof/>
            <w:kern w:val="0"/>
          </w:rPr>
          <w:t>十八、基金的信息披露</w:t>
        </w:r>
        <w:r w:rsidR="00B67D8A">
          <w:rPr>
            <w:noProof/>
          </w:rPr>
          <w:tab/>
        </w:r>
        <w:r w:rsidR="00232C13">
          <w:rPr>
            <w:noProof/>
          </w:rPr>
          <w:fldChar w:fldCharType="begin"/>
        </w:r>
        <w:r w:rsidR="00B67D8A">
          <w:rPr>
            <w:noProof/>
          </w:rPr>
          <w:instrText xml:space="preserve"> PAGEREF _Toc382321329 \h </w:instrText>
        </w:r>
        <w:r w:rsidR="00232C13">
          <w:rPr>
            <w:noProof/>
          </w:rPr>
        </w:r>
        <w:r w:rsidR="00232C13">
          <w:rPr>
            <w:noProof/>
          </w:rPr>
          <w:fldChar w:fldCharType="separate"/>
        </w:r>
        <w:r w:rsidR="005B0479">
          <w:rPr>
            <w:noProof/>
          </w:rPr>
          <w:t>82</w:t>
        </w:r>
        <w:r w:rsidR="00232C13">
          <w:rPr>
            <w:noProof/>
          </w:rPr>
          <w:fldChar w:fldCharType="end"/>
        </w:r>
      </w:hyperlink>
    </w:p>
    <w:p w:rsidR="00B67D8A" w:rsidRDefault="00F07ADE">
      <w:pPr>
        <w:pStyle w:val="10"/>
        <w:rPr>
          <w:rFonts w:ascii="Calibri" w:eastAsia="宋体" w:hAnsi="Calibri"/>
          <w:noProof/>
          <w:sz w:val="21"/>
          <w:szCs w:val="22"/>
        </w:rPr>
      </w:pPr>
      <w:hyperlink w:anchor="_Toc382321330" w:history="1">
        <w:r w:rsidR="00B67D8A">
          <w:rPr>
            <w:rStyle w:val="a7"/>
            <w:rFonts w:ascii="宋体" w:hint="eastAsia"/>
            <w:b/>
            <w:noProof/>
            <w:kern w:val="0"/>
          </w:rPr>
          <w:t>十九、风险揭示</w:t>
        </w:r>
        <w:r w:rsidR="00B67D8A">
          <w:rPr>
            <w:noProof/>
          </w:rPr>
          <w:tab/>
        </w:r>
        <w:r w:rsidR="00232C13">
          <w:rPr>
            <w:noProof/>
          </w:rPr>
          <w:fldChar w:fldCharType="begin"/>
        </w:r>
        <w:r w:rsidR="00B67D8A">
          <w:rPr>
            <w:noProof/>
          </w:rPr>
          <w:instrText xml:space="preserve"> PAGEREF _Toc382321330 \h </w:instrText>
        </w:r>
        <w:r w:rsidR="00232C13">
          <w:rPr>
            <w:noProof/>
          </w:rPr>
        </w:r>
        <w:r w:rsidR="00232C13">
          <w:rPr>
            <w:noProof/>
          </w:rPr>
          <w:fldChar w:fldCharType="separate"/>
        </w:r>
        <w:r w:rsidR="005B0479">
          <w:rPr>
            <w:noProof/>
          </w:rPr>
          <w:t>87</w:t>
        </w:r>
        <w:r w:rsidR="00232C13">
          <w:rPr>
            <w:noProof/>
          </w:rPr>
          <w:fldChar w:fldCharType="end"/>
        </w:r>
      </w:hyperlink>
    </w:p>
    <w:p w:rsidR="00B67D8A" w:rsidRDefault="00F07ADE">
      <w:pPr>
        <w:pStyle w:val="10"/>
        <w:rPr>
          <w:rFonts w:ascii="Calibri" w:eastAsia="宋体" w:hAnsi="Calibri"/>
          <w:noProof/>
          <w:sz w:val="21"/>
          <w:szCs w:val="22"/>
        </w:rPr>
      </w:pPr>
      <w:hyperlink w:anchor="_Toc382321331" w:history="1">
        <w:r w:rsidR="00B67D8A">
          <w:rPr>
            <w:rStyle w:val="a7"/>
            <w:rFonts w:hint="eastAsia"/>
            <w:b/>
            <w:noProof/>
            <w:kern w:val="0"/>
          </w:rPr>
          <w:t>二十、基金合同的变更、终止与基金财产的清算</w:t>
        </w:r>
        <w:r w:rsidR="00B67D8A">
          <w:rPr>
            <w:noProof/>
          </w:rPr>
          <w:tab/>
        </w:r>
        <w:r w:rsidR="00232C13">
          <w:rPr>
            <w:noProof/>
          </w:rPr>
          <w:fldChar w:fldCharType="begin"/>
        </w:r>
        <w:r w:rsidR="00B67D8A">
          <w:rPr>
            <w:noProof/>
          </w:rPr>
          <w:instrText xml:space="preserve"> PAGEREF _Toc382321331 \h </w:instrText>
        </w:r>
        <w:r w:rsidR="00232C13">
          <w:rPr>
            <w:noProof/>
          </w:rPr>
        </w:r>
        <w:r w:rsidR="00232C13">
          <w:rPr>
            <w:noProof/>
          </w:rPr>
          <w:fldChar w:fldCharType="separate"/>
        </w:r>
        <w:r w:rsidR="005B0479">
          <w:rPr>
            <w:noProof/>
          </w:rPr>
          <w:t>92</w:t>
        </w:r>
        <w:r w:rsidR="00232C13">
          <w:rPr>
            <w:noProof/>
          </w:rPr>
          <w:fldChar w:fldCharType="end"/>
        </w:r>
      </w:hyperlink>
    </w:p>
    <w:p w:rsidR="00B67D8A" w:rsidRDefault="00F07ADE">
      <w:pPr>
        <w:pStyle w:val="10"/>
        <w:rPr>
          <w:rFonts w:ascii="Calibri" w:eastAsia="宋体" w:hAnsi="Calibri"/>
          <w:noProof/>
          <w:sz w:val="21"/>
          <w:szCs w:val="22"/>
        </w:rPr>
      </w:pPr>
      <w:hyperlink w:anchor="_Toc382321332" w:history="1">
        <w:r w:rsidR="00B67D8A">
          <w:rPr>
            <w:rStyle w:val="a7"/>
            <w:rFonts w:ascii="宋体" w:hint="eastAsia"/>
            <w:b/>
            <w:noProof/>
            <w:kern w:val="0"/>
          </w:rPr>
          <w:t>二十一、基金合同内容摘要</w:t>
        </w:r>
        <w:r w:rsidR="00B67D8A">
          <w:rPr>
            <w:noProof/>
          </w:rPr>
          <w:tab/>
        </w:r>
        <w:r w:rsidR="00232C13">
          <w:rPr>
            <w:noProof/>
          </w:rPr>
          <w:fldChar w:fldCharType="begin"/>
        </w:r>
        <w:r w:rsidR="00B67D8A">
          <w:rPr>
            <w:noProof/>
          </w:rPr>
          <w:instrText xml:space="preserve"> PAGEREF _Toc382321332 \h </w:instrText>
        </w:r>
        <w:r w:rsidR="00232C13">
          <w:rPr>
            <w:noProof/>
          </w:rPr>
        </w:r>
        <w:r w:rsidR="00232C13">
          <w:rPr>
            <w:noProof/>
          </w:rPr>
          <w:fldChar w:fldCharType="separate"/>
        </w:r>
        <w:r w:rsidR="005B0479">
          <w:rPr>
            <w:noProof/>
          </w:rPr>
          <w:t>94</w:t>
        </w:r>
        <w:r w:rsidR="00232C13">
          <w:rPr>
            <w:noProof/>
          </w:rPr>
          <w:fldChar w:fldCharType="end"/>
        </w:r>
      </w:hyperlink>
    </w:p>
    <w:p w:rsidR="00B67D8A" w:rsidRDefault="00F07ADE">
      <w:pPr>
        <w:pStyle w:val="10"/>
        <w:rPr>
          <w:rFonts w:ascii="Calibri" w:eastAsia="宋体" w:hAnsi="Calibri"/>
          <w:noProof/>
          <w:sz w:val="21"/>
          <w:szCs w:val="22"/>
        </w:rPr>
      </w:pPr>
      <w:hyperlink w:anchor="_Toc382321333" w:history="1">
        <w:r w:rsidR="00B67D8A">
          <w:rPr>
            <w:rStyle w:val="a7"/>
            <w:rFonts w:ascii="宋体" w:hint="eastAsia"/>
            <w:b/>
            <w:noProof/>
            <w:kern w:val="0"/>
          </w:rPr>
          <w:t>二十二、托管协议的内容摘要</w:t>
        </w:r>
        <w:r w:rsidR="00B67D8A">
          <w:rPr>
            <w:noProof/>
          </w:rPr>
          <w:tab/>
        </w:r>
        <w:r w:rsidR="00232C13">
          <w:rPr>
            <w:noProof/>
          </w:rPr>
          <w:fldChar w:fldCharType="begin"/>
        </w:r>
        <w:r w:rsidR="00B67D8A">
          <w:rPr>
            <w:noProof/>
          </w:rPr>
          <w:instrText xml:space="preserve"> PAGEREF _Toc382321333 \h </w:instrText>
        </w:r>
        <w:r w:rsidR="00232C13">
          <w:rPr>
            <w:noProof/>
          </w:rPr>
        </w:r>
        <w:r w:rsidR="00232C13">
          <w:rPr>
            <w:noProof/>
          </w:rPr>
          <w:fldChar w:fldCharType="separate"/>
        </w:r>
        <w:r w:rsidR="005B0479">
          <w:rPr>
            <w:noProof/>
          </w:rPr>
          <w:t>107</w:t>
        </w:r>
        <w:r w:rsidR="00232C13">
          <w:rPr>
            <w:noProof/>
          </w:rPr>
          <w:fldChar w:fldCharType="end"/>
        </w:r>
      </w:hyperlink>
    </w:p>
    <w:p w:rsidR="00B67D8A" w:rsidRDefault="00F07ADE">
      <w:pPr>
        <w:pStyle w:val="10"/>
        <w:rPr>
          <w:rFonts w:ascii="Calibri" w:eastAsia="宋体" w:hAnsi="Calibri"/>
          <w:noProof/>
          <w:sz w:val="21"/>
          <w:szCs w:val="22"/>
        </w:rPr>
      </w:pPr>
      <w:hyperlink w:anchor="_Toc382321334" w:history="1">
        <w:r w:rsidR="00B67D8A">
          <w:rPr>
            <w:rStyle w:val="a7"/>
            <w:rFonts w:ascii="宋体" w:hint="eastAsia"/>
            <w:b/>
            <w:noProof/>
            <w:kern w:val="0"/>
          </w:rPr>
          <w:t>二十三、对基金份额持有人的服务</w:t>
        </w:r>
        <w:r w:rsidR="00B67D8A">
          <w:rPr>
            <w:noProof/>
          </w:rPr>
          <w:tab/>
        </w:r>
        <w:r w:rsidR="00232C13">
          <w:rPr>
            <w:noProof/>
          </w:rPr>
          <w:fldChar w:fldCharType="begin"/>
        </w:r>
        <w:r w:rsidR="00B67D8A">
          <w:rPr>
            <w:noProof/>
          </w:rPr>
          <w:instrText xml:space="preserve"> PAGEREF _Toc382321334 \h </w:instrText>
        </w:r>
        <w:r w:rsidR="00232C13">
          <w:rPr>
            <w:noProof/>
          </w:rPr>
        </w:r>
        <w:r w:rsidR="00232C13">
          <w:rPr>
            <w:noProof/>
          </w:rPr>
          <w:fldChar w:fldCharType="separate"/>
        </w:r>
        <w:r w:rsidR="005B0479">
          <w:rPr>
            <w:noProof/>
          </w:rPr>
          <w:t>124</w:t>
        </w:r>
        <w:r w:rsidR="00232C13">
          <w:rPr>
            <w:noProof/>
          </w:rPr>
          <w:fldChar w:fldCharType="end"/>
        </w:r>
      </w:hyperlink>
    </w:p>
    <w:p w:rsidR="00B67D8A" w:rsidRDefault="00F07ADE">
      <w:pPr>
        <w:pStyle w:val="10"/>
        <w:rPr>
          <w:rFonts w:ascii="Calibri" w:eastAsia="宋体" w:hAnsi="Calibri"/>
          <w:noProof/>
          <w:sz w:val="21"/>
          <w:szCs w:val="22"/>
        </w:rPr>
      </w:pPr>
      <w:hyperlink w:anchor="_Toc382321335" w:history="1">
        <w:r w:rsidR="00B67D8A">
          <w:rPr>
            <w:rStyle w:val="a7"/>
            <w:rFonts w:ascii="宋体" w:hint="eastAsia"/>
            <w:b/>
            <w:noProof/>
            <w:kern w:val="0"/>
          </w:rPr>
          <w:t>二十四、其他应披露事项</w:t>
        </w:r>
        <w:r w:rsidR="00B67D8A">
          <w:rPr>
            <w:noProof/>
          </w:rPr>
          <w:tab/>
        </w:r>
        <w:r w:rsidR="00232C13">
          <w:rPr>
            <w:noProof/>
          </w:rPr>
          <w:fldChar w:fldCharType="begin"/>
        </w:r>
        <w:r w:rsidR="00B67D8A">
          <w:rPr>
            <w:noProof/>
          </w:rPr>
          <w:instrText xml:space="preserve"> PAGEREF _Toc382321335 \h </w:instrText>
        </w:r>
        <w:r w:rsidR="00232C13">
          <w:rPr>
            <w:noProof/>
          </w:rPr>
        </w:r>
        <w:r w:rsidR="00232C13">
          <w:rPr>
            <w:noProof/>
          </w:rPr>
          <w:fldChar w:fldCharType="separate"/>
        </w:r>
        <w:r w:rsidR="005B0479">
          <w:rPr>
            <w:noProof/>
          </w:rPr>
          <w:t>125</w:t>
        </w:r>
        <w:r w:rsidR="00232C13">
          <w:rPr>
            <w:noProof/>
          </w:rPr>
          <w:fldChar w:fldCharType="end"/>
        </w:r>
      </w:hyperlink>
    </w:p>
    <w:p w:rsidR="00B67D8A" w:rsidRDefault="00F07ADE">
      <w:pPr>
        <w:pStyle w:val="10"/>
        <w:rPr>
          <w:rFonts w:ascii="Calibri" w:eastAsia="宋体" w:hAnsi="Calibri"/>
          <w:noProof/>
          <w:sz w:val="21"/>
          <w:szCs w:val="22"/>
        </w:rPr>
      </w:pPr>
      <w:hyperlink w:anchor="_Toc382321336" w:history="1">
        <w:r w:rsidR="00B67D8A">
          <w:rPr>
            <w:rStyle w:val="a7"/>
            <w:rFonts w:ascii="宋体" w:hint="eastAsia"/>
            <w:b/>
            <w:noProof/>
            <w:kern w:val="0"/>
          </w:rPr>
          <w:t>二十五、招募说明书的存放及查阅方式</w:t>
        </w:r>
        <w:r w:rsidR="00B67D8A">
          <w:rPr>
            <w:noProof/>
          </w:rPr>
          <w:tab/>
        </w:r>
        <w:r w:rsidR="00232C13">
          <w:rPr>
            <w:noProof/>
          </w:rPr>
          <w:fldChar w:fldCharType="begin"/>
        </w:r>
        <w:r w:rsidR="00B67D8A">
          <w:rPr>
            <w:noProof/>
          </w:rPr>
          <w:instrText xml:space="preserve"> PAGEREF _Toc382321336 \h </w:instrText>
        </w:r>
        <w:r w:rsidR="00232C13">
          <w:rPr>
            <w:noProof/>
          </w:rPr>
        </w:r>
        <w:r w:rsidR="00232C13">
          <w:rPr>
            <w:noProof/>
          </w:rPr>
          <w:fldChar w:fldCharType="separate"/>
        </w:r>
        <w:r w:rsidR="005B0479">
          <w:rPr>
            <w:noProof/>
          </w:rPr>
          <w:t>127</w:t>
        </w:r>
        <w:r w:rsidR="00232C13">
          <w:rPr>
            <w:noProof/>
          </w:rPr>
          <w:fldChar w:fldCharType="end"/>
        </w:r>
      </w:hyperlink>
    </w:p>
    <w:p w:rsidR="00B67D8A" w:rsidRDefault="00F07ADE">
      <w:pPr>
        <w:pStyle w:val="10"/>
        <w:rPr>
          <w:rFonts w:ascii="Calibri" w:eastAsia="宋体" w:hAnsi="Calibri"/>
          <w:noProof/>
          <w:sz w:val="21"/>
          <w:szCs w:val="22"/>
        </w:rPr>
      </w:pPr>
      <w:hyperlink w:anchor="_Toc382321337" w:history="1">
        <w:r w:rsidR="00B67D8A">
          <w:rPr>
            <w:rStyle w:val="a7"/>
            <w:rFonts w:ascii="宋体" w:hint="eastAsia"/>
            <w:b/>
            <w:noProof/>
            <w:kern w:val="0"/>
          </w:rPr>
          <w:t>二十六、备查文件</w:t>
        </w:r>
        <w:r w:rsidR="00B67D8A">
          <w:rPr>
            <w:noProof/>
          </w:rPr>
          <w:tab/>
        </w:r>
        <w:r w:rsidR="00232C13">
          <w:rPr>
            <w:noProof/>
          </w:rPr>
          <w:fldChar w:fldCharType="begin"/>
        </w:r>
        <w:r w:rsidR="00B67D8A">
          <w:rPr>
            <w:noProof/>
          </w:rPr>
          <w:instrText xml:space="preserve"> PAGEREF _Toc382321337 \h </w:instrText>
        </w:r>
        <w:r w:rsidR="00232C13">
          <w:rPr>
            <w:noProof/>
          </w:rPr>
        </w:r>
        <w:r w:rsidR="00232C13">
          <w:rPr>
            <w:noProof/>
          </w:rPr>
          <w:fldChar w:fldCharType="separate"/>
        </w:r>
        <w:r w:rsidR="005B0479">
          <w:rPr>
            <w:noProof/>
          </w:rPr>
          <w:t>127</w:t>
        </w:r>
        <w:r w:rsidR="00232C13">
          <w:rPr>
            <w:noProof/>
          </w:rPr>
          <w:fldChar w:fldCharType="end"/>
        </w:r>
      </w:hyperlink>
    </w:p>
    <w:p w:rsidR="00B67D8A" w:rsidRDefault="00232C13" w:rsidP="006D1B02">
      <w:pPr>
        <w:widowControl/>
        <w:adjustRightInd w:val="0"/>
        <w:snapToGrid w:val="0"/>
        <w:spacing w:beforeLines="100" w:before="240" w:afterLines="50" w:after="120" w:line="360" w:lineRule="auto"/>
        <w:jc w:val="center"/>
        <w:outlineLvl w:val="0"/>
        <w:rPr>
          <w:rFonts w:ascii="宋体" w:hAnsi="宋体"/>
          <w:b/>
          <w:kern w:val="0"/>
          <w:sz w:val="30"/>
        </w:rPr>
      </w:pPr>
      <w:r>
        <w:rPr>
          <w:kern w:val="0"/>
        </w:rPr>
        <w:fldChar w:fldCharType="end"/>
      </w:r>
      <w:r w:rsidR="00B67D8A">
        <w:rPr>
          <w:rFonts w:ascii="宋体" w:hAnsi="宋体"/>
          <w:kern w:val="0"/>
          <w:sz w:val="24"/>
        </w:rPr>
        <w:br w:type="page"/>
      </w:r>
      <w:bookmarkStart w:id="1" w:name="_Toc382321312"/>
      <w:r w:rsidR="00B67D8A">
        <w:rPr>
          <w:rFonts w:ascii="宋体" w:hAnsi="宋体" w:hint="eastAsia"/>
          <w:b/>
          <w:kern w:val="0"/>
          <w:sz w:val="30"/>
        </w:rPr>
        <w:lastRenderedPageBreak/>
        <w:t>一、绪言</w:t>
      </w:r>
      <w:bookmarkEnd w:id="0"/>
      <w:bookmarkEnd w:id="1"/>
    </w:p>
    <w:p w:rsidR="00B67D8A" w:rsidRDefault="00B67D8A">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《交银施罗德定期支付双息平衡混合型证券投资基金招募说明书》（以下简称“</w:t>
      </w:r>
      <w:r>
        <w:rPr>
          <w:rFonts w:ascii="宋体" w:hAnsi="宋体"/>
          <w:kern w:val="0"/>
          <w:sz w:val="24"/>
        </w:rPr>
        <w:t>本招募说明书</w:t>
      </w:r>
      <w:r>
        <w:rPr>
          <w:rFonts w:ascii="宋体" w:hAnsi="宋体" w:hint="eastAsia"/>
          <w:kern w:val="0"/>
          <w:sz w:val="24"/>
        </w:rPr>
        <w:t>”）</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交银施罗德定期支付双息平衡混合型证券投资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rsidR="00B67D8A" w:rsidRDefault="00B67D8A">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rsidR="00B67D8A" w:rsidRDefault="00B67D8A">
      <w:pPr>
        <w:widowControl/>
        <w:adjustRightInd w:val="0"/>
        <w:snapToGrid w:val="0"/>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w:t>
      </w:r>
      <w:proofErr w:type="gramStart"/>
      <w:r>
        <w:rPr>
          <w:rFonts w:ascii="宋体" w:hAnsi="宋体"/>
          <w:kern w:val="0"/>
          <w:sz w:val="24"/>
        </w:rPr>
        <w:t>投资人自依基金</w:t>
      </w:r>
      <w:proofErr w:type="gramEnd"/>
      <w:r>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hint="eastAsia"/>
          <w:kern w:val="0"/>
          <w:sz w:val="24"/>
        </w:rPr>
        <w:t>。</w:t>
      </w:r>
      <w:r>
        <w:rPr>
          <w:rFonts w:ascii="宋体" w:hAnsi="宋体"/>
          <w:kern w:val="0"/>
          <w:sz w:val="24"/>
        </w:rPr>
        <w:t xml:space="preserve"> </w:t>
      </w:r>
    </w:p>
    <w:p w:rsidR="00B67D8A" w:rsidRDefault="00B67D8A">
      <w:pPr>
        <w:widowControl/>
        <w:adjustRightInd w:val="0"/>
        <w:snapToGrid w:val="0"/>
        <w:spacing w:line="360" w:lineRule="auto"/>
        <w:ind w:firstLineChars="200" w:firstLine="482"/>
        <w:rPr>
          <w:rFonts w:ascii="宋体" w:hAnsi="宋体"/>
          <w:b/>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2" w:name="_Toc109537380"/>
      <w:bookmarkStart w:id="3" w:name="_Toc382321313"/>
      <w:r>
        <w:rPr>
          <w:rFonts w:ascii="宋体" w:hAnsi="宋体" w:hint="eastAsia"/>
          <w:b/>
          <w:kern w:val="0"/>
          <w:sz w:val="30"/>
        </w:rPr>
        <w:t>二、释义</w:t>
      </w:r>
      <w:bookmarkEnd w:id="2"/>
      <w:bookmarkEnd w:id="3"/>
    </w:p>
    <w:p w:rsidR="00B67D8A" w:rsidRDefault="00B67D8A">
      <w:pPr>
        <w:adjustRightInd w:val="0"/>
        <w:snapToGrid w:val="0"/>
        <w:spacing w:line="360" w:lineRule="auto"/>
        <w:ind w:firstLineChars="200" w:firstLine="480"/>
        <w:rPr>
          <w:spacing w:val="8"/>
          <w:sz w:val="24"/>
          <w:szCs w:val="24"/>
        </w:rPr>
      </w:pPr>
      <w:r>
        <w:rPr>
          <w:rFonts w:hAnsi="宋体"/>
          <w:sz w:val="24"/>
          <w:szCs w:val="24"/>
        </w:rPr>
        <w:t>在本招募说明书中，除非文意另有所指，下列词语或简称具有如下含义：</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、基金或本基金：指交银施罗德定期支付双</w:t>
      </w:r>
      <w:proofErr w:type="gramStart"/>
      <w:r>
        <w:rPr>
          <w:rFonts w:hAnsi="宋体"/>
          <w:bCs/>
          <w:sz w:val="24"/>
          <w:szCs w:val="24"/>
        </w:rPr>
        <w:t>息平衡</w:t>
      </w:r>
      <w:proofErr w:type="gramEnd"/>
      <w:r>
        <w:rPr>
          <w:rFonts w:hAnsi="宋体"/>
          <w:bCs/>
          <w:sz w:val="24"/>
          <w:szCs w:val="24"/>
        </w:rPr>
        <w:t>混合型证券投资基金</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、基金管理人或本基金管理人：指交银施罗德基金管理有限公司</w:t>
      </w:r>
      <w:r>
        <w:rPr>
          <w:bCs/>
          <w:sz w:val="24"/>
          <w:szCs w:val="24"/>
        </w:rPr>
        <w:t xml:space="preserve"> </w:t>
      </w:r>
    </w:p>
    <w:p w:rsidR="00B67D8A" w:rsidRDefault="00B67D8A">
      <w:pPr>
        <w:adjustRightInd w:val="0"/>
        <w:snapToGrid w:val="0"/>
        <w:spacing w:line="360" w:lineRule="auto"/>
        <w:ind w:firstLineChars="200" w:firstLine="480"/>
        <w:rPr>
          <w:bCs/>
          <w:sz w:val="24"/>
          <w:szCs w:val="24"/>
        </w:rPr>
      </w:pPr>
      <w:r>
        <w:rPr>
          <w:bCs/>
          <w:sz w:val="24"/>
          <w:szCs w:val="24"/>
        </w:rPr>
        <w:t>3</w:t>
      </w:r>
      <w:r>
        <w:rPr>
          <w:rFonts w:hAnsi="宋体"/>
          <w:bCs/>
          <w:sz w:val="24"/>
          <w:szCs w:val="24"/>
        </w:rPr>
        <w:t>、基金托管人或本基金托管人：指中国农业银行股份有限公司</w:t>
      </w:r>
    </w:p>
    <w:p w:rsidR="00B67D8A" w:rsidRDefault="00B67D8A">
      <w:pPr>
        <w:adjustRightInd w:val="0"/>
        <w:snapToGrid w:val="0"/>
        <w:spacing w:line="360" w:lineRule="auto"/>
        <w:ind w:firstLineChars="200" w:firstLine="480"/>
        <w:rPr>
          <w:bCs/>
          <w:sz w:val="24"/>
          <w:szCs w:val="24"/>
        </w:rPr>
      </w:pPr>
      <w:r>
        <w:rPr>
          <w:bCs/>
          <w:sz w:val="24"/>
          <w:szCs w:val="24"/>
        </w:rPr>
        <w:t>4</w:t>
      </w:r>
      <w:r>
        <w:rPr>
          <w:rFonts w:hAnsi="宋体"/>
          <w:bCs/>
          <w:sz w:val="24"/>
          <w:szCs w:val="24"/>
        </w:rPr>
        <w:t>、基金合同：指《交银施罗德定期支付双息平衡混合型证券投资基金基金合同》及对该基金合同的任何有效修订和补充</w:t>
      </w:r>
    </w:p>
    <w:p w:rsidR="00B67D8A" w:rsidRDefault="00B67D8A">
      <w:pPr>
        <w:adjustRightInd w:val="0"/>
        <w:snapToGrid w:val="0"/>
        <w:spacing w:line="360" w:lineRule="auto"/>
        <w:ind w:firstLineChars="200" w:firstLine="480"/>
        <w:rPr>
          <w:bCs/>
          <w:sz w:val="24"/>
          <w:szCs w:val="24"/>
        </w:rPr>
      </w:pPr>
      <w:r>
        <w:rPr>
          <w:bCs/>
          <w:sz w:val="24"/>
          <w:szCs w:val="24"/>
        </w:rPr>
        <w:t>5</w:t>
      </w:r>
      <w:r>
        <w:rPr>
          <w:rFonts w:hAnsi="宋体"/>
          <w:bCs/>
          <w:sz w:val="24"/>
          <w:szCs w:val="24"/>
        </w:rPr>
        <w:t>、托管协议：指基金管理人与基金托管人就本基金签订之《交银施罗德定期支付双息平衡混合型证券投资基金托管协议》及对该托管协议的任何有效修订和补充</w:t>
      </w:r>
    </w:p>
    <w:p w:rsidR="00B67D8A" w:rsidRDefault="00B67D8A">
      <w:pPr>
        <w:adjustRightInd w:val="0"/>
        <w:snapToGrid w:val="0"/>
        <w:spacing w:line="360" w:lineRule="auto"/>
        <w:ind w:firstLineChars="200" w:firstLine="480"/>
        <w:rPr>
          <w:bCs/>
          <w:sz w:val="24"/>
          <w:szCs w:val="24"/>
        </w:rPr>
      </w:pPr>
      <w:r>
        <w:rPr>
          <w:bCs/>
          <w:sz w:val="24"/>
          <w:szCs w:val="24"/>
        </w:rPr>
        <w:lastRenderedPageBreak/>
        <w:t>6</w:t>
      </w:r>
      <w:r>
        <w:rPr>
          <w:rFonts w:hAnsi="宋体"/>
          <w:bCs/>
          <w:sz w:val="24"/>
          <w:szCs w:val="24"/>
        </w:rPr>
        <w:t>、招募说明书或本招募说明书：指《交银施罗德定期支付双息平衡混合型证券投资基金招募说明书》及其定期的更新</w:t>
      </w:r>
    </w:p>
    <w:p w:rsidR="00B67D8A" w:rsidRDefault="00B67D8A">
      <w:pPr>
        <w:adjustRightInd w:val="0"/>
        <w:snapToGrid w:val="0"/>
        <w:spacing w:line="360" w:lineRule="auto"/>
        <w:ind w:firstLineChars="200" w:firstLine="480"/>
        <w:rPr>
          <w:bCs/>
          <w:sz w:val="24"/>
          <w:szCs w:val="24"/>
        </w:rPr>
      </w:pPr>
      <w:r>
        <w:rPr>
          <w:bCs/>
          <w:sz w:val="24"/>
          <w:szCs w:val="24"/>
        </w:rPr>
        <w:t>7</w:t>
      </w:r>
      <w:r>
        <w:rPr>
          <w:rFonts w:hAnsi="宋体"/>
          <w:bCs/>
          <w:sz w:val="24"/>
          <w:szCs w:val="24"/>
        </w:rPr>
        <w:t>、基金份额发售公告：指《交银施罗德定期支付双息平衡混合型证券投资基金基金份额发售公告》</w:t>
      </w:r>
    </w:p>
    <w:p w:rsidR="00B67D8A" w:rsidRDefault="00B67D8A">
      <w:pPr>
        <w:adjustRightInd w:val="0"/>
        <w:snapToGrid w:val="0"/>
        <w:spacing w:line="360" w:lineRule="auto"/>
        <w:ind w:firstLineChars="200" w:firstLine="480"/>
        <w:rPr>
          <w:bCs/>
          <w:sz w:val="24"/>
          <w:szCs w:val="24"/>
        </w:rPr>
      </w:pPr>
      <w:r>
        <w:rPr>
          <w:bCs/>
          <w:sz w:val="24"/>
          <w:szCs w:val="24"/>
        </w:rPr>
        <w:t>8</w:t>
      </w:r>
      <w:r>
        <w:rPr>
          <w:rFonts w:hAnsi="宋体"/>
          <w:bCs/>
          <w:sz w:val="24"/>
          <w:szCs w:val="24"/>
        </w:rPr>
        <w:t>、法律法规：指中国现行有效并公布实施的法律、行政法规、规范性文件、司法解释、行政规章以及其他对基金合同当事人有约束力的决定、决议、通知等</w:t>
      </w:r>
    </w:p>
    <w:p w:rsidR="00B67D8A" w:rsidRDefault="00B67D8A">
      <w:pPr>
        <w:adjustRightInd w:val="0"/>
        <w:snapToGrid w:val="0"/>
        <w:spacing w:line="360" w:lineRule="auto"/>
        <w:ind w:firstLineChars="200" w:firstLine="480"/>
        <w:rPr>
          <w:bCs/>
          <w:sz w:val="24"/>
          <w:szCs w:val="24"/>
        </w:rPr>
      </w:pPr>
      <w:r>
        <w:rPr>
          <w:bCs/>
          <w:sz w:val="24"/>
          <w:szCs w:val="24"/>
        </w:rPr>
        <w:t>9</w:t>
      </w:r>
      <w:r>
        <w:rPr>
          <w:rFonts w:hAnsi="宋体"/>
          <w:bCs/>
          <w:sz w:val="24"/>
          <w:szCs w:val="24"/>
        </w:rPr>
        <w:t>、中国：指中华人民共和国（仅为基金合同之目的，不包括香港特别行政区、澳门特别行政区及台湾地区）</w:t>
      </w:r>
    </w:p>
    <w:p w:rsidR="00B67D8A" w:rsidRDefault="00B67D8A">
      <w:pPr>
        <w:adjustRightInd w:val="0"/>
        <w:snapToGrid w:val="0"/>
        <w:spacing w:line="360" w:lineRule="auto"/>
        <w:ind w:firstLineChars="200" w:firstLine="480"/>
        <w:rPr>
          <w:bCs/>
          <w:sz w:val="24"/>
          <w:szCs w:val="24"/>
        </w:rPr>
      </w:pPr>
      <w:r>
        <w:rPr>
          <w:bCs/>
          <w:sz w:val="24"/>
          <w:szCs w:val="24"/>
        </w:rPr>
        <w:t>10</w:t>
      </w:r>
      <w:r>
        <w:rPr>
          <w:rFonts w:hAnsi="宋体"/>
          <w:bCs/>
          <w:sz w:val="24"/>
          <w:szCs w:val="24"/>
        </w:rPr>
        <w:t>、《基金法》：指</w:t>
      </w:r>
      <w:r>
        <w:rPr>
          <w:bCs/>
          <w:sz w:val="24"/>
          <w:szCs w:val="24"/>
        </w:rPr>
        <w:t>2003</w:t>
      </w:r>
      <w:r>
        <w:rPr>
          <w:rFonts w:hAnsi="宋体"/>
          <w:bCs/>
          <w:sz w:val="24"/>
          <w:szCs w:val="24"/>
        </w:rPr>
        <w:t>年</w:t>
      </w:r>
      <w:r>
        <w:rPr>
          <w:bCs/>
          <w:sz w:val="24"/>
          <w:szCs w:val="24"/>
        </w:rPr>
        <w:t>10</w:t>
      </w:r>
      <w:r>
        <w:rPr>
          <w:rFonts w:hAnsi="宋体"/>
          <w:bCs/>
          <w:sz w:val="24"/>
          <w:szCs w:val="24"/>
        </w:rPr>
        <w:t>月</w:t>
      </w:r>
      <w:r>
        <w:rPr>
          <w:bCs/>
          <w:sz w:val="24"/>
          <w:szCs w:val="24"/>
        </w:rPr>
        <w:t>28</w:t>
      </w:r>
      <w:r>
        <w:rPr>
          <w:rFonts w:hAnsi="宋体"/>
          <w:bCs/>
          <w:sz w:val="24"/>
          <w:szCs w:val="24"/>
        </w:rPr>
        <w:t>日经第十届全国人民代表大会常务委员会第五次会议通过，自</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1</w:t>
      </w:r>
      <w:r>
        <w:rPr>
          <w:rFonts w:hAnsi="宋体"/>
          <w:bCs/>
          <w:sz w:val="24"/>
          <w:szCs w:val="24"/>
        </w:rPr>
        <w:t>日起实施的《中华人民共和国证券投资基金法》及颁布机关对其不时做出的修订</w:t>
      </w:r>
    </w:p>
    <w:p w:rsidR="00B67D8A" w:rsidRDefault="00B67D8A">
      <w:pPr>
        <w:adjustRightInd w:val="0"/>
        <w:snapToGrid w:val="0"/>
        <w:spacing w:line="360" w:lineRule="auto"/>
        <w:ind w:firstLineChars="200" w:firstLine="480"/>
        <w:rPr>
          <w:bCs/>
          <w:sz w:val="24"/>
          <w:szCs w:val="24"/>
        </w:rPr>
      </w:pPr>
      <w:r>
        <w:rPr>
          <w:bCs/>
          <w:sz w:val="24"/>
          <w:szCs w:val="24"/>
        </w:rPr>
        <w:t>11</w:t>
      </w:r>
      <w:r>
        <w:rPr>
          <w:rFonts w:hAnsi="宋体"/>
          <w:bCs/>
          <w:sz w:val="24"/>
          <w:szCs w:val="24"/>
        </w:rPr>
        <w:t>、《销售办法》：指中国证监会</w:t>
      </w:r>
      <w:r>
        <w:rPr>
          <w:bCs/>
          <w:sz w:val="24"/>
          <w:szCs w:val="24"/>
        </w:rPr>
        <w:t>20</w:t>
      </w:r>
      <w:r>
        <w:rPr>
          <w:rFonts w:hint="eastAsia"/>
          <w:bCs/>
          <w:sz w:val="24"/>
          <w:szCs w:val="24"/>
        </w:rPr>
        <w:t>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15</w:t>
      </w:r>
      <w:r>
        <w:rPr>
          <w:rFonts w:hAnsi="宋体"/>
          <w:bCs/>
          <w:sz w:val="24"/>
          <w:szCs w:val="24"/>
        </w:rPr>
        <w:t>日颁布、同年</w:t>
      </w:r>
      <w:r>
        <w:rPr>
          <w:rFonts w:hint="eastAsia"/>
          <w:bCs/>
          <w:sz w:val="24"/>
          <w:szCs w:val="24"/>
        </w:rPr>
        <w:t>6</w:t>
      </w:r>
      <w:r>
        <w:rPr>
          <w:rFonts w:hAnsi="宋体"/>
          <w:bCs/>
          <w:sz w:val="24"/>
          <w:szCs w:val="24"/>
        </w:rPr>
        <w:t>月</w:t>
      </w:r>
      <w:r>
        <w:rPr>
          <w:bCs/>
          <w:sz w:val="24"/>
          <w:szCs w:val="24"/>
        </w:rPr>
        <w:t>1</w:t>
      </w:r>
      <w:r>
        <w:rPr>
          <w:rFonts w:hAnsi="宋体"/>
          <w:bCs/>
          <w:sz w:val="24"/>
          <w:szCs w:val="24"/>
        </w:rPr>
        <w:t>日实施的《证券投资基金销售管理办法》及颁布机关对其不时做出的修订</w:t>
      </w:r>
    </w:p>
    <w:p w:rsidR="00B67D8A" w:rsidRDefault="00B67D8A">
      <w:pPr>
        <w:adjustRightInd w:val="0"/>
        <w:snapToGrid w:val="0"/>
        <w:spacing w:line="360" w:lineRule="auto"/>
        <w:ind w:firstLineChars="200" w:firstLine="480"/>
        <w:rPr>
          <w:bCs/>
          <w:sz w:val="24"/>
          <w:szCs w:val="24"/>
        </w:rPr>
      </w:pPr>
      <w:r>
        <w:rPr>
          <w:bCs/>
          <w:sz w:val="24"/>
          <w:szCs w:val="24"/>
        </w:rPr>
        <w:t>12</w:t>
      </w:r>
      <w:r>
        <w:rPr>
          <w:rFonts w:hAnsi="宋体"/>
          <w:bCs/>
          <w:sz w:val="24"/>
          <w:szCs w:val="24"/>
        </w:rPr>
        <w:t>、《信息披露办法》：指中国证监会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8</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日实施的《证券投资基金信息披露管理办法》及颁布机关对其不时做出的修订</w:t>
      </w:r>
    </w:p>
    <w:p w:rsidR="00B67D8A" w:rsidRDefault="00B67D8A">
      <w:pPr>
        <w:adjustRightInd w:val="0"/>
        <w:snapToGrid w:val="0"/>
        <w:spacing w:line="360" w:lineRule="auto"/>
        <w:ind w:firstLineChars="200" w:firstLine="480"/>
        <w:rPr>
          <w:bCs/>
          <w:sz w:val="24"/>
          <w:szCs w:val="24"/>
        </w:rPr>
      </w:pPr>
      <w:r>
        <w:rPr>
          <w:bCs/>
          <w:sz w:val="24"/>
          <w:szCs w:val="24"/>
        </w:rPr>
        <w:t>13</w:t>
      </w:r>
      <w:r>
        <w:rPr>
          <w:rFonts w:hAnsi="宋体"/>
          <w:bCs/>
          <w:sz w:val="24"/>
          <w:szCs w:val="24"/>
        </w:rPr>
        <w:t>、《运作办法》：指中国证监会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29</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日实施的《证券投资基金运作管理办法》及颁布机关对其不时做出的修订</w:t>
      </w:r>
    </w:p>
    <w:p w:rsidR="00B67D8A" w:rsidRDefault="00B67D8A">
      <w:pPr>
        <w:adjustRightInd w:val="0"/>
        <w:snapToGrid w:val="0"/>
        <w:spacing w:line="360" w:lineRule="auto"/>
        <w:ind w:firstLineChars="200" w:firstLine="480"/>
        <w:rPr>
          <w:bCs/>
          <w:sz w:val="24"/>
          <w:szCs w:val="24"/>
        </w:rPr>
      </w:pPr>
      <w:r>
        <w:rPr>
          <w:bCs/>
          <w:sz w:val="24"/>
          <w:szCs w:val="24"/>
        </w:rPr>
        <w:t>14</w:t>
      </w:r>
      <w:r>
        <w:rPr>
          <w:rFonts w:hAnsi="宋体"/>
          <w:bCs/>
          <w:sz w:val="24"/>
          <w:szCs w:val="24"/>
        </w:rPr>
        <w:t>、中国证监会：指中国证券监督管理委员会</w:t>
      </w:r>
    </w:p>
    <w:p w:rsidR="00B67D8A" w:rsidRDefault="00B67D8A">
      <w:pPr>
        <w:adjustRightInd w:val="0"/>
        <w:snapToGrid w:val="0"/>
        <w:spacing w:line="360" w:lineRule="auto"/>
        <w:ind w:firstLineChars="200" w:firstLine="480"/>
        <w:rPr>
          <w:bCs/>
          <w:sz w:val="24"/>
          <w:szCs w:val="24"/>
        </w:rPr>
      </w:pPr>
      <w:r>
        <w:rPr>
          <w:bCs/>
          <w:sz w:val="24"/>
          <w:szCs w:val="24"/>
        </w:rPr>
        <w:t>15</w:t>
      </w:r>
      <w:r>
        <w:rPr>
          <w:rFonts w:hAnsi="宋体"/>
          <w:bCs/>
          <w:sz w:val="24"/>
          <w:szCs w:val="24"/>
        </w:rPr>
        <w:t>、银行业监督管理机构：指中国人民银行和</w:t>
      </w:r>
      <w:r>
        <w:rPr>
          <w:bCs/>
          <w:sz w:val="24"/>
          <w:szCs w:val="24"/>
        </w:rPr>
        <w:t>/</w:t>
      </w:r>
      <w:r>
        <w:rPr>
          <w:rFonts w:hAnsi="宋体"/>
          <w:bCs/>
          <w:sz w:val="24"/>
          <w:szCs w:val="24"/>
        </w:rPr>
        <w:t>或中国银行业监督管理委员会</w:t>
      </w:r>
    </w:p>
    <w:p w:rsidR="00B67D8A" w:rsidRDefault="00B67D8A">
      <w:pPr>
        <w:adjustRightInd w:val="0"/>
        <w:snapToGrid w:val="0"/>
        <w:spacing w:line="360" w:lineRule="auto"/>
        <w:ind w:firstLineChars="200" w:firstLine="480"/>
        <w:rPr>
          <w:bCs/>
          <w:sz w:val="24"/>
          <w:szCs w:val="24"/>
        </w:rPr>
      </w:pPr>
      <w:r>
        <w:rPr>
          <w:bCs/>
          <w:sz w:val="24"/>
          <w:szCs w:val="24"/>
        </w:rPr>
        <w:t>16</w:t>
      </w:r>
      <w:r>
        <w:rPr>
          <w:rFonts w:hAnsi="宋体"/>
          <w:bCs/>
          <w:sz w:val="24"/>
          <w:szCs w:val="24"/>
        </w:rPr>
        <w:t>、基金合同当事人：指受基金合同约束，根据基金合同享有权利并承担义务的法律主体，包括基金管理人、基金托管人和基金份额持有人</w:t>
      </w:r>
    </w:p>
    <w:p w:rsidR="00B67D8A" w:rsidRDefault="00B67D8A">
      <w:pPr>
        <w:adjustRightInd w:val="0"/>
        <w:snapToGrid w:val="0"/>
        <w:spacing w:line="360" w:lineRule="auto"/>
        <w:ind w:firstLineChars="200" w:firstLine="480"/>
        <w:rPr>
          <w:bCs/>
          <w:sz w:val="24"/>
          <w:szCs w:val="24"/>
        </w:rPr>
      </w:pPr>
      <w:r>
        <w:rPr>
          <w:bCs/>
          <w:sz w:val="24"/>
          <w:szCs w:val="24"/>
        </w:rPr>
        <w:t>17</w:t>
      </w:r>
      <w:r>
        <w:rPr>
          <w:rFonts w:hAnsi="宋体"/>
          <w:bCs/>
          <w:sz w:val="24"/>
          <w:szCs w:val="24"/>
        </w:rPr>
        <w:t>、个人投资者：指依据有关法律法规规定可投资于证券投资基金的自然人</w:t>
      </w:r>
    </w:p>
    <w:p w:rsidR="00B67D8A" w:rsidRDefault="00B67D8A">
      <w:pPr>
        <w:adjustRightInd w:val="0"/>
        <w:snapToGrid w:val="0"/>
        <w:spacing w:line="360" w:lineRule="auto"/>
        <w:ind w:firstLineChars="200" w:firstLine="480"/>
        <w:rPr>
          <w:bCs/>
          <w:sz w:val="24"/>
          <w:szCs w:val="24"/>
        </w:rPr>
      </w:pPr>
      <w:r>
        <w:rPr>
          <w:bCs/>
          <w:sz w:val="24"/>
          <w:szCs w:val="24"/>
        </w:rPr>
        <w:t>18</w:t>
      </w:r>
      <w:r>
        <w:rPr>
          <w:rFonts w:hAnsi="宋体"/>
          <w:bCs/>
          <w:sz w:val="24"/>
          <w:szCs w:val="24"/>
        </w:rPr>
        <w:t>、机构投资者：指依法可以投资证券投资基金的、在中国境内合法登记并存续或经有关政府部门批准设立并存续的企业法人、事业法人、社会团体或其他组织</w:t>
      </w:r>
    </w:p>
    <w:p w:rsidR="00B67D8A" w:rsidRDefault="00B67D8A">
      <w:pPr>
        <w:adjustRightInd w:val="0"/>
        <w:snapToGrid w:val="0"/>
        <w:spacing w:line="360" w:lineRule="auto"/>
        <w:ind w:firstLineChars="200" w:firstLine="480"/>
        <w:rPr>
          <w:bCs/>
          <w:sz w:val="24"/>
          <w:szCs w:val="24"/>
        </w:rPr>
      </w:pPr>
      <w:r>
        <w:rPr>
          <w:bCs/>
          <w:sz w:val="24"/>
          <w:szCs w:val="24"/>
        </w:rPr>
        <w:t>19</w:t>
      </w:r>
      <w:r>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rsidR="00B67D8A" w:rsidRDefault="00B67D8A">
      <w:pPr>
        <w:adjustRightInd w:val="0"/>
        <w:snapToGrid w:val="0"/>
        <w:spacing w:line="360" w:lineRule="auto"/>
        <w:ind w:firstLineChars="200" w:firstLine="480"/>
        <w:rPr>
          <w:bCs/>
          <w:sz w:val="24"/>
          <w:szCs w:val="24"/>
        </w:rPr>
      </w:pPr>
      <w:r>
        <w:rPr>
          <w:bCs/>
          <w:sz w:val="24"/>
          <w:szCs w:val="24"/>
        </w:rPr>
        <w:t>20</w:t>
      </w:r>
      <w:r>
        <w:rPr>
          <w:rFonts w:hAnsi="宋体"/>
          <w:bCs/>
          <w:sz w:val="24"/>
          <w:szCs w:val="24"/>
        </w:rPr>
        <w:t>、投资人或投资者：指个人投资者、机构投资者和合格境外机构投资者以及</w:t>
      </w:r>
      <w:r>
        <w:rPr>
          <w:rFonts w:hAnsi="宋体"/>
          <w:bCs/>
          <w:sz w:val="24"/>
          <w:szCs w:val="24"/>
        </w:rPr>
        <w:lastRenderedPageBreak/>
        <w:t>法律法规或中国证监会允许购买证券投资基金的其他投资人的合称</w:t>
      </w:r>
    </w:p>
    <w:p w:rsidR="00B67D8A" w:rsidRDefault="00B67D8A">
      <w:pPr>
        <w:adjustRightInd w:val="0"/>
        <w:snapToGrid w:val="0"/>
        <w:spacing w:line="360" w:lineRule="auto"/>
        <w:ind w:firstLineChars="200" w:firstLine="480"/>
        <w:rPr>
          <w:bCs/>
          <w:sz w:val="24"/>
          <w:szCs w:val="24"/>
        </w:rPr>
      </w:pPr>
      <w:r>
        <w:rPr>
          <w:bCs/>
          <w:sz w:val="24"/>
          <w:szCs w:val="24"/>
        </w:rPr>
        <w:t>21</w:t>
      </w:r>
      <w:r>
        <w:rPr>
          <w:rFonts w:hAnsi="宋体"/>
          <w:bCs/>
          <w:sz w:val="24"/>
          <w:szCs w:val="24"/>
        </w:rPr>
        <w:t>、基金份额持有人：指依基金合同和招募说明书合法取得基金份额的投资人</w:t>
      </w:r>
    </w:p>
    <w:p w:rsidR="00B67D8A" w:rsidRDefault="00B67D8A">
      <w:pPr>
        <w:adjustRightInd w:val="0"/>
        <w:snapToGrid w:val="0"/>
        <w:spacing w:line="360" w:lineRule="auto"/>
        <w:ind w:firstLineChars="200" w:firstLine="480"/>
        <w:rPr>
          <w:bCs/>
          <w:sz w:val="24"/>
          <w:szCs w:val="24"/>
        </w:rPr>
      </w:pPr>
      <w:r>
        <w:rPr>
          <w:bCs/>
          <w:sz w:val="24"/>
          <w:szCs w:val="24"/>
        </w:rPr>
        <w:t>22</w:t>
      </w:r>
      <w:r>
        <w:rPr>
          <w:rFonts w:hAnsi="宋体"/>
          <w:bCs/>
          <w:sz w:val="24"/>
          <w:szCs w:val="24"/>
        </w:rPr>
        <w:t>、基金销售业务：指基金管理人或销售机构宣传推介基金，发售基金份额，办理基金份额的申购、赎回、转换、转托管及定期定额投资等业务</w:t>
      </w:r>
    </w:p>
    <w:p w:rsidR="00B67D8A" w:rsidRDefault="00B67D8A">
      <w:pPr>
        <w:adjustRightInd w:val="0"/>
        <w:snapToGrid w:val="0"/>
        <w:spacing w:line="360" w:lineRule="auto"/>
        <w:ind w:firstLineChars="200" w:firstLine="480"/>
        <w:rPr>
          <w:bCs/>
          <w:sz w:val="24"/>
          <w:szCs w:val="24"/>
        </w:rPr>
      </w:pPr>
      <w:r>
        <w:rPr>
          <w:bCs/>
          <w:sz w:val="24"/>
          <w:szCs w:val="24"/>
        </w:rPr>
        <w:t>23</w:t>
      </w:r>
      <w:r>
        <w:rPr>
          <w:rFonts w:hAnsi="宋体"/>
          <w:bCs/>
          <w:sz w:val="24"/>
          <w:szCs w:val="24"/>
        </w:rPr>
        <w:t>、直销机构：指交银施罗德基金管理有限公司</w:t>
      </w:r>
    </w:p>
    <w:p w:rsidR="00B67D8A" w:rsidRDefault="00B67D8A">
      <w:pPr>
        <w:adjustRightInd w:val="0"/>
        <w:snapToGrid w:val="0"/>
        <w:spacing w:line="360" w:lineRule="auto"/>
        <w:ind w:firstLineChars="200" w:firstLine="480"/>
        <w:rPr>
          <w:bCs/>
          <w:sz w:val="24"/>
          <w:szCs w:val="24"/>
        </w:rPr>
      </w:pPr>
      <w:r>
        <w:rPr>
          <w:bCs/>
          <w:sz w:val="24"/>
          <w:szCs w:val="24"/>
        </w:rPr>
        <w:t>24</w:t>
      </w:r>
      <w:r>
        <w:rPr>
          <w:rFonts w:hAnsi="宋体"/>
          <w:bCs/>
          <w:sz w:val="24"/>
          <w:szCs w:val="24"/>
        </w:rPr>
        <w:t>、代销机构：指符合《销售办法》和中国证监会规定的其他条件，取得基金销售业务资格并与基金管理人签订了基金销售服务代理协议，代为办理基金销售业务的机构</w:t>
      </w:r>
    </w:p>
    <w:p w:rsidR="00B67D8A" w:rsidRDefault="00B67D8A">
      <w:pPr>
        <w:adjustRightInd w:val="0"/>
        <w:snapToGrid w:val="0"/>
        <w:spacing w:line="360" w:lineRule="auto"/>
        <w:ind w:firstLineChars="200" w:firstLine="480"/>
        <w:rPr>
          <w:bCs/>
          <w:sz w:val="24"/>
          <w:szCs w:val="24"/>
        </w:rPr>
      </w:pPr>
      <w:r>
        <w:rPr>
          <w:bCs/>
          <w:sz w:val="24"/>
          <w:szCs w:val="24"/>
        </w:rPr>
        <w:t>25</w:t>
      </w:r>
      <w:r>
        <w:rPr>
          <w:rFonts w:hAnsi="宋体"/>
          <w:bCs/>
          <w:sz w:val="24"/>
          <w:szCs w:val="24"/>
        </w:rPr>
        <w:t>、销售机构：指直销机构和代销机构</w:t>
      </w:r>
    </w:p>
    <w:p w:rsidR="00B67D8A" w:rsidRDefault="00B67D8A">
      <w:pPr>
        <w:adjustRightInd w:val="0"/>
        <w:snapToGrid w:val="0"/>
        <w:spacing w:line="360" w:lineRule="auto"/>
        <w:ind w:firstLineChars="200" w:firstLine="480"/>
        <w:rPr>
          <w:bCs/>
          <w:sz w:val="24"/>
          <w:szCs w:val="24"/>
        </w:rPr>
      </w:pPr>
      <w:r>
        <w:rPr>
          <w:bCs/>
          <w:sz w:val="24"/>
          <w:szCs w:val="24"/>
        </w:rPr>
        <w:t>26</w:t>
      </w:r>
      <w:r>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Ansi="宋体"/>
          <w:bCs/>
          <w:sz w:val="24"/>
          <w:szCs w:val="24"/>
        </w:rPr>
        <w:t>非交易</w:t>
      </w:r>
      <w:proofErr w:type="gramEnd"/>
      <w:r>
        <w:rPr>
          <w:rFonts w:hAnsi="宋体"/>
          <w:bCs/>
          <w:sz w:val="24"/>
          <w:szCs w:val="24"/>
        </w:rPr>
        <w:t>过户等</w:t>
      </w:r>
    </w:p>
    <w:p w:rsidR="00B67D8A" w:rsidRDefault="00B67D8A">
      <w:pPr>
        <w:adjustRightInd w:val="0"/>
        <w:snapToGrid w:val="0"/>
        <w:spacing w:line="360" w:lineRule="auto"/>
        <w:ind w:firstLineChars="200" w:firstLine="480"/>
        <w:rPr>
          <w:bCs/>
          <w:sz w:val="24"/>
          <w:szCs w:val="24"/>
        </w:rPr>
      </w:pPr>
      <w:r>
        <w:rPr>
          <w:bCs/>
          <w:sz w:val="24"/>
          <w:szCs w:val="24"/>
        </w:rPr>
        <w:t>27</w:t>
      </w:r>
      <w:r>
        <w:rPr>
          <w:rFonts w:hAnsi="宋体"/>
          <w:bCs/>
          <w:sz w:val="24"/>
          <w:szCs w:val="24"/>
        </w:rPr>
        <w:t>、登记机构：</w:t>
      </w:r>
      <w:proofErr w:type="gramStart"/>
      <w:r>
        <w:rPr>
          <w:rFonts w:hAnsi="宋体"/>
          <w:bCs/>
          <w:sz w:val="24"/>
          <w:szCs w:val="24"/>
        </w:rPr>
        <w:t>指办理</w:t>
      </w:r>
      <w:proofErr w:type="gramEnd"/>
      <w:r>
        <w:rPr>
          <w:rFonts w:hAnsi="宋体"/>
          <w:bCs/>
          <w:sz w:val="24"/>
          <w:szCs w:val="24"/>
        </w:rPr>
        <w:t>登记业务的机构。基金的登记机构为交银施罗德基金管理有限公司或接受交银施罗德基金管理有限公司委托代为办理登记业务的机构</w:t>
      </w:r>
    </w:p>
    <w:p w:rsidR="00B67D8A" w:rsidRDefault="00B67D8A">
      <w:pPr>
        <w:adjustRightInd w:val="0"/>
        <w:snapToGrid w:val="0"/>
        <w:spacing w:line="360" w:lineRule="auto"/>
        <w:ind w:firstLineChars="200" w:firstLine="480"/>
        <w:rPr>
          <w:bCs/>
          <w:sz w:val="24"/>
          <w:szCs w:val="24"/>
        </w:rPr>
      </w:pPr>
      <w:r>
        <w:rPr>
          <w:bCs/>
          <w:sz w:val="24"/>
          <w:szCs w:val="24"/>
        </w:rPr>
        <w:t>28</w:t>
      </w:r>
      <w:r>
        <w:rPr>
          <w:rFonts w:hAnsi="宋体"/>
          <w:bCs/>
          <w:sz w:val="24"/>
          <w:szCs w:val="24"/>
        </w:rPr>
        <w:t>、基金账户：指登记机构为投资人开立的、记录其持有的、基金管理人所管理的基金份额余额及其变动情况的账户</w:t>
      </w:r>
    </w:p>
    <w:p w:rsidR="00B67D8A" w:rsidRDefault="00B67D8A">
      <w:pPr>
        <w:adjustRightInd w:val="0"/>
        <w:snapToGrid w:val="0"/>
        <w:spacing w:line="360" w:lineRule="auto"/>
        <w:ind w:firstLineChars="200" w:firstLine="480"/>
        <w:rPr>
          <w:bCs/>
          <w:sz w:val="24"/>
          <w:szCs w:val="24"/>
        </w:rPr>
      </w:pPr>
      <w:r>
        <w:rPr>
          <w:bCs/>
          <w:sz w:val="24"/>
          <w:szCs w:val="24"/>
        </w:rPr>
        <w:t>29</w:t>
      </w:r>
      <w:r>
        <w:rPr>
          <w:rFonts w:hAnsi="宋体"/>
          <w:bCs/>
          <w:sz w:val="24"/>
          <w:szCs w:val="24"/>
        </w:rPr>
        <w:t>、基金交易账户：指销售机构为投资人开立的、记录投资人通过该销售机构</w:t>
      </w:r>
      <w:r>
        <w:rPr>
          <w:rFonts w:hAnsi="宋体"/>
          <w:sz w:val="24"/>
          <w:szCs w:val="24"/>
        </w:rPr>
        <w:t>办理认购、申购、赎回、转换及转托管等业务而引起</w:t>
      </w:r>
      <w:r>
        <w:rPr>
          <w:rFonts w:hAnsi="宋体"/>
          <w:bCs/>
          <w:sz w:val="24"/>
          <w:szCs w:val="24"/>
        </w:rPr>
        <w:t>的基金份额变动及结余情况的账户</w:t>
      </w:r>
    </w:p>
    <w:p w:rsidR="00B67D8A" w:rsidRDefault="00B67D8A">
      <w:pPr>
        <w:adjustRightInd w:val="0"/>
        <w:snapToGrid w:val="0"/>
        <w:spacing w:line="360" w:lineRule="auto"/>
        <w:ind w:firstLineChars="200" w:firstLine="480"/>
        <w:rPr>
          <w:bCs/>
          <w:sz w:val="24"/>
          <w:szCs w:val="24"/>
        </w:rPr>
      </w:pPr>
      <w:r>
        <w:rPr>
          <w:bCs/>
          <w:sz w:val="24"/>
          <w:szCs w:val="24"/>
        </w:rPr>
        <w:t>30</w:t>
      </w:r>
      <w:r>
        <w:rPr>
          <w:rFonts w:hAnsi="宋体"/>
          <w:bCs/>
          <w:sz w:val="24"/>
          <w:szCs w:val="24"/>
        </w:rPr>
        <w:t>、基金合同生效日：指基金募集达到法律法规规定及基金合同规定的条件，基金管理人向中国证监会办理基金备案手续完毕，并获得中国证监会书面确认的日期</w:t>
      </w:r>
    </w:p>
    <w:p w:rsidR="00B67D8A" w:rsidRDefault="00B67D8A">
      <w:pPr>
        <w:adjustRightInd w:val="0"/>
        <w:snapToGrid w:val="0"/>
        <w:spacing w:line="360" w:lineRule="auto"/>
        <w:ind w:firstLineChars="200" w:firstLine="480"/>
        <w:rPr>
          <w:bCs/>
          <w:sz w:val="24"/>
          <w:szCs w:val="24"/>
        </w:rPr>
      </w:pPr>
      <w:r>
        <w:rPr>
          <w:bCs/>
          <w:sz w:val="24"/>
          <w:szCs w:val="24"/>
        </w:rPr>
        <w:t>31</w:t>
      </w:r>
      <w:r>
        <w:rPr>
          <w:rFonts w:hAnsi="宋体"/>
          <w:bCs/>
          <w:sz w:val="24"/>
          <w:szCs w:val="24"/>
        </w:rPr>
        <w:t>、基金合同终止日：指基金合同规定的基金合同终止事由出现后，基金财产清算完毕，清算结果报中国证监会备案并予以公告的日期</w:t>
      </w:r>
    </w:p>
    <w:p w:rsidR="00B67D8A" w:rsidRDefault="00B67D8A">
      <w:pPr>
        <w:adjustRightInd w:val="0"/>
        <w:snapToGrid w:val="0"/>
        <w:spacing w:line="360" w:lineRule="auto"/>
        <w:ind w:firstLineChars="200" w:firstLine="480"/>
        <w:rPr>
          <w:bCs/>
          <w:sz w:val="24"/>
          <w:szCs w:val="24"/>
        </w:rPr>
      </w:pPr>
      <w:r>
        <w:rPr>
          <w:bCs/>
          <w:sz w:val="24"/>
          <w:szCs w:val="24"/>
        </w:rPr>
        <w:t>32</w:t>
      </w:r>
      <w:r>
        <w:rPr>
          <w:rFonts w:hAnsi="宋体"/>
          <w:bCs/>
          <w:sz w:val="24"/>
          <w:szCs w:val="24"/>
        </w:rPr>
        <w:t>、基金募集期：指自基金份额发售之日起至发售结束之日止的期间，最长不得超过</w:t>
      </w:r>
      <w:r>
        <w:rPr>
          <w:bCs/>
          <w:sz w:val="24"/>
          <w:szCs w:val="24"/>
        </w:rPr>
        <w:t>3</w:t>
      </w:r>
      <w:r>
        <w:rPr>
          <w:rFonts w:hAnsi="宋体"/>
          <w:bCs/>
          <w:sz w:val="24"/>
          <w:szCs w:val="24"/>
        </w:rPr>
        <w:t>个月</w:t>
      </w:r>
    </w:p>
    <w:p w:rsidR="00B67D8A" w:rsidRDefault="00B67D8A">
      <w:pPr>
        <w:adjustRightInd w:val="0"/>
        <w:snapToGrid w:val="0"/>
        <w:spacing w:line="360" w:lineRule="auto"/>
        <w:ind w:firstLineChars="200" w:firstLine="480"/>
        <w:rPr>
          <w:bCs/>
          <w:sz w:val="24"/>
          <w:szCs w:val="24"/>
        </w:rPr>
      </w:pPr>
      <w:r>
        <w:rPr>
          <w:bCs/>
          <w:sz w:val="24"/>
          <w:szCs w:val="24"/>
        </w:rPr>
        <w:t>33</w:t>
      </w:r>
      <w:r>
        <w:rPr>
          <w:rFonts w:hAnsi="宋体"/>
          <w:bCs/>
          <w:sz w:val="24"/>
          <w:szCs w:val="24"/>
        </w:rPr>
        <w:t>、存续期：指基金合同生效至终止之间的不定期期限</w:t>
      </w:r>
    </w:p>
    <w:p w:rsidR="00B67D8A" w:rsidRDefault="00B67D8A">
      <w:pPr>
        <w:adjustRightInd w:val="0"/>
        <w:snapToGrid w:val="0"/>
        <w:spacing w:line="360" w:lineRule="auto"/>
        <w:ind w:firstLineChars="200" w:firstLine="480"/>
        <w:rPr>
          <w:bCs/>
          <w:sz w:val="24"/>
          <w:szCs w:val="24"/>
        </w:rPr>
      </w:pPr>
      <w:r>
        <w:rPr>
          <w:bCs/>
          <w:sz w:val="24"/>
          <w:szCs w:val="24"/>
        </w:rPr>
        <w:t>34</w:t>
      </w:r>
      <w:r>
        <w:rPr>
          <w:rFonts w:hAnsi="宋体"/>
          <w:bCs/>
          <w:sz w:val="24"/>
          <w:szCs w:val="24"/>
        </w:rPr>
        <w:t>、工作日：指上海证券交易所、深圳证券交易所的正常交易日</w:t>
      </w:r>
    </w:p>
    <w:p w:rsidR="00B67D8A" w:rsidRDefault="00B67D8A">
      <w:pPr>
        <w:adjustRightInd w:val="0"/>
        <w:snapToGrid w:val="0"/>
        <w:spacing w:line="360" w:lineRule="auto"/>
        <w:ind w:firstLineChars="200" w:firstLine="480"/>
        <w:rPr>
          <w:bCs/>
          <w:sz w:val="24"/>
          <w:szCs w:val="24"/>
        </w:rPr>
      </w:pPr>
      <w:r>
        <w:rPr>
          <w:bCs/>
          <w:sz w:val="24"/>
          <w:szCs w:val="24"/>
        </w:rPr>
        <w:lastRenderedPageBreak/>
        <w:t>35</w:t>
      </w:r>
      <w:r>
        <w:rPr>
          <w:rFonts w:hAnsi="宋体"/>
          <w:bCs/>
          <w:sz w:val="24"/>
          <w:szCs w:val="24"/>
        </w:rPr>
        <w:t>、</w:t>
      </w:r>
      <w:r>
        <w:rPr>
          <w:bCs/>
          <w:sz w:val="24"/>
          <w:szCs w:val="24"/>
        </w:rPr>
        <w:t>T</w:t>
      </w:r>
      <w:r>
        <w:rPr>
          <w:rFonts w:hAnsi="宋体"/>
          <w:bCs/>
          <w:sz w:val="24"/>
          <w:szCs w:val="24"/>
        </w:rPr>
        <w:t>日：指销售机构在规定时间受理投资人申购、赎回或其他业务申请的开放日</w:t>
      </w:r>
    </w:p>
    <w:p w:rsidR="00B67D8A" w:rsidRDefault="00B67D8A">
      <w:pPr>
        <w:adjustRightInd w:val="0"/>
        <w:snapToGrid w:val="0"/>
        <w:spacing w:line="360" w:lineRule="auto"/>
        <w:ind w:firstLineChars="200" w:firstLine="480"/>
        <w:rPr>
          <w:bCs/>
          <w:sz w:val="24"/>
          <w:szCs w:val="24"/>
        </w:rPr>
      </w:pPr>
      <w:r>
        <w:rPr>
          <w:bCs/>
          <w:sz w:val="24"/>
          <w:szCs w:val="24"/>
        </w:rPr>
        <w:t>36</w:t>
      </w:r>
      <w:r>
        <w:rPr>
          <w:rFonts w:hAnsi="宋体"/>
          <w:bCs/>
          <w:sz w:val="24"/>
          <w:szCs w:val="24"/>
        </w:rPr>
        <w:t>、</w:t>
      </w:r>
      <w:r>
        <w:rPr>
          <w:bCs/>
          <w:sz w:val="24"/>
          <w:szCs w:val="24"/>
        </w:rPr>
        <w:t>T+n</w:t>
      </w:r>
      <w:r>
        <w:rPr>
          <w:rFonts w:hAnsi="宋体"/>
          <w:bCs/>
          <w:sz w:val="24"/>
          <w:szCs w:val="24"/>
        </w:rPr>
        <w:t>日：指自</w:t>
      </w:r>
      <w:r>
        <w:rPr>
          <w:bCs/>
          <w:sz w:val="24"/>
          <w:szCs w:val="24"/>
        </w:rPr>
        <w:t>T</w:t>
      </w:r>
      <w:r>
        <w:rPr>
          <w:rFonts w:hAnsi="宋体"/>
          <w:bCs/>
          <w:sz w:val="24"/>
          <w:szCs w:val="24"/>
        </w:rPr>
        <w:t>日起第</w:t>
      </w:r>
      <w:r>
        <w:rPr>
          <w:bCs/>
          <w:sz w:val="24"/>
          <w:szCs w:val="24"/>
        </w:rPr>
        <w:t>n</w:t>
      </w:r>
      <w:proofErr w:type="gramStart"/>
      <w:r>
        <w:rPr>
          <w:rFonts w:hAnsi="宋体"/>
          <w:bCs/>
          <w:sz w:val="24"/>
          <w:szCs w:val="24"/>
        </w:rPr>
        <w:t>个</w:t>
      </w:r>
      <w:proofErr w:type="gramEnd"/>
      <w:r>
        <w:rPr>
          <w:rFonts w:hAnsi="宋体"/>
          <w:bCs/>
          <w:sz w:val="24"/>
          <w:szCs w:val="24"/>
        </w:rPr>
        <w:t>工作日</w:t>
      </w:r>
      <w:r>
        <w:rPr>
          <w:bCs/>
          <w:sz w:val="24"/>
          <w:szCs w:val="24"/>
        </w:rPr>
        <w:t>(</w:t>
      </w:r>
      <w:r>
        <w:rPr>
          <w:rFonts w:hAnsi="宋体"/>
          <w:bCs/>
          <w:sz w:val="24"/>
          <w:szCs w:val="24"/>
        </w:rPr>
        <w:t>不包含</w:t>
      </w:r>
      <w:r>
        <w:rPr>
          <w:bCs/>
          <w:sz w:val="24"/>
          <w:szCs w:val="24"/>
        </w:rPr>
        <w:t>T</w:t>
      </w:r>
      <w:r>
        <w:rPr>
          <w:rFonts w:hAnsi="宋体"/>
          <w:bCs/>
          <w:sz w:val="24"/>
          <w:szCs w:val="24"/>
        </w:rPr>
        <w:t>日</w:t>
      </w:r>
      <w:r>
        <w:rPr>
          <w:bCs/>
          <w:sz w:val="24"/>
          <w:szCs w:val="24"/>
        </w:rPr>
        <w:t>)</w:t>
      </w:r>
    </w:p>
    <w:p w:rsidR="00B67D8A" w:rsidRDefault="00B67D8A">
      <w:pPr>
        <w:adjustRightInd w:val="0"/>
        <w:snapToGrid w:val="0"/>
        <w:spacing w:line="360" w:lineRule="auto"/>
        <w:ind w:firstLineChars="200" w:firstLine="480"/>
        <w:rPr>
          <w:bCs/>
          <w:sz w:val="24"/>
          <w:szCs w:val="24"/>
        </w:rPr>
      </w:pPr>
      <w:r>
        <w:rPr>
          <w:bCs/>
          <w:sz w:val="24"/>
          <w:szCs w:val="24"/>
        </w:rPr>
        <w:t>37</w:t>
      </w:r>
      <w:r>
        <w:rPr>
          <w:rFonts w:hAnsi="宋体"/>
          <w:bCs/>
          <w:sz w:val="24"/>
          <w:szCs w:val="24"/>
        </w:rPr>
        <w:t>、开放日：指为投资人办理基金份额申购、赎回或其他业务的工作日</w:t>
      </w:r>
    </w:p>
    <w:p w:rsidR="00B67D8A" w:rsidRDefault="00B67D8A">
      <w:pPr>
        <w:adjustRightInd w:val="0"/>
        <w:snapToGrid w:val="0"/>
        <w:spacing w:line="360" w:lineRule="auto"/>
        <w:ind w:firstLineChars="200" w:firstLine="480"/>
        <w:rPr>
          <w:bCs/>
          <w:sz w:val="24"/>
          <w:szCs w:val="24"/>
        </w:rPr>
      </w:pPr>
      <w:r>
        <w:rPr>
          <w:bCs/>
          <w:sz w:val="24"/>
          <w:szCs w:val="24"/>
        </w:rPr>
        <w:t>38</w:t>
      </w:r>
      <w:r>
        <w:rPr>
          <w:rFonts w:hAnsi="宋体"/>
          <w:bCs/>
          <w:sz w:val="24"/>
          <w:szCs w:val="24"/>
        </w:rPr>
        <w:t>、开放时间：指开放日基金接受申购、赎回或其他交易的时间段</w:t>
      </w:r>
    </w:p>
    <w:p w:rsidR="00B67D8A" w:rsidRDefault="00B67D8A">
      <w:pPr>
        <w:adjustRightInd w:val="0"/>
        <w:snapToGrid w:val="0"/>
        <w:spacing w:line="360" w:lineRule="auto"/>
        <w:ind w:firstLineChars="200" w:firstLine="480"/>
        <w:rPr>
          <w:bCs/>
          <w:sz w:val="24"/>
          <w:szCs w:val="24"/>
        </w:rPr>
      </w:pPr>
      <w:r>
        <w:rPr>
          <w:bCs/>
          <w:sz w:val="24"/>
          <w:szCs w:val="24"/>
        </w:rPr>
        <w:t>39</w:t>
      </w:r>
      <w:r>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rsidR="00B67D8A" w:rsidRDefault="00B67D8A">
      <w:pPr>
        <w:adjustRightInd w:val="0"/>
        <w:snapToGrid w:val="0"/>
        <w:spacing w:line="360" w:lineRule="auto"/>
        <w:ind w:firstLineChars="200" w:firstLine="480"/>
        <w:rPr>
          <w:bCs/>
          <w:sz w:val="24"/>
          <w:szCs w:val="24"/>
        </w:rPr>
      </w:pPr>
      <w:r>
        <w:rPr>
          <w:bCs/>
          <w:sz w:val="24"/>
          <w:szCs w:val="24"/>
        </w:rPr>
        <w:t>40</w:t>
      </w:r>
      <w:r>
        <w:rPr>
          <w:rFonts w:hAnsi="宋体"/>
          <w:bCs/>
          <w:sz w:val="24"/>
          <w:szCs w:val="24"/>
        </w:rPr>
        <w:t>、认购：指在基金募集期内，投资人根据基金合同和招募说明书的规定申请购买基金份额的行为</w:t>
      </w:r>
    </w:p>
    <w:p w:rsidR="00B67D8A" w:rsidRDefault="00B67D8A">
      <w:pPr>
        <w:adjustRightInd w:val="0"/>
        <w:snapToGrid w:val="0"/>
        <w:spacing w:line="360" w:lineRule="auto"/>
        <w:ind w:firstLineChars="200" w:firstLine="480"/>
        <w:rPr>
          <w:bCs/>
          <w:sz w:val="24"/>
          <w:szCs w:val="24"/>
        </w:rPr>
      </w:pPr>
      <w:r>
        <w:rPr>
          <w:bCs/>
          <w:sz w:val="24"/>
          <w:szCs w:val="24"/>
        </w:rPr>
        <w:t>41</w:t>
      </w:r>
      <w:r>
        <w:rPr>
          <w:rFonts w:hAnsi="宋体"/>
          <w:bCs/>
          <w:sz w:val="24"/>
          <w:szCs w:val="24"/>
        </w:rPr>
        <w:t>、申购：指基金合同生效后，投资人根据基金合同和招募说明书的规定申请购买基金份额的行为</w:t>
      </w:r>
    </w:p>
    <w:p w:rsidR="00B67D8A" w:rsidRDefault="00B67D8A">
      <w:pPr>
        <w:adjustRightInd w:val="0"/>
        <w:snapToGrid w:val="0"/>
        <w:spacing w:line="360" w:lineRule="auto"/>
        <w:ind w:firstLineChars="200" w:firstLine="480"/>
        <w:rPr>
          <w:bCs/>
          <w:sz w:val="24"/>
          <w:szCs w:val="24"/>
        </w:rPr>
      </w:pPr>
      <w:r>
        <w:rPr>
          <w:bCs/>
          <w:sz w:val="24"/>
          <w:szCs w:val="24"/>
        </w:rPr>
        <w:t>42</w:t>
      </w:r>
      <w:r>
        <w:rPr>
          <w:rFonts w:hAnsi="宋体"/>
          <w:bCs/>
          <w:sz w:val="24"/>
          <w:szCs w:val="24"/>
        </w:rPr>
        <w:t>、赎回：指基金合同生效后，基金份额持有人按基金合同和招募说明书规定的条件要求将基金份额兑换为现金的行为</w:t>
      </w:r>
    </w:p>
    <w:p w:rsidR="00B67D8A" w:rsidRDefault="00B67D8A">
      <w:pPr>
        <w:adjustRightInd w:val="0"/>
        <w:snapToGrid w:val="0"/>
        <w:spacing w:line="360" w:lineRule="auto"/>
        <w:ind w:firstLineChars="200" w:firstLine="480"/>
        <w:rPr>
          <w:bCs/>
          <w:sz w:val="24"/>
          <w:szCs w:val="24"/>
        </w:rPr>
      </w:pPr>
      <w:r>
        <w:rPr>
          <w:bCs/>
          <w:sz w:val="24"/>
          <w:szCs w:val="24"/>
        </w:rPr>
        <w:t>43</w:t>
      </w:r>
      <w:r>
        <w:rPr>
          <w:rFonts w:hAnsi="宋体"/>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Ansi="宋体"/>
          <w:bCs/>
          <w:sz w:val="24"/>
          <w:szCs w:val="24"/>
        </w:rPr>
        <w:t>基金基金</w:t>
      </w:r>
      <w:proofErr w:type="gramEnd"/>
      <w:r>
        <w:rPr>
          <w:rFonts w:hAnsi="宋体"/>
          <w:bCs/>
          <w:sz w:val="24"/>
          <w:szCs w:val="24"/>
        </w:rPr>
        <w:t>份额的行为</w:t>
      </w:r>
    </w:p>
    <w:p w:rsidR="00B67D8A" w:rsidRDefault="00B67D8A">
      <w:pPr>
        <w:adjustRightInd w:val="0"/>
        <w:snapToGrid w:val="0"/>
        <w:spacing w:line="360" w:lineRule="auto"/>
        <w:ind w:firstLineChars="200" w:firstLine="480"/>
        <w:rPr>
          <w:bCs/>
          <w:sz w:val="24"/>
          <w:szCs w:val="24"/>
        </w:rPr>
      </w:pPr>
      <w:r>
        <w:rPr>
          <w:bCs/>
          <w:sz w:val="24"/>
          <w:szCs w:val="24"/>
        </w:rPr>
        <w:t>44</w:t>
      </w:r>
      <w:r>
        <w:rPr>
          <w:rFonts w:hAnsi="宋体"/>
          <w:bCs/>
          <w:sz w:val="24"/>
          <w:szCs w:val="24"/>
        </w:rPr>
        <w:t>、转托管：指基金份额持有人在本基金的不同销售机构之间实施的变更所持基金份额销售机构的操作</w:t>
      </w:r>
    </w:p>
    <w:p w:rsidR="00B67D8A" w:rsidRDefault="00B67D8A">
      <w:pPr>
        <w:adjustRightInd w:val="0"/>
        <w:snapToGrid w:val="0"/>
        <w:spacing w:line="360" w:lineRule="auto"/>
        <w:ind w:firstLineChars="200" w:firstLine="480"/>
        <w:rPr>
          <w:bCs/>
          <w:sz w:val="24"/>
          <w:szCs w:val="24"/>
        </w:rPr>
      </w:pPr>
      <w:r>
        <w:rPr>
          <w:bCs/>
          <w:sz w:val="24"/>
          <w:szCs w:val="24"/>
        </w:rPr>
        <w:t>45</w:t>
      </w:r>
      <w:r>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rsidR="00B67D8A" w:rsidRDefault="00B67D8A">
      <w:pPr>
        <w:adjustRightInd w:val="0"/>
        <w:snapToGrid w:val="0"/>
        <w:spacing w:line="360" w:lineRule="auto"/>
        <w:ind w:firstLineChars="200" w:firstLine="480"/>
        <w:rPr>
          <w:bCs/>
          <w:sz w:val="24"/>
          <w:szCs w:val="24"/>
        </w:rPr>
      </w:pPr>
      <w:r>
        <w:rPr>
          <w:bCs/>
          <w:sz w:val="24"/>
          <w:szCs w:val="24"/>
        </w:rPr>
        <w:t>46</w:t>
      </w:r>
      <w:r>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Pr>
          <w:bCs/>
          <w:sz w:val="24"/>
          <w:szCs w:val="24"/>
        </w:rPr>
        <w:t>10%</w:t>
      </w:r>
    </w:p>
    <w:p w:rsidR="00B67D8A" w:rsidRDefault="00B67D8A">
      <w:pPr>
        <w:adjustRightInd w:val="0"/>
        <w:snapToGrid w:val="0"/>
        <w:spacing w:line="360" w:lineRule="auto"/>
        <w:ind w:firstLineChars="200" w:firstLine="480"/>
        <w:rPr>
          <w:bCs/>
          <w:sz w:val="24"/>
          <w:szCs w:val="24"/>
        </w:rPr>
      </w:pPr>
      <w:r>
        <w:rPr>
          <w:bCs/>
          <w:sz w:val="24"/>
          <w:szCs w:val="24"/>
        </w:rPr>
        <w:t>47</w:t>
      </w:r>
      <w:r>
        <w:rPr>
          <w:rFonts w:hAnsi="宋体"/>
          <w:bCs/>
          <w:sz w:val="24"/>
          <w:szCs w:val="24"/>
        </w:rPr>
        <w:t>、元：指人民币元</w:t>
      </w:r>
    </w:p>
    <w:p w:rsidR="00B67D8A" w:rsidRDefault="00B67D8A">
      <w:pPr>
        <w:adjustRightInd w:val="0"/>
        <w:snapToGrid w:val="0"/>
        <w:spacing w:line="360" w:lineRule="auto"/>
        <w:ind w:firstLineChars="200" w:firstLine="480"/>
        <w:rPr>
          <w:bCs/>
          <w:sz w:val="24"/>
          <w:szCs w:val="24"/>
        </w:rPr>
      </w:pPr>
      <w:r>
        <w:rPr>
          <w:bCs/>
          <w:sz w:val="24"/>
          <w:szCs w:val="24"/>
        </w:rPr>
        <w:t>48</w:t>
      </w:r>
      <w:r>
        <w:rPr>
          <w:rFonts w:hAnsi="宋体"/>
          <w:bCs/>
          <w:sz w:val="24"/>
          <w:szCs w:val="24"/>
        </w:rPr>
        <w:t>、基金收益：指基金投资所得红利、股息、债券利息、买卖证券价差、银行</w:t>
      </w:r>
      <w:r>
        <w:rPr>
          <w:rFonts w:hAnsi="宋体"/>
          <w:bCs/>
          <w:sz w:val="24"/>
          <w:szCs w:val="24"/>
        </w:rPr>
        <w:lastRenderedPageBreak/>
        <w:t>存款利息、已实现的其他合法收入及因运用基金财产带来的成本和费用的节约</w:t>
      </w:r>
    </w:p>
    <w:p w:rsidR="00B67D8A" w:rsidRDefault="00B67D8A">
      <w:pPr>
        <w:adjustRightInd w:val="0"/>
        <w:snapToGrid w:val="0"/>
        <w:spacing w:line="360" w:lineRule="auto"/>
        <w:ind w:firstLineChars="200" w:firstLine="480"/>
        <w:rPr>
          <w:bCs/>
          <w:sz w:val="24"/>
          <w:szCs w:val="24"/>
        </w:rPr>
      </w:pPr>
      <w:r>
        <w:rPr>
          <w:bCs/>
          <w:sz w:val="24"/>
          <w:szCs w:val="24"/>
        </w:rPr>
        <w:t>49</w:t>
      </w:r>
      <w:r>
        <w:rPr>
          <w:rFonts w:hAnsi="宋体"/>
          <w:bCs/>
          <w:sz w:val="24"/>
          <w:szCs w:val="24"/>
        </w:rPr>
        <w:t>、基金资产总值：指基金拥有的各类有价证券、银行存款本息、基金应收申购款及其他资产的价值总和</w:t>
      </w:r>
    </w:p>
    <w:p w:rsidR="00B67D8A" w:rsidRDefault="00B67D8A">
      <w:pPr>
        <w:adjustRightInd w:val="0"/>
        <w:snapToGrid w:val="0"/>
        <w:spacing w:line="360" w:lineRule="auto"/>
        <w:ind w:firstLineChars="200" w:firstLine="480"/>
        <w:rPr>
          <w:bCs/>
          <w:sz w:val="24"/>
          <w:szCs w:val="24"/>
        </w:rPr>
      </w:pPr>
      <w:r>
        <w:rPr>
          <w:bCs/>
          <w:sz w:val="24"/>
          <w:szCs w:val="24"/>
        </w:rPr>
        <w:t>50</w:t>
      </w:r>
      <w:r>
        <w:rPr>
          <w:rFonts w:hAnsi="宋体"/>
          <w:bCs/>
          <w:sz w:val="24"/>
          <w:szCs w:val="24"/>
        </w:rPr>
        <w:t>、基金资产净值：指基金资产总值减去基金负债后的价值</w:t>
      </w:r>
    </w:p>
    <w:p w:rsidR="00B67D8A" w:rsidRDefault="00B67D8A">
      <w:pPr>
        <w:adjustRightInd w:val="0"/>
        <w:snapToGrid w:val="0"/>
        <w:spacing w:line="360" w:lineRule="auto"/>
        <w:ind w:firstLineChars="200" w:firstLine="480"/>
        <w:rPr>
          <w:bCs/>
          <w:sz w:val="24"/>
          <w:szCs w:val="24"/>
        </w:rPr>
      </w:pPr>
      <w:r>
        <w:rPr>
          <w:bCs/>
          <w:sz w:val="24"/>
          <w:szCs w:val="24"/>
        </w:rPr>
        <w:t>51</w:t>
      </w:r>
      <w:r>
        <w:rPr>
          <w:rFonts w:hAnsi="宋体"/>
          <w:bCs/>
          <w:sz w:val="24"/>
          <w:szCs w:val="24"/>
        </w:rPr>
        <w:t>、基金份额净值：指计算日基金资产净值除以计算日基金份额总数</w:t>
      </w:r>
    </w:p>
    <w:p w:rsidR="00B67D8A" w:rsidRDefault="00B67D8A">
      <w:pPr>
        <w:adjustRightInd w:val="0"/>
        <w:snapToGrid w:val="0"/>
        <w:spacing w:line="360" w:lineRule="auto"/>
        <w:ind w:firstLineChars="200" w:firstLine="480"/>
        <w:rPr>
          <w:bCs/>
          <w:sz w:val="24"/>
          <w:szCs w:val="24"/>
        </w:rPr>
      </w:pPr>
      <w:r>
        <w:rPr>
          <w:bCs/>
          <w:sz w:val="24"/>
          <w:szCs w:val="24"/>
        </w:rPr>
        <w:t>52</w:t>
      </w:r>
      <w:r>
        <w:rPr>
          <w:rFonts w:hAnsi="宋体"/>
          <w:bCs/>
          <w:sz w:val="24"/>
          <w:szCs w:val="24"/>
        </w:rPr>
        <w:t>、基金资产估值：指计算评估基金资产和负债的价值，以确定基金资产净值和基金份额净值的过程</w:t>
      </w:r>
    </w:p>
    <w:p w:rsidR="00B67D8A" w:rsidRDefault="00B67D8A">
      <w:pPr>
        <w:adjustRightInd w:val="0"/>
        <w:snapToGrid w:val="0"/>
        <w:spacing w:line="360" w:lineRule="auto"/>
        <w:ind w:firstLineChars="200" w:firstLine="480"/>
        <w:rPr>
          <w:bCs/>
          <w:sz w:val="24"/>
          <w:szCs w:val="24"/>
        </w:rPr>
      </w:pPr>
      <w:r>
        <w:rPr>
          <w:bCs/>
          <w:sz w:val="24"/>
          <w:szCs w:val="24"/>
        </w:rPr>
        <w:t>53</w:t>
      </w:r>
      <w:r>
        <w:rPr>
          <w:rFonts w:hAnsi="宋体"/>
          <w:bCs/>
          <w:sz w:val="24"/>
          <w:szCs w:val="24"/>
        </w:rPr>
        <w:t>、定期支付：指本基金按照基金合同的约定，每月定期向基金份额持有人支付一定现金的业务</w:t>
      </w:r>
    </w:p>
    <w:p w:rsidR="00B67D8A" w:rsidRDefault="00B67D8A">
      <w:pPr>
        <w:adjustRightInd w:val="0"/>
        <w:snapToGrid w:val="0"/>
        <w:spacing w:line="360" w:lineRule="auto"/>
        <w:ind w:firstLineChars="200" w:firstLine="480"/>
        <w:rPr>
          <w:bCs/>
          <w:sz w:val="24"/>
          <w:szCs w:val="24"/>
        </w:rPr>
      </w:pPr>
      <w:r>
        <w:rPr>
          <w:bCs/>
          <w:sz w:val="24"/>
          <w:szCs w:val="24"/>
        </w:rPr>
        <w:t>54</w:t>
      </w:r>
      <w:r>
        <w:rPr>
          <w:rFonts w:hAnsi="宋体"/>
          <w:bCs/>
          <w:sz w:val="24"/>
          <w:szCs w:val="24"/>
        </w:rPr>
        <w:t>、指定媒体：指中国证监会指定的用以进行信息披露的报刊、互联网网站及其他媒体</w:t>
      </w:r>
    </w:p>
    <w:p w:rsidR="00B67D8A" w:rsidRDefault="00B67D8A">
      <w:pPr>
        <w:adjustRightInd w:val="0"/>
        <w:snapToGrid w:val="0"/>
        <w:spacing w:line="360" w:lineRule="auto"/>
        <w:ind w:firstLineChars="200" w:firstLine="480"/>
        <w:rPr>
          <w:sz w:val="24"/>
          <w:szCs w:val="24"/>
        </w:rPr>
      </w:pPr>
      <w:r>
        <w:rPr>
          <w:bCs/>
          <w:sz w:val="24"/>
          <w:szCs w:val="24"/>
        </w:rPr>
        <w:t>55</w:t>
      </w:r>
      <w:r>
        <w:rPr>
          <w:rFonts w:hAnsi="宋体"/>
          <w:bCs/>
          <w:sz w:val="24"/>
          <w:szCs w:val="24"/>
        </w:rPr>
        <w:t>、不可抗力：指本基金合同当事人不能预见、不能避免且不能克服的客观事件。</w:t>
      </w:r>
    </w:p>
    <w:p w:rsidR="00B67D8A" w:rsidRDefault="00B67D8A">
      <w:pPr>
        <w:adjustRightInd w:val="0"/>
        <w:snapToGrid w:val="0"/>
        <w:spacing w:line="360" w:lineRule="auto"/>
        <w:ind w:firstLineChars="200" w:firstLine="480"/>
        <w:rPr>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4" w:name="_Hlt80961854"/>
      <w:bookmarkStart w:id="5" w:name="_Hlt81034163"/>
      <w:bookmarkStart w:id="6" w:name="_Toc109537381"/>
      <w:bookmarkStart w:id="7" w:name="_Toc382321314"/>
      <w:bookmarkEnd w:id="4"/>
      <w:bookmarkEnd w:id="5"/>
      <w:r>
        <w:rPr>
          <w:rFonts w:ascii="宋体" w:hAnsi="宋体" w:hint="eastAsia"/>
          <w:b/>
          <w:kern w:val="0"/>
          <w:sz w:val="30"/>
        </w:rPr>
        <w:t>三、基金管理人</w:t>
      </w:r>
      <w:bookmarkEnd w:id="6"/>
      <w:bookmarkEnd w:id="7"/>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B67D8A" w:rsidRDefault="00B67D8A">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rsidR="00B67D8A" w:rsidRDefault="00B67D8A">
      <w:pPr>
        <w:widowControl/>
        <w:adjustRightInd w:val="0"/>
        <w:snapToGrid w:val="0"/>
        <w:spacing w:line="360" w:lineRule="auto"/>
        <w:ind w:firstLineChars="200" w:firstLine="480"/>
        <w:rPr>
          <w:kern w:val="0"/>
          <w:sz w:val="24"/>
        </w:rPr>
      </w:pPr>
      <w:r>
        <w:rPr>
          <w:rFonts w:hAnsi="宋体"/>
          <w:kern w:val="0"/>
          <w:sz w:val="24"/>
        </w:rPr>
        <w:t>办公地址：</w:t>
      </w:r>
      <w:r w:rsidR="002D5794" w:rsidRPr="001734F7">
        <w:rPr>
          <w:rFonts w:ascii="宋体" w:hAnsi="宋体" w:cs="宋体" w:hint="eastAsia"/>
          <w:kern w:val="0"/>
          <w:sz w:val="24"/>
        </w:rPr>
        <w:t>上海浦东</w:t>
      </w:r>
      <w:proofErr w:type="gramStart"/>
      <w:r w:rsidR="002D5794" w:rsidRPr="001734F7">
        <w:rPr>
          <w:rFonts w:ascii="宋体" w:hAnsi="宋体" w:cs="宋体" w:hint="eastAsia"/>
          <w:kern w:val="0"/>
          <w:sz w:val="24"/>
        </w:rPr>
        <w:t>新区世纪</w:t>
      </w:r>
      <w:proofErr w:type="gramEnd"/>
      <w:r w:rsidR="002D5794" w:rsidRPr="001734F7">
        <w:rPr>
          <w:rFonts w:ascii="宋体" w:hAnsi="宋体" w:cs="宋体" w:hint="eastAsia"/>
          <w:kern w:val="0"/>
          <w:sz w:val="24"/>
        </w:rPr>
        <w:t>大道8号国</w:t>
      </w:r>
      <w:proofErr w:type="gramStart"/>
      <w:r w:rsidR="002D5794" w:rsidRPr="001734F7">
        <w:rPr>
          <w:rFonts w:ascii="宋体" w:hAnsi="宋体" w:cs="宋体" w:hint="eastAsia"/>
          <w:kern w:val="0"/>
          <w:sz w:val="24"/>
        </w:rPr>
        <w:t>金中心</w:t>
      </w:r>
      <w:proofErr w:type="gramEnd"/>
      <w:r w:rsidR="002D5794" w:rsidRPr="001734F7">
        <w:rPr>
          <w:rFonts w:ascii="宋体" w:hAnsi="宋体" w:cs="宋体" w:hint="eastAsia"/>
          <w:kern w:val="0"/>
          <w:sz w:val="24"/>
        </w:rPr>
        <w:t>二期21-22楼</w:t>
      </w:r>
    </w:p>
    <w:p w:rsidR="00B67D8A" w:rsidRDefault="00B67D8A">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B67D8A" w:rsidRDefault="00B67D8A">
      <w:pPr>
        <w:widowControl/>
        <w:adjustRightInd w:val="0"/>
        <w:snapToGrid w:val="0"/>
        <w:spacing w:line="360" w:lineRule="auto"/>
        <w:ind w:firstLineChars="200" w:firstLine="480"/>
        <w:rPr>
          <w:kern w:val="0"/>
          <w:sz w:val="24"/>
        </w:rPr>
      </w:pPr>
      <w:r>
        <w:rPr>
          <w:rFonts w:hAnsi="宋体"/>
          <w:kern w:val="0"/>
          <w:sz w:val="24"/>
        </w:rPr>
        <w:t>法定代表人：钱文挥</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B67D8A" w:rsidRDefault="00B67D8A">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B67D8A" w:rsidRDefault="00B67D8A">
      <w:pPr>
        <w:widowControl/>
        <w:adjustRightInd w:val="0"/>
        <w:snapToGrid w:val="0"/>
        <w:spacing w:line="360" w:lineRule="auto"/>
        <w:ind w:firstLineChars="200" w:firstLine="480"/>
        <w:rPr>
          <w:kern w:val="0"/>
          <w:sz w:val="24"/>
        </w:rPr>
      </w:pPr>
      <w:r>
        <w:rPr>
          <w:rFonts w:hAnsi="宋体"/>
          <w:kern w:val="0"/>
          <w:sz w:val="24"/>
        </w:rPr>
        <w:t>存续期间：持续经营</w:t>
      </w:r>
    </w:p>
    <w:p w:rsidR="00B67D8A" w:rsidRDefault="00B67D8A">
      <w:pPr>
        <w:widowControl/>
        <w:adjustRightInd w:val="0"/>
        <w:snapToGrid w:val="0"/>
        <w:spacing w:line="360" w:lineRule="auto"/>
        <w:ind w:firstLineChars="200" w:firstLine="480"/>
        <w:rPr>
          <w:kern w:val="0"/>
          <w:sz w:val="24"/>
        </w:rPr>
      </w:pPr>
      <w:r>
        <w:rPr>
          <w:rFonts w:hAnsi="宋体"/>
          <w:kern w:val="0"/>
          <w:sz w:val="24"/>
        </w:rPr>
        <w:t>联系人：陈超</w:t>
      </w:r>
    </w:p>
    <w:p w:rsidR="00B67D8A" w:rsidRDefault="00B67D8A">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B67D8A" w:rsidRDefault="00B67D8A">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B67D8A" w:rsidRDefault="00B67D8A">
      <w:pPr>
        <w:widowControl/>
        <w:adjustRightInd w:val="0"/>
        <w:snapToGrid w:val="0"/>
        <w:spacing w:line="360" w:lineRule="auto"/>
        <w:ind w:firstLineChars="200" w:firstLine="480"/>
        <w:rPr>
          <w:kern w:val="0"/>
          <w:sz w:val="24"/>
        </w:rPr>
      </w:pPr>
      <w:r>
        <w:rPr>
          <w:rFonts w:hAnsi="宋体"/>
          <w:kern w:val="0"/>
          <w:sz w:val="24"/>
        </w:rPr>
        <w:lastRenderedPageBreak/>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67D8A">
        <w:tc>
          <w:tcPr>
            <w:tcW w:w="5400" w:type="dxa"/>
          </w:tcPr>
          <w:p w:rsidR="00B67D8A" w:rsidRDefault="00B67D8A">
            <w:pPr>
              <w:widowControl/>
              <w:jc w:val="center"/>
              <w:rPr>
                <w:kern w:val="0"/>
                <w:sz w:val="24"/>
              </w:rPr>
            </w:pPr>
            <w:r>
              <w:rPr>
                <w:rFonts w:hAnsi="宋体"/>
                <w:kern w:val="0"/>
                <w:sz w:val="24"/>
              </w:rPr>
              <w:t>股东名称</w:t>
            </w:r>
          </w:p>
        </w:tc>
        <w:tc>
          <w:tcPr>
            <w:tcW w:w="3060" w:type="dxa"/>
          </w:tcPr>
          <w:p w:rsidR="00B67D8A" w:rsidRDefault="00B67D8A">
            <w:pPr>
              <w:widowControl/>
              <w:jc w:val="center"/>
              <w:rPr>
                <w:kern w:val="0"/>
                <w:sz w:val="24"/>
              </w:rPr>
            </w:pPr>
            <w:r>
              <w:rPr>
                <w:rFonts w:hAnsi="宋体"/>
                <w:kern w:val="0"/>
                <w:sz w:val="24"/>
              </w:rPr>
              <w:t>股权比例</w:t>
            </w:r>
          </w:p>
        </w:tc>
      </w:tr>
      <w:tr w:rsidR="00B67D8A">
        <w:tc>
          <w:tcPr>
            <w:tcW w:w="5400" w:type="dxa"/>
          </w:tcPr>
          <w:p w:rsidR="00B67D8A" w:rsidRDefault="00B67D8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B67D8A" w:rsidRDefault="00B67D8A">
            <w:pPr>
              <w:widowControl/>
              <w:jc w:val="center"/>
              <w:rPr>
                <w:kern w:val="0"/>
                <w:sz w:val="24"/>
              </w:rPr>
            </w:pPr>
            <w:r>
              <w:rPr>
                <w:kern w:val="0"/>
                <w:sz w:val="24"/>
              </w:rPr>
              <w:t>65%</w:t>
            </w:r>
          </w:p>
        </w:tc>
      </w:tr>
      <w:tr w:rsidR="00B67D8A">
        <w:tc>
          <w:tcPr>
            <w:tcW w:w="5400" w:type="dxa"/>
          </w:tcPr>
          <w:p w:rsidR="00B67D8A" w:rsidRDefault="00B67D8A">
            <w:pPr>
              <w:widowControl/>
              <w:rPr>
                <w:kern w:val="0"/>
                <w:sz w:val="24"/>
              </w:rPr>
            </w:pPr>
            <w:r>
              <w:rPr>
                <w:rFonts w:hAnsi="宋体"/>
                <w:kern w:val="0"/>
                <w:sz w:val="24"/>
              </w:rPr>
              <w:t>施罗德投资管理有限公司</w:t>
            </w:r>
          </w:p>
        </w:tc>
        <w:tc>
          <w:tcPr>
            <w:tcW w:w="3060" w:type="dxa"/>
            <w:vAlign w:val="center"/>
          </w:tcPr>
          <w:p w:rsidR="00B67D8A" w:rsidRDefault="00B67D8A">
            <w:pPr>
              <w:widowControl/>
              <w:jc w:val="center"/>
              <w:rPr>
                <w:kern w:val="0"/>
                <w:sz w:val="24"/>
              </w:rPr>
            </w:pPr>
            <w:r>
              <w:rPr>
                <w:kern w:val="0"/>
                <w:sz w:val="24"/>
              </w:rPr>
              <w:t>30%</w:t>
            </w:r>
          </w:p>
        </w:tc>
      </w:tr>
      <w:tr w:rsidR="00B67D8A">
        <w:tc>
          <w:tcPr>
            <w:tcW w:w="5400" w:type="dxa"/>
          </w:tcPr>
          <w:p w:rsidR="00B67D8A" w:rsidRDefault="00B67D8A">
            <w:pPr>
              <w:widowControl/>
              <w:rPr>
                <w:kern w:val="0"/>
                <w:sz w:val="24"/>
              </w:rPr>
            </w:pPr>
            <w:r>
              <w:rPr>
                <w:rFonts w:hAnsi="宋体"/>
                <w:kern w:val="0"/>
                <w:sz w:val="24"/>
              </w:rPr>
              <w:t>中国国际海运集装箱（集团）股份有限公司</w:t>
            </w:r>
          </w:p>
        </w:tc>
        <w:tc>
          <w:tcPr>
            <w:tcW w:w="3060" w:type="dxa"/>
            <w:vAlign w:val="center"/>
          </w:tcPr>
          <w:p w:rsidR="00B67D8A" w:rsidRDefault="00B67D8A">
            <w:pPr>
              <w:widowControl/>
              <w:jc w:val="center"/>
              <w:rPr>
                <w:kern w:val="0"/>
                <w:sz w:val="24"/>
              </w:rPr>
            </w:pPr>
            <w:r>
              <w:rPr>
                <w:kern w:val="0"/>
                <w:sz w:val="24"/>
              </w:rPr>
              <w:t>5%</w:t>
            </w:r>
          </w:p>
        </w:tc>
      </w:tr>
    </w:tbl>
    <w:p w:rsidR="00CB75F1" w:rsidRDefault="00B67D8A">
      <w:pPr>
        <w:widowControl/>
        <w:adjustRightInd w:val="0"/>
        <w:snapToGrid w:val="0"/>
        <w:spacing w:line="360" w:lineRule="auto"/>
        <w:ind w:firstLineChars="200" w:firstLine="482"/>
        <w:rPr>
          <w:b/>
          <w:kern w:val="0"/>
          <w:sz w:val="24"/>
          <w:szCs w:val="24"/>
        </w:rPr>
      </w:pPr>
      <w:r>
        <w:rPr>
          <w:rFonts w:hAnsi="宋体"/>
          <w:b/>
          <w:kern w:val="0"/>
          <w:sz w:val="24"/>
          <w:szCs w:val="24"/>
        </w:rPr>
        <w:t>（二）主要成员情况</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rsidR="00F2245C" w:rsidRPr="00BF2B11" w:rsidRDefault="00F2245C" w:rsidP="00F2245C">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钱文挥"/>
        </w:smartTagPr>
        <w:r>
          <w:rPr>
            <w:rFonts w:ascii="宋体" w:hAnsi="宋体" w:cs="宋体" w:hint="eastAsia"/>
            <w:kern w:val="0"/>
            <w:sz w:val="24"/>
          </w:rPr>
          <w:t>钱文挥</w:t>
        </w:r>
      </w:smartTag>
      <w:r w:rsidRPr="00BF2B11">
        <w:rPr>
          <w:rFonts w:ascii="宋体" w:hAnsi="宋体" w:cs="宋体" w:hint="eastAsia"/>
          <w:kern w:val="0"/>
          <w:sz w:val="24"/>
        </w:rPr>
        <w:t>先生，</w:t>
      </w:r>
      <w:r>
        <w:rPr>
          <w:rFonts w:ascii="宋体" w:hAnsi="宋体" w:cs="宋体" w:hint="eastAsia"/>
          <w:kern w:val="0"/>
          <w:sz w:val="24"/>
        </w:rPr>
        <w:t>董事长，</w:t>
      </w:r>
      <w:r w:rsidRPr="00BF2B11">
        <w:rPr>
          <w:rFonts w:ascii="宋体" w:hAnsi="宋体" w:cs="宋体" w:hint="eastAsia"/>
          <w:kern w:val="0"/>
          <w:sz w:val="24"/>
        </w:rPr>
        <w:t>硕士</w:t>
      </w:r>
      <w:r w:rsidRPr="00BF2B11">
        <w:rPr>
          <w:rFonts w:ascii="宋体" w:hAnsi="宋体" w:hint="eastAsia"/>
          <w:kern w:val="0"/>
          <w:sz w:val="24"/>
        </w:rPr>
        <w:t>学历</w:t>
      </w:r>
      <w:r w:rsidRPr="00BF2B11">
        <w:rPr>
          <w:rFonts w:ascii="宋体" w:hAnsi="宋体" w:cs="宋体" w:hint="eastAsia"/>
          <w:kern w:val="0"/>
          <w:sz w:val="24"/>
        </w:rPr>
        <w:t>。现任交通银行股份有限公司执行董事，副行长。历任</w:t>
      </w:r>
      <w:r>
        <w:rPr>
          <w:rFonts w:ascii="宋体" w:hAnsi="宋体" w:cs="宋体" w:hint="eastAsia"/>
          <w:kern w:val="0"/>
          <w:sz w:val="24"/>
        </w:rPr>
        <w:t>中国</w:t>
      </w:r>
      <w:r w:rsidRPr="00BF2B11">
        <w:rPr>
          <w:rFonts w:ascii="宋体" w:hAnsi="宋体" w:cs="宋体" w:hint="eastAsia"/>
          <w:kern w:val="0"/>
          <w:sz w:val="24"/>
        </w:rPr>
        <w:t>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F2245C" w:rsidRDefault="00F2245C" w:rsidP="00F2245C">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F2245C" w:rsidRPr="00990DA8" w:rsidRDefault="00F2245C" w:rsidP="00F2245C">
      <w:pPr>
        <w:widowControl/>
        <w:spacing w:line="360" w:lineRule="auto"/>
        <w:ind w:firstLineChars="200" w:firstLine="480"/>
        <w:rPr>
          <w:rFonts w:ascii="宋体" w:hAnsi="宋体" w:cs="宋体"/>
          <w:kern w:val="0"/>
          <w:sz w:val="24"/>
        </w:rPr>
      </w:pPr>
      <w:r w:rsidRPr="00990DA8">
        <w:rPr>
          <w:rFonts w:ascii="宋体" w:hAnsi="宋体" w:cs="宋体" w:hint="eastAsia"/>
          <w:kern w:val="0"/>
          <w:sz w:val="24"/>
        </w:rPr>
        <w:t>战龙先生，董事，总经理，CFA、</w:t>
      </w:r>
      <w:r>
        <w:rPr>
          <w:rFonts w:ascii="宋体" w:hAnsi="宋体" w:cs="宋体" w:hint="eastAsia"/>
          <w:kern w:val="0"/>
          <w:sz w:val="24"/>
        </w:rPr>
        <w:t>CPA，</w:t>
      </w:r>
      <w:r w:rsidRPr="00990DA8">
        <w:rPr>
          <w:rFonts w:ascii="宋体" w:hAnsi="宋体" w:cs="宋体" w:hint="eastAsia"/>
          <w:kern w:val="0"/>
          <w:sz w:val="24"/>
        </w:rPr>
        <w:t>硕士学历</w:t>
      </w:r>
      <w:r>
        <w:rPr>
          <w:rFonts w:ascii="宋体" w:hAnsi="宋体" w:cs="宋体" w:hint="eastAsia"/>
          <w:kern w:val="0"/>
          <w:sz w:val="24"/>
        </w:rPr>
        <w:t>，兼任交银施罗德资产管理有限公司董事长。</w:t>
      </w:r>
      <w:r w:rsidRPr="00990DA8">
        <w:rPr>
          <w:rFonts w:ascii="宋体" w:hAnsi="宋体" w:cs="宋体" w:hint="eastAsia"/>
          <w:kern w:val="0"/>
          <w:sz w:val="24"/>
        </w:rPr>
        <w:t>历任安达信（新加坡）有限公司审计师，澳洲信孚基金管理有限公司投资风险管理副总监，信</w:t>
      </w:r>
      <w:proofErr w:type="gramStart"/>
      <w:r w:rsidRPr="00990DA8">
        <w:rPr>
          <w:rFonts w:ascii="宋体" w:hAnsi="宋体" w:cs="宋体" w:hint="eastAsia"/>
          <w:kern w:val="0"/>
          <w:sz w:val="24"/>
        </w:rPr>
        <w:t>安资产</w:t>
      </w:r>
      <w:proofErr w:type="gramEnd"/>
      <w:r w:rsidRPr="00990DA8">
        <w:rPr>
          <w:rFonts w:ascii="宋体" w:hAnsi="宋体" w:cs="宋体" w:hint="eastAsia"/>
          <w:kern w:val="0"/>
          <w:sz w:val="24"/>
        </w:rPr>
        <w:t>管理亚洲有限公司投资风险管理总监，荷兰国际投资管理亚太有限公司中国区总经理，招商基金管理有限公司常务副总经理，富达国际中国董事总经理。</w:t>
      </w:r>
    </w:p>
    <w:p w:rsidR="00F2245C" w:rsidRDefault="00F2245C" w:rsidP="00F2245C">
      <w:pPr>
        <w:widowControl/>
        <w:spacing w:line="360" w:lineRule="auto"/>
        <w:ind w:rightChars="-85" w:right="-178" w:firstLineChars="200" w:firstLine="480"/>
        <w:rPr>
          <w:rFonts w:hAnsi="宋体"/>
          <w:kern w:val="0"/>
          <w:sz w:val="24"/>
        </w:rPr>
      </w:pPr>
      <w:r w:rsidRPr="00AD3A7C">
        <w:rPr>
          <w:rFonts w:hAnsi="宋体" w:hint="eastAsia"/>
          <w:kern w:val="0"/>
          <w:sz w:val="24"/>
        </w:rPr>
        <w:t>阮红女士，董事，博士学历。</w:t>
      </w:r>
      <w:r w:rsidRPr="00BE55A6">
        <w:rPr>
          <w:rFonts w:ascii="宋体" w:hAnsi="宋体" w:cs="宋体" w:hint="eastAsia"/>
          <w:kern w:val="0"/>
          <w:sz w:val="24"/>
        </w:rPr>
        <w:t>现任交通银行投资管理部总经理。</w:t>
      </w:r>
      <w:r w:rsidRPr="00AD3A7C">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F2245C" w:rsidRDefault="00F2245C" w:rsidP="00F2245C">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Pr>
          <w:rFonts w:ascii="宋体" w:hAnsi="宋体" w:hint="eastAsia"/>
          <w:kern w:val="0"/>
          <w:sz w:val="24"/>
        </w:rPr>
        <w:t>现任交通银行</w:t>
      </w:r>
      <w:r w:rsidRPr="00DD70D8">
        <w:rPr>
          <w:rFonts w:ascii="宋体" w:hAnsi="宋体" w:hint="eastAsia"/>
          <w:kern w:val="0"/>
          <w:sz w:val="24"/>
        </w:rPr>
        <w:t>投资银行业务中心</w:t>
      </w:r>
      <w:r>
        <w:rPr>
          <w:rFonts w:ascii="宋体" w:hAnsi="宋体" w:hint="eastAsia"/>
          <w:kern w:val="0"/>
          <w:sz w:val="24"/>
        </w:rPr>
        <w:t>总裁</w:t>
      </w:r>
      <w:r w:rsidRPr="00844327">
        <w:rPr>
          <w:rFonts w:ascii="宋体" w:hAnsi="宋体" w:hint="eastAsia"/>
          <w:color w:val="000000"/>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F2245C" w:rsidRDefault="00F2245C" w:rsidP="00F2245C">
      <w:pPr>
        <w:widowControl/>
        <w:spacing w:line="360" w:lineRule="auto"/>
        <w:ind w:firstLineChars="200" w:firstLine="480"/>
        <w:rPr>
          <w:rFonts w:ascii="宋体" w:hAnsi="宋体"/>
          <w:sz w:val="24"/>
        </w:rPr>
      </w:pPr>
      <w:r>
        <w:rPr>
          <w:rFonts w:ascii="宋体" w:hAnsi="宋体" w:hint="eastAsia"/>
          <w:sz w:val="24"/>
        </w:rPr>
        <w:lastRenderedPageBreak/>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F2245C" w:rsidRPr="00EB5978" w:rsidRDefault="00F2245C" w:rsidP="00F2245C">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F2245C" w:rsidRPr="00EB5978" w:rsidRDefault="00F2245C" w:rsidP="00F2245C">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袁志刚先生，独立董事，博士学历。现任复旦大学经济学院院长</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p>
    <w:p w:rsidR="00B67D8A" w:rsidRDefault="00F2245C">
      <w:pPr>
        <w:widowControl/>
        <w:adjustRightInd w:val="0"/>
        <w:snapToGrid w:val="0"/>
        <w:spacing w:line="360" w:lineRule="auto"/>
        <w:ind w:firstLineChars="200" w:firstLine="480"/>
        <w:rPr>
          <w:kern w:val="0"/>
          <w:sz w:val="24"/>
          <w:szCs w:val="24"/>
        </w:rPr>
      </w:pPr>
      <w:r w:rsidRPr="00EB5978">
        <w:rPr>
          <w:rFonts w:ascii="宋体" w:hAnsi="宋体" w:cs="宋体" w:hint="eastAsia"/>
          <w:kern w:val="0"/>
          <w:sz w:val="24"/>
        </w:rPr>
        <w:t>周林先生，独立董事，博士学历。现任上海交通大学安泰经济与管理学院院长、教授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r w:rsidR="00B67D8A">
        <w:rPr>
          <w:kern w:val="0"/>
          <w:sz w:val="24"/>
          <w:szCs w:val="24"/>
        </w:rPr>
        <w:t>2</w:t>
      </w:r>
      <w:r w:rsidR="00B67D8A">
        <w:rPr>
          <w:rFonts w:hAnsi="宋体"/>
          <w:kern w:val="0"/>
          <w:sz w:val="24"/>
          <w:szCs w:val="24"/>
        </w:rPr>
        <w:t>、基金管理人监事会成员</w:t>
      </w:r>
      <w:r w:rsidR="00B67D8A">
        <w:rPr>
          <w:kern w:val="0"/>
          <w:sz w:val="24"/>
          <w:szCs w:val="24"/>
        </w:rPr>
        <w:t xml:space="preserve"> </w:t>
      </w:r>
    </w:p>
    <w:p w:rsidR="000E63DB" w:rsidRPr="00AD3A7C" w:rsidRDefault="000E63DB" w:rsidP="000E63DB">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8E0492">
        <w:rPr>
          <w:rFonts w:ascii="宋体" w:hAnsi="宋体" w:cs="宋体" w:hint="eastAsia"/>
          <w:kern w:val="0"/>
          <w:sz w:val="24"/>
        </w:rPr>
        <w:t>兼授信催理</w:t>
      </w:r>
      <w:proofErr w:type="gramEnd"/>
      <w:r w:rsidRPr="008E0492">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0E63DB" w:rsidRDefault="000E63DB" w:rsidP="000E63D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E63DB" w:rsidRDefault="000E63DB" w:rsidP="000E63DB">
      <w:pPr>
        <w:widowControl/>
        <w:spacing w:line="360" w:lineRule="auto"/>
        <w:ind w:rightChars="-85" w:right="-178" w:firstLineChars="200" w:firstLine="480"/>
        <w:rPr>
          <w:rFonts w:ascii="宋体" w:hAnsi="宋体" w:cs="宋体"/>
          <w:kern w:val="0"/>
          <w:sz w:val="24"/>
        </w:rPr>
      </w:pPr>
      <w:r w:rsidRPr="00E66D54">
        <w:rPr>
          <w:rFonts w:ascii="宋体" w:hAnsi="宋体" w:cs="宋体" w:hint="eastAsia"/>
          <w:kern w:val="0"/>
          <w:sz w:val="24"/>
        </w:rPr>
        <w:t>陈超女士，监事，硕士学历。现任交银施罗德基金管理有限公司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w:t>
      </w:r>
      <w:proofErr w:type="gramStart"/>
      <w:r w:rsidRPr="00E66D54">
        <w:rPr>
          <w:rFonts w:ascii="宋体" w:hAnsi="宋体" w:cs="宋体" w:hint="eastAsia"/>
          <w:kern w:val="0"/>
          <w:sz w:val="24"/>
        </w:rPr>
        <w:t>规</w:t>
      </w:r>
      <w:proofErr w:type="gramEnd"/>
      <w:r w:rsidRPr="00E66D54">
        <w:rPr>
          <w:rFonts w:ascii="宋体" w:hAnsi="宋体" w:cs="宋体" w:hint="eastAsia"/>
          <w:kern w:val="0"/>
          <w:sz w:val="24"/>
        </w:rPr>
        <w:t>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B67D8A" w:rsidRDefault="000E63DB">
      <w:pPr>
        <w:spacing w:line="360" w:lineRule="auto"/>
        <w:ind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w:t>
      </w:r>
      <w:r>
        <w:rPr>
          <w:rFonts w:ascii="宋体" w:hAnsi="宋体" w:cs="宋体" w:hint="eastAsia"/>
          <w:kern w:val="0"/>
          <w:sz w:val="24"/>
        </w:rPr>
        <w:lastRenderedPageBreak/>
        <w:t>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、公司高管人员</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钱文挥先生，董事长，硕士学历。简历同上。</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战龙先生，董事，总经理，硕士学历。简历同上。</w:t>
      </w:r>
    </w:p>
    <w:p w:rsidR="00B67D8A" w:rsidRDefault="00B67D8A">
      <w:pPr>
        <w:pStyle w:val="a8"/>
        <w:adjustRightInd w:val="0"/>
        <w:snapToGrid w:val="0"/>
        <w:spacing w:line="360" w:lineRule="auto"/>
        <w:ind w:firstLineChars="200" w:firstLine="480"/>
        <w:jc w:val="both"/>
        <w:rPr>
          <w:rFonts w:ascii="Times New Roman" w:hAnsi="Times New Roman"/>
          <w:sz w:val="24"/>
          <w:szCs w:val="24"/>
        </w:rPr>
      </w:pPr>
      <w:r>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B67D8A" w:rsidRDefault="00B67D8A">
      <w:pPr>
        <w:pStyle w:val="a8"/>
        <w:adjustRightInd w:val="0"/>
        <w:snapToGrid w:val="0"/>
        <w:spacing w:line="360" w:lineRule="auto"/>
        <w:ind w:firstLineChars="200" w:firstLine="480"/>
        <w:jc w:val="both"/>
        <w:rPr>
          <w:rFonts w:ascii="Times New Roman" w:hAnsi="Times New Roman"/>
          <w:sz w:val="24"/>
          <w:szCs w:val="24"/>
        </w:rPr>
      </w:pPr>
      <w:r>
        <w:rPr>
          <w:rFonts w:ascii="Times New Roman" w:hAnsi="宋体"/>
          <w:sz w:val="24"/>
          <w:szCs w:val="24"/>
        </w:rPr>
        <w:t>许珊燕女士，副总经理，硕士学历，高级经济师</w:t>
      </w:r>
      <w:r w:rsidR="00633A02" w:rsidRPr="00633A02">
        <w:rPr>
          <w:rFonts w:ascii="Times New Roman" w:hAnsi="宋体" w:hint="eastAsia"/>
          <w:sz w:val="24"/>
          <w:szCs w:val="24"/>
        </w:rPr>
        <w:t>，兼任交银施罗德资产管理有限公司董事</w:t>
      </w:r>
      <w:r>
        <w:rPr>
          <w:rFonts w:ascii="Times New Roman" w:hAnsi="宋体"/>
          <w:sz w:val="24"/>
          <w:szCs w:val="24"/>
        </w:rPr>
        <w:t>。历任湖南大学</w:t>
      </w:r>
      <w:r>
        <w:rPr>
          <w:rFonts w:ascii="Times New Roman" w:hAnsi="Times New Roman"/>
          <w:sz w:val="24"/>
          <w:szCs w:val="24"/>
        </w:rPr>
        <w:t>(</w:t>
      </w:r>
      <w:r>
        <w:rPr>
          <w:rFonts w:ascii="Times New Roman" w:hAnsi="宋体"/>
          <w:sz w:val="24"/>
          <w:szCs w:val="24"/>
        </w:rPr>
        <w:t>原湖南财经学院</w:t>
      </w:r>
      <w:r>
        <w:rPr>
          <w:rFonts w:ascii="Times New Roman" w:hAnsi="Times New Roman"/>
          <w:sz w:val="24"/>
          <w:szCs w:val="24"/>
        </w:rPr>
        <w:t>)</w:t>
      </w:r>
      <w:r>
        <w:rPr>
          <w:rFonts w:ascii="Times New Roman" w:hAnsi="宋体"/>
          <w:sz w:val="24"/>
          <w:szCs w:val="24"/>
        </w:rPr>
        <w:t>金融学院讲师，湘财证券有限责任公司国债部副经理、基金管理总部总经理，湘</w:t>
      </w:r>
      <w:proofErr w:type="gramStart"/>
      <w:r>
        <w:rPr>
          <w:rFonts w:ascii="Times New Roman" w:hAnsi="宋体"/>
          <w:sz w:val="24"/>
          <w:szCs w:val="24"/>
        </w:rPr>
        <w:t>财荷银基金</w:t>
      </w:r>
      <w:proofErr w:type="gramEnd"/>
      <w:r>
        <w:rPr>
          <w:rFonts w:ascii="Times New Roman" w:hAnsi="宋体"/>
          <w:sz w:val="24"/>
          <w:szCs w:val="24"/>
        </w:rPr>
        <w:t>管理有限公司副总经理。</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w:t>
      </w:r>
      <w:proofErr w:type="gramStart"/>
      <w:r>
        <w:rPr>
          <w:rFonts w:hAnsi="宋体"/>
          <w:kern w:val="0"/>
          <w:sz w:val="24"/>
          <w:szCs w:val="24"/>
        </w:rPr>
        <w:t>基金基金</w:t>
      </w:r>
      <w:proofErr w:type="gramEnd"/>
      <w:r>
        <w:rPr>
          <w:rFonts w:hAnsi="宋体"/>
          <w:kern w:val="0"/>
          <w:sz w:val="24"/>
          <w:szCs w:val="24"/>
        </w:rPr>
        <w:t>经理</w:t>
      </w:r>
      <w:r>
        <w:rPr>
          <w:kern w:val="0"/>
          <w:sz w:val="24"/>
          <w:szCs w:val="24"/>
        </w:rPr>
        <w:t xml:space="preserve"> </w:t>
      </w:r>
    </w:p>
    <w:p w:rsidR="00847242" w:rsidRDefault="00B67D8A" w:rsidP="00847242">
      <w:pPr>
        <w:widowControl/>
        <w:adjustRightInd w:val="0"/>
        <w:snapToGrid w:val="0"/>
        <w:spacing w:line="360" w:lineRule="auto"/>
        <w:ind w:firstLineChars="200" w:firstLine="480"/>
        <w:rPr>
          <w:rFonts w:hAnsi="宋体"/>
          <w:kern w:val="0"/>
          <w:sz w:val="24"/>
        </w:rPr>
      </w:pPr>
      <w:r>
        <w:rPr>
          <w:rFonts w:hAnsi="宋体"/>
          <w:kern w:val="0"/>
          <w:sz w:val="24"/>
        </w:rPr>
        <w:t>项廷锋先生，基金经理，上海交通大学管理学博士，</w:t>
      </w:r>
      <w:r>
        <w:rPr>
          <w:kern w:val="0"/>
          <w:sz w:val="24"/>
        </w:rPr>
        <w:t>1</w:t>
      </w:r>
      <w:r>
        <w:rPr>
          <w:rFonts w:hint="eastAsia"/>
          <w:kern w:val="0"/>
          <w:sz w:val="24"/>
        </w:rPr>
        <w:t>5</w:t>
      </w:r>
      <w:r>
        <w:rPr>
          <w:rFonts w:hAnsi="宋体"/>
          <w:kern w:val="0"/>
          <w:sz w:val="24"/>
        </w:rPr>
        <w:t>年基金从业经验。</w:t>
      </w:r>
      <w:r>
        <w:rPr>
          <w:kern w:val="0"/>
          <w:sz w:val="24"/>
        </w:rPr>
        <w:t>1999</w:t>
      </w:r>
      <w:r>
        <w:rPr>
          <w:rFonts w:hAnsi="宋体"/>
          <w:kern w:val="0"/>
          <w:sz w:val="24"/>
        </w:rPr>
        <w:t>年至</w:t>
      </w:r>
      <w:r>
        <w:rPr>
          <w:kern w:val="0"/>
          <w:sz w:val="24"/>
        </w:rPr>
        <w:t>2007</w:t>
      </w:r>
      <w:r>
        <w:rPr>
          <w:rFonts w:hAnsi="宋体"/>
          <w:kern w:val="0"/>
          <w:sz w:val="24"/>
        </w:rPr>
        <w:t>年任职于华安基金管理有限公司，先后担任研究员、固定收益投资经理和基金经理。其中</w:t>
      </w:r>
      <w:r>
        <w:rPr>
          <w:kern w:val="0"/>
          <w:sz w:val="24"/>
        </w:rPr>
        <w:t>2003</w:t>
      </w:r>
      <w:r>
        <w:rPr>
          <w:rFonts w:hAnsi="宋体"/>
          <w:kern w:val="0"/>
          <w:sz w:val="24"/>
        </w:rPr>
        <w:t>年</w:t>
      </w:r>
      <w:r>
        <w:rPr>
          <w:kern w:val="0"/>
          <w:sz w:val="24"/>
        </w:rPr>
        <w:t>12</w:t>
      </w:r>
      <w:r>
        <w:rPr>
          <w:rFonts w:hAnsi="宋体"/>
          <w:kern w:val="0"/>
          <w:sz w:val="24"/>
        </w:rPr>
        <w:t>月</w:t>
      </w:r>
      <w:r>
        <w:rPr>
          <w:kern w:val="0"/>
          <w:sz w:val="24"/>
        </w:rPr>
        <w:t>30</w:t>
      </w:r>
      <w:r>
        <w:rPr>
          <w:rFonts w:hAnsi="宋体"/>
          <w:kern w:val="0"/>
          <w:sz w:val="24"/>
        </w:rPr>
        <w:t>日至</w:t>
      </w:r>
      <w:r>
        <w:rPr>
          <w:kern w:val="0"/>
          <w:sz w:val="24"/>
        </w:rPr>
        <w:t>2007</w:t>
      </w:r>
      <w:r>
        <w:rPr>
          <w:rFonts w:hAnsi="宋体"/>
          <w:kern w:val="0"/>
          <w:sz w:val="24"/>
        </w:rPr>
        <w:t>年</w:t>
      </w:r>
      <w:r>
        <w:rPr>
          <w:kern w:val="0"/>
          <w:sz w:val="24"/>
        </w:rPr>
        <w:t>5</w:t>
      </w:r>
      <w:r>
        <w:rPr>
          <w:rFonts w:hAnsi="宋体"/>
          <w:kern w:val="0"/>
          <w:sz w:val="24"/>
        </w:rPr>
        <w:t>月</w:t>
      </w:r>
      <w:r>
        <w:rPr>
          <w:kern w:val="0"/>
          <w:sz w:val="24"/>
        </w:rPr>
        <w:t>15</w:t>
      </w:r>
      <w:r>
        <w:rPr>
          <w:rFonts w:hAnsi="宋体"/>
          <w:kern w:val="0"/>
          <w:sz w:val="24"/>
        </w:rPr>
        <w:t>日担任华安现金富利投资</w:t>
      </w:r>
      <w:proofErr w:type="gramStart"/>
      <w:r>
        <w:rPr>
          <w:rFonts w:hAnsi="宋体"/>
          <w:kern w:val="0"/>
          <w:sz w:val="24"/>
        </w:rPr>
        <w:t>基金基金</w:t>
      </w:r>
      <w:proofErr w:type="gramEnd"/>
      <w:r>
        <w:rPr>
          <w:rFonts w:hAnsi="宋体"/>
          <w:kern w:val="0"/>
          <w:sz w:val="24"/>
        </w:rPr>
        <w:t>经理。</w:t>
      </w:r>
      <w:r>
        <w:rPr>
          <w:kern w:val="0"/>
          <w:sz w:val="24"/>
        </w:rPr>
        <w:t>2007</w:t>
      </w:r>
      <w:r>
        <w:rPr>
          <w:rFonts w:hAnsi="宋体"/>
          <w:kern w:val="0"/>
          <w:sz w:val="24"/>
        </w:rPr>
        <w:t>年加入交银施罗德基金管理有限公司，历任固定收益部总经理，现任投资总监</w:t>
      </w:r>
      <w:r>
        <w:rPr>
          <w:rFonts w:hAnsi="宋体" w:hint="eastAsia"/>
          <w:kern w:val="0"/>
          <w:sz w:val="24"/>
        </w:rPr>
        <w:t>。</w:t>
      </w:r>
      <w:r>
        <w:rPr>
          <w:rFonts w:hAnsi="宋体" w:hint="eastAsia"/>
          <w:kern w:val="0"/>
          <w:sz w:val="24"/>
        </w:rPr>
        <w:t>2012</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20</w:t>
      </w:r>
      <w:r>
        <w:rPr>
          <w:rFonts w:hAnsi="宋体" w:hint="eastAsia"/>
          <w:kern w:val="0"/>
          <w:sz w:val="24"/>
        </w:rPr>
        <w:t>日起担任</w:t>
      </w:r>
      <w:r>
        <w:rPr>
          <w:rFonts w:hAnsi="宋体"/>
          <w:kern w:val="0"/>
          <w:sz w:val="24"/>
        </w:rPr>
        <w:t>交银</w:t>
      </w:r>
      <w:proofErr w:type="gramStart"/>
      <w:r>
        <w:rPr>
          <w:rFonts w:hAnsi="宋体"/>
          <w:kern w:val="0"/>
          <w:sz w:val="24"/>
        </w:rPr>
        <w:t>施罗德荣安保本</w:t>
      </w:r>
      <w:proofErr w:type="gramEnd"/>
      <w:r>
        <w:rPr>
          <w:rFonts w:hAnsi="宋体"/>
          <w:kern w:val="0"/>
          <w:sz w:val="24"/>
        </w:rPr>
        <w:t>混合型证券投资</w:t>
      </w:r>
      <w:proofErr w:type="gramStart"/>
      <w:r>
        <w:rPr>
          <w:rFonts w:hAnsi="宋体"/>
          <w:kern w:val="0"/>
          <w:sz w:val="24"/>
        </w:rPr>
        <w:t>基金基金</w:t>
      </w:r>
      <w:proofErr w:type="gramEnd"/>
      <w:r>
        <w:rPr>
          <w:rFonts w:hAnsi="宋体"/>
          <w:kern w:val="0"/>
          <w:sz w:val="24"/>
        </w:rPr>
        <w:t>经理</w:t>
      </w:r>
      <w:r>
        <w:rPr>
          <w:rFonts w:hAnsi="宋体" w:hint="eastAsia"/>
          <w:kern w:val="0"/>
          <w:sz w:val="24"/>
        </w:rPr>
        <w:t>至今，</w:t>
      </w:r>
      <w:r>
        <w:rPr>
          <w:rFonts w:hAnsi="宋体" w:hint="eastAsia"/>
          <w:kern w:val="0"/>
          <w:sz w:val="24"/>
        </w:rPr>
        <w:t>2013</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24</w:t>
      </w:r>
      <w:r>
        <w:rPr>
          <w:rFonts w:hAnsi="宋体" w:hint="eastAsia"/>
          <w:kern w:val="0"/>
          <w:sz w:val="24"/>
        </w:rPr>
        <w:t>日起兼任交银施罗德荣祥保本混合型证券投资基金经理至今，</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日起兼任本</w:t>
      </w:r>
      <w:proofErr w:type="gramStart"/>
      <w:r>
        <w:rPr>
          <w:rFonts w:hAnsi="宋体" w:hint="eastAsia"/>
          <w:kern w:val="0"/>
          <w:sz w:val="24"/>
        </w:rPr>
        <w:t>基金基金</w:t>
      </w:r>
      <w:proofErr w:type="gramEnd"/>
      <w:r>
        <w:rPr>
          <w:rFonts w:hAnsi="宋体" w:hint="eastAsia"/>
          <w:kern w:val="0"/>
          <w:sz w:val="24"/>
        </w:rPr>
        <w:t>经理至今，</w:t>
      </w:r>
      <w:r>
        <w:rPr>
          <w:rFonts w:hAnsi="宋体" w:hint="eastAsia"/>
          <w:kern w:val="0"/>
          <w:sz w:val="24"/>
        </w:rPr>
        <w:t>2013</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25</w:t>
      </w:r>
      <w:r>
        <w:rPr>
          <w:rFonts w:hAnsi="宋体" w:hint="eastAsia"/>
          <w:kern w:val="0"/>
          <w:sz w:val="24"/>
        </w:rPr>
        <w:t>日起兼任交银施罗德荣泰保本混合型证券投资基金经理至今</w:t>
      </w:r>
      <w:r w:rsidR="00847242">
        <w:rPr>
          <w:rFonts w:hAnsi="宋体" w:hint="eastAsia"/>
          <w:kern w:val="0"/>
          <w:sz w:val="24"/>
        </w:rPr>
        <w:t>，</w:t>
      </w:r>
      <w:r w:rsidR="00847242" w:rsidRPr="00AB5DE9">
        <w:rPr>
          <w:rFonts w:hAnsi="宋体" w:hint="eastAsia"/>
          <w:kern w:val="0"/>
          <w:sz w:val="24"/>
        </w:rPr>
        <w:t>2014</w:t>
      </w:r>
      <w:r w:rsidR="00847242" w:rsidRPr="00AB5DE9">
        <w:rPr>
          <w:rFonts w:hAnsi="宋体" w:hint="eastAsia"/>
          <w:kern w:val="0"/>
          <w:sz w:val="24"/>
        </w:rPr>
        <w:t>年</w:t>
      </w:r>
      <w:r w:rsidR="00847242" w:rsidRPr="00AB5DE9">
        <w:rPr>
          <w:rFonts w:hAnsi="宋体" w:hint="eastAsia"/>
          <w:kern w:val="0"/>
          <w:sz w:val="24"/>
        </w:rPr>
        <w:t>6</w:t>
      </w:r>
      <w:r w:rsidR="00847242" w:rsidRPr="00AB5DE9">
        <w:rPr>
          <w:rFonts w:hAnsi="宋体" w:hint="eastAsia"/>
          <w:kern w:val="0"/>
          <w:sz w:val="24"/>
        </w:rPr>
        <w:t>月</w:t>
      </w:r>
      <w:r w:rsidR="00847242" w:rsidRPr="00AB5DE9">
        <w:rPr>
          <w:rFonts w:hAnsi="宋体" w:hint="eastAsia"/>
          <w:kern w:val="0"/>
          <w:sz w:val="24"/>
        </w:rPr>
        <w:t>3</w:t>
      </w:r>
      <w:r w:rsidR="00847242" w:rsidRPr="00AB5DE9">
        <w:rPr>
          <w:rFonts w:hAnsi="宋体" w:hint="eastAsia"/>
          <w:kern w:val="0"/>
          <w:sz w:val="24"/>
        </w:rPr>
        <w:t>日起担任交银施罗</w:t>
      </w:r>
      <w:r w:rsidR="00847242" w:rsidRPr="00AB5DE9">
        <w:rPr>
          <w:rFonts w:hAnsi="宋体" w:hint="eastAsia"/>
          <w:kern w:val="0"/>
          <w:sz w:val="24"/>
        </w:rPr>
        <w:lastRenderedPageBreak/>
        <w:t>德周期回报灵活配置混合型证券投资</w:t>
      </w:r>
      <w:proofErr w:type="gramStart"/>
      <w:r w:rsidR="00847242" w:rsidRPr="00AB5DE9">
        <w:rPr>
          <w:rFonts w:hAnsi="宋体" w:hint="eastAsia"/>
          <w:kern w:val="0"/>
          <w:sz w:val="24"/>
        </w:rPr>
        <w:t>基金基金</w:t>
      </w:r>
      <w:proofErr w:type="gramEnd"/>
      <w:r w:rsidR="00847242" w:rsidRPr="00AB5DE9">
        <w:rPr>
          <w:rFonts w:hAnsi="宋体" w:hint="eastAsia"/>
          <w:kern w:val="0"/>
          <w:sz w:val="24"/>
        </w:rPr>
        <w:t>经理至今，</w:t>
      </w:r>
      <w:r w:rsidR="00847242" w:rsidRPr="00AB5DE9">
        <w:rPr>
          <w:rFonts w:hAnsi="宋体" w:hint="eastAsia"/>
          <w:kern w:val="0"/>
          <w:sz w:val="24"/>
        </w:rPr>
        <w:t>2014</w:t>
      </w:r>
      <w:r w:rsidR="00847242" w:rsidRPr="00AB5DE9">
        <w:rPr>
          <w:rFonts w:hAnsi="宋体" w:hint="eastAsia"/>
          <w:kern w:val="0"/>
          <w:sz w:val="24"/>
        </w:rPr>
        <w:t>年</w:t>
      </w:r>
      <w:r w:rsidR="00847242" w:rsidRPr="00AB5DE9">
        <w:rPr>
          <w:rFonts w:hAnsi="宋体" w:hint="eastAsia"/>
          <w:kern w:val="0"/>
          <w:sz w:val="24"/>
        </w:rPr>
        <w:t>8</w:t>
      </w:r>
      <w:r w:rsidR="00847242" w:rsidRPr="00AB5DE9">
        <w:rPr>
          <w:rFonts w:hAnsi="宋体" w:hint="eastAsia"/>
          <w:kern w:val="0"/>
          <w:sz w:val="24"/>
        </w:rPr>
        <w:t>月</w:t>
      </w:r>
      <w:r w:rsidR="00847242" w:rsidRPr="00AB5DE9">
        <w:rPr>
          <w:rFonts w:hAnsi="宋体" w:hint="eastAsia"/>
          <w:kern w:val="0"/>
          <w:sz w:val="24"/>
        </w:rPr>
        <w:t>4</w:t>
      </w:r>
      <w:r w:rsidR="00847242" w:rsidRPr="00AB5DE9">
        <w:rPr>
          <w:rFonts w:hAnsi="宋体" w:hint="eastAsia"/>
          <w:kern w:val="0"/>
          <w:sz w:val="24"/>
        </w:rPr>
        <w:t>日起担任交银施罗德双利债券证券投资</w:t>
      </w:r>
      <w:proofErr w:type="gramStart"/>
      <w:r w:rsidR="00847242" w:rsidRPr="00AB5DE9">
        <w:rPr>
          <w:rFonts w:hAnsi="宋体" w:hint="eastAsia"/>
          <w:kern w:val="0"/>
          <w:sz w:val="24"/>
        </w:rPr>
        <w:t>基金基金</w:t>
      </w:r>
      <w:proofErr w:type="gramEnd"/>
      <w:r w:rsidR="00847242" w:rsidRPr="00AB5DE9">
        <w:rPr>
          <w:rFonts w:hAnsi="宋体" w:hint="eastAsia"/>
          <w:kern w:val="0"/>
          <w:sz w:val="24"/>
        </w:rPr>
        <w:t>经理至今。</w:t>
      </w:r>
    </w:p>
    <w:p w:rsidR="00B67D8A" w:rsidRDefault="00B67D8A">
      <w:pPr>
        <w:widowControl/>
        <w:adjustRightInd w:val="0"/>
        <w:snapToGrid w:val="0"/>
        <w:spacing w:line="360" w:lineRule="auto"/>
        <w:ind w:firstLineChars="200" w:firstLine="480"/>
        <w:rPr>
          <w:rFonts w:hAnsi="宋体"/>
          <w:kern w:val="0"/>
          <w:sz w:val="24"/>
        </w:rPr>
      </w:pPr>
      <w:r>
        <w:rPr>
          <w:rFonts w:hAnsi="宋体" w:hint="eastAsia"/>
          <w:kern w:val="0"/>
          <w:sz w:val="24"/>
        </w:rPr>
        <w:t>张迎军先生，基金经理，经济学硕士。</w:t>
      </w:r>
      <w:r>
        <w:rPr>
          <w:rFonts w:hAnsi="宋体" w:hint="eastAsia"/>
          <w:kern w:val="0"/>
          <w:sz w:val="24"/>
        </w:rPr>
        <w:t>14</w:t>
      </w:r>
      <w:r>
        <w:rPr>
          <w:rFonts w:hAnsi="宋体" w:hint="eastAsia"/>
          <w:kern w:val="0"/>
          <w:sz w:val="24"/>
        </w:rPr>
        <w:t>年证券从业经验。</w:t>
      </w:r>
      <w:r>
        <w:rPr>
          <w:rFonts w:hAnsi="宋体" w:hint="eastAsia"/>
          <w:kern w:val="0"/>
          <w:sz w:val="24"/>
        </w:rPr>
        <w:t>2000</w:t>
      </w:r>
      <w:r>
        <w:rPr>
          <w:rFonts w:hAnsi="宋体" w:hint="eastAsia"/>
          <w:kern w:val="0"/>
          <w:sz w:val="24"/>
        </w:rPr>
        <w:t>年</w:t>
      </w:r>
      <w:r>
        <w:rPr>
          <w:rFonts w:hAnsi="宋体" w:hint="eastAsia"/>
          <w:kern w:val="0"/>
          <w:sz w:val="24"/>
        </w:rPr>
        <w:t>7</w:t>
      </w:r>
      <w:r>
        <w:rPr>
          <w:rFonts w:hAnsi="宋体" w:hint="eastAsia"/>
          <w:kern w:val="0"/>
          <w:sz w:val="24"/>
        </w:rPr>
        <w:t>月至</w:t>
      </w:r>
      <w:r>
        <w:rPr>
          <w:rFonts w:hAnsi="宋体" w:hint="eastAsia"/>
          <w:kern w:val="0"/>
          <w:sz w:val="24"/>
        </w:rPr>
        <w:t>2003</w:t>
      </w:r>
      <w:r>
        <w:rPr>
          <w:rFonts w:hAnsi="宋体" w:hint="eastAsia"/>
          <w:kern w:val="0"/>
          <w:sz w:val="24"/>
        </w:rPr>
        <w:t>年</w:t>
      </w:r>
      <w:r>
        <w:rPr>
          <w:rFonts w:hAnsi="宋体" w:hint="eastAsia"/>
          <w:kern w:val="0"/>
          <w:sz w:val="24"/>
        </w:rPr>
        <w:t>3</w:t>
      </w:r>
      <w:r>
        <w:rPr>
          <w:rFonts w:hAnsi="宋体" w:hint="eastAsia"/>
          <w:kern w:val="0"/>
          <w:sz w:val="24"/>
        </w:rPr>
        <w:t>月任职于申银万国证券研究所市场研究部、策略研究部研究员，</w:t>
      </w:r>
      <w:r>
        <w:rPr>
          <w:rFonts w:hAnsi="宋体" w:hint="eastAsia"/>
          <w:kern w:val="0"/>
          <w:sz w:val="24"/>
        </w:rPr>
        <w:t>2003</w:t>
      </w:r>
      <w:r>
        <w:rPr>
          <w:rFonts w:hAnsi="宋体" w:hint="eastAsia"/>
          <w:kern w:val="0"/>
          <w:sz w:val="24"/>
        </w:rPr>
        <w:t>年</w:t>
      </w:r>
      <w:r>
        <w:rPr>
          <w:rFonts w:hAnsi="宋体" w:hint="eastAsia"/>
          <w:kern w:val="0"/>
          <w:sz w:val="24"/>
        </w:rPr>
        <w:t>4</w:t>
      </w:r>
      <w:r>
        <w:rPr>
          <w:rFonts w:hAnsi="宋体" w:hint="eastAsia"/>
          <w:kern w:val="0"/>
          <w:sz w:val="24"/>
        </w:rPr>
        <w:t>月至</w:t>
      </w:r>
      <w:r>
        <w:rPr>
          <w:rFonts w:hAnsi="宋体" w:hint="eastAsia"/>
          <w:kern w:val="0"/>
          <w:sz w:val="24"/>
        </w:rPr>
        <w:t>2006</w:t>
      </w:r>
      <w:r>
        <w:rPr>
          <w:rFonts w:hAnsi="宋体" w:hint="eastAsia"/>
          <w:kern w:val="0"/>
          <w:sz w:val="24"/>
        </w:rPr>
        <w:t>年</w:t>
      </w:r>
      <w:r>
        <w:rPr>
          <w:rFonts w:hAnsi="宋体" w:hint="eastAsia"/>
          <w:kern w:val="0"/>
          <w:sz w:val="24"/>
        </w:rPr>
        <w:t>11</w:t>
      </w:r>
      <w:r>
        <w:rPr>
          <w:rFonts w:hAnsi="宋体" w:hint="eastAsia"/>
          <w:kern w:val="0"/>
          <w:sz w:val="24"/>
        </w:rPr>
        <w:t>月任职于中国太平洋保险（集团）股份有限公司资金运用管理中心投资经理，</w:t>
      </w:r>
      <w:r>
        <w:rPr>
          <w:rFonts w:hAnsi="宋体" w:hint="eastAsia"/>
          <w:kern w:val="0"/>
          <w:sz w:val="24"/>
        </w:rPr>
        <w:t>2006</w:t>
      </w:r>
      <w:r>
        <w:rPr>
          <w:rFonts w:hAnsi="宋体" w:hint="eastAsia"/>
          <w:kern w:val="0"/>
          <w:sz w:val="24"/>
        </w:rPr>
        <w:t>年</w:t>
      </w:r>
      <w:r>
        <w:rPr>
          <w:rFonts w:hAnsi="宋体" w:hint="eastAsia"/>
          <w:kern w:val="0"/>
          <w:sz w:val="24"/>
        </w:rPr>
        <w:t>12</w:t>
      </w:r>
      <w:r>
        <w:rPr>
          <w:rFonts w:hAnsi="宋体" w:hint="eastAsia"/>
          <w:kern w:val="0"/>
          <w:sz w:val="24"/>
        </w:rPr>
        <w:t>月至</w:t>
      </w:r>
      <w:r>
        <w:rPr>
          <w:rFonts w:hAnsi="宋体" w:hint="eastAsia"/>
          <w:kern w:val="0"/>
          <w:sz w:val="24"/>
        </w:rPr>
        <w:t>2008</w:t>
      </w:r>
      <w:r>
        <w:rPr>
          <w:rFonts w:hAnsi="宋体" w:hint="eastAsia"/>
          <w:kern w:val="0"/>
          <w:sz w:val="24"/>
        </w:rPr>
        <w:t>年</w:t>
      </w:r>
      <w:r>
        <w:rPr>
          <w:rFonts w:hAnsi="宋体" w:hint="eastAsia"/>
          <w:kern w:val="0"/>
          <w:sz w:val="24"/>
        </w:rPr>
        <w:t>5</w:t>
      </w:r>
      <w:r>
        <w:rPr>
          <w:rFonts w:hAnsi="宋体" w:hint="eastAsia"/>
          <w:kern w:val="0"/>
          <w:sz w:val="24"/>
        </w:rPr>
        <w:t>月任职于太平洋资产管理有限公司组合管理部组合经理。</w:t>
      </w:r>
      <w:r>
        <w:rPr>
          <w:rFonts w:hAnsi="宋体" w:hint="eastAsia"/>
          <w:kern w:val="0"/>
          <w:sz w:val="24"/>
        </w:rPr>
        <w:t>2008</w:t>
      </w:r>
      <w:r>
        <w:rPr>
          <w:rFonts w:hAnsi="宋体" w:hint="eastAsia"/>
          <w:kern w:val="0"/>
          <w:sz w:val="24"/>
        </w:rPr>
        <w:t>年</w:t>
      </w:r>
      <w:r>
        <w:rPr>
          <w:rFonts w:hAnsi="宋体" w:hint="eastAsia"/>
          <w:kern w:val="0"/>
          <w:sz w:val="24"/>
        </w:rPr>
        <w:t>8</w:t>
      </w:r>
      <w:r>
        <w:rPr>
          <w:rFonts w:hAnsi="宋体" w:hint="eastAsia"/>
          <w:kern w:val="0"/>
          <w:sz w:val="24"/>
        </w:rPr>
        <w:t>月加入交银施罗德基金管理有限公司，曾</w:t>
      </w:r>
      <w:proofErr w:type="gramStart"/>
      <w:r>
        <w:rPr>
          <w:rFonts w:hAnsi="宋体" w:hint="eastAsia"/>
          <w:kern w:val="0"/>
          <w:sz w:val="24"/>
        </w:rPr>
        <w:t>任固定</w:t>
      </w:r>
      <w:proofErr w:type="gramEnd"/>
      <w:r>
        <w:rPr>
          <w:rFonts w:hAnsi="宋体" w:hint="eastAsia"/>
          <w:kern w:val="0"/>
          <w:sz w:val="24"/>
        </w:rPr>
        <w:t>收益部副总经理，现任权益部副总经理。</w:t>
      </w:r>
      <w:r>
        <w:rPr>
          <w:rFonts w:hAnsi="宋体" w:hint="eastAsia"/>
          <w:kern w:val="0"/>
          <w:sz w:val="24"/>
        </w:rPr>
        <w:t>2009</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21</w:t>
      </w:r>
      <w:r>
        <w:rPr>
          <w:rFonts w:hAnsi="宋体" w:hint="eastAsia"/>
          <w:kern w:val="0"/>
          <w:sz w:val="24"/>
        </w:rPr>
        <w:t>日至</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2</w:t>
      </w:r>
      <w:r>
        <w:rPr>
          <w:rFonts w:hAnsi="宋体" w:hint="eastAsia"/>
          <w:kern w:val="0"/>
          <w:sz w:val="24"/>
        </w:rPr>
        <w:t>日担任交银施罗德保本混合型证券投资</w:t>
      </w:r>
      <w:proofErr w:type="gramStart"/>
      <w:r>
        <w:rPr>
          <w:rFonts w:hAnsi="宋体" w:hint="eastAsia"/>
          <w:kern w:val="0"/>
          <w:sz w:val="24"/>
        </w:rPr>
        <w:t>基金基金</w:t>
      </w:r>
      <w:proofErr w:type="gramEnd"/>
      <w:r>
        <w:rPr>
          <w:rFonts w:hAnsi="宋体" w:hint="eastAsia"/>
          <w:kern w:val="0"/>
          <w:sz w:val="24"/>
        </w:rPr>
        <w:t>经理，并于</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3</w:t>
      </w:r>
      <w:r>
        <w:rPr>
          <w:rFonts w:hAnsi="宋体" w:hint="eastAsia"/>
          <w:kern w:val="0"/>
          <w:sz w:val="24"/>
        </w:rPr>
        <w:t>日起继续担任转型后的交银施罗德优势行业灵活配置混合型证券投资</w:t>
      </w:r>
      <w:proofErr w:type="gramStart"/>
      <w:r>
        <w:rPr>
          <w:rFonts w:hAnsi="宋体" w:hint="eastAsia"/>
          <w:kern w:val="0"/>
          <w:sz w:val="24"/>
        </w:rPr>
        <w:t>基金基金</w:t>
      </w:r>
      <w:proofErr w:type="gramEnd"/>
      <w:r>
        <w:rPr>
          <w:rFonts w:hAnsi="宋体" w:hint="eastAsia"/>
          <w:kern w:val="0"/>
          <w:sz w:val="24"/>
        </w:rPr>
        <w:t>经理至今，</w:t>
      </w:r>
      <w:r>
        <w:rPr>
          <w:rFonts w:hAnsi="宋体" w:hint="eastAsia"/>
          <w:kern w:val="0"/>
          <w:sz w:val="24"/>
        </w:rPr>
        <w:t>2011</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3</w:t>
      </w:r>
      <w:r>
        <w:rPr>
          <w:rFonts w:hAnsi="宋体" w:hint="eastAsia"/>
          <w:kern w:val="0"/>
          <w:sz w:val="24"/>
        </w:rPr>
        <w:t>日至</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2</w:t>
      </w:r>
      <w:r>
        <w:rPr>
          <w:rFonts w:hAnsi="宋体" w:hint="eastAsia"/>
          <w:kern w:val="0"/>
          <w:sz w:val="24"/>
        </w:rPr>
        <w:t>日担任交银施罗德趋势优先股票证券投资</w:t>
      </w:r>
      <w:proofErr w:type="gramStart"/>
      <w:r>
        <w:rPr>
          <w:rFonts w:hAnsi="宋体" w:hint="eastAsia"/>
          <w:kern w:val="0"/>
          <w:sz w:val="24"/>
        </w:rPr>
        <w:t>基金基金</w:t>
      </w:r>
      <w:proofErr w:type="gramEnd"/>
      <w:r>
        <w:rPr>
          <w:rFonts w:hAnsi="宋体" w:hint="eastAsia"/>
          <w:kern w:val="0"/>
          <w:sz w:val="24"/>
        </w:rPr>
        <w:t>经理，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日起担任本</w:t>
      </w:r>
      <w:proofErr w:type="gramStart"/>
      <w:r>
        <w:rPr>
          <w:rFonts w:hAnsi="宋体" w:hint="eastAsia"/>
          <w:kern w:val="0"/>
          <w:sz w:val="24"/>
        </w:rPr>
        <w:t>基金基金</w:t>
      </w:r>
      <w:proofErr w:type="gramEnd"/>
      <w:r>
        <w:rPr>
          <w:rFonts w:hAnsi="宋体" w:hint="eastAsia"/>
          <w:kern w:val="0"/>
          <w:sz w:val="24"/>
        </w:rPr>
        <w:t>经理至今。</w:t>
      </w:r>
    </w:p>
    <w:p w:rsidR="00B67D8A" w:rsidRDefault="00B67D8A">
      <w:pPr>
        <w:widowControl/>
        <w:adjustRightInd w:val="0"/>
        <w:snapToGrid w:val="0"/>
        <w:spacing w:line="360" w:lineRule="auto"/>
        <w:ind w:firstLineChars="200" w:firstLine="480"/>
        <w:rPr>
          <w:kern w:val="0"/>
          <w:sz w:val="24"/>
          <w:szCs w:val="24"/>
        </w:rPr>
      </w:pPr>
      <w:r>
        <w:rPr>
          <w:rFonts w:hAnsi="宋体" w:hint="eastAsia"/>
          <w:kern w:val="0"/>
          <w:sz w:val="24"/>
        </w:rPr>
        <w:t>李德亮先生，基金经理，同济大学管理学学士，中国人民银行研究生部金融学硕士。</w:t>
      </w:r>
      <w:r>
        <w:rPr>
          <w:rFonts w:hAnsi="宋体" w:hint="eastAsia"/>
          <w:kern w:val="0"/>
          <w:sz w:val="24"/>
        </w:rPr>
        <w:t>8</w:t>
      </w:r>
      <w:r>
        <w:rPr>
          <w:rFonts w:hAnsi="宋体" w:hint="eastAsia"/>
          <w:kern w:val="0"/>
          <w:sz w:val="24"/>
        </w:rPr>
        <w:t>年证券从业经验。</w:t>
      </w:r>
      <w:r>
        <w:rPr>
          <w:rFonts w:hAnsi="宋体" w:hint="eastAsia"/>
          <w:kern w:val="0"/>
          <w:sz w:val="24"/>
        </w:rPr>
        <w:t>2006</w:t>
      </w:r>
      <w:r>
        <w:rPr>
          <w:rFonts w:hAnsi="宋体" w:hint="eastAsia"/>
          <w:kern w:val="0"/>
          <w:sz w:val="24"/>
        </w:rPr>
        <w:t>年</w:t>
      </w:r>
      <w:r>
        <w:rPr>
          <w:rFonts w:hAnsi="宋体" w:hint="eastAsia"/>
          <w:kern w:val="0"/>
          <w:sz w:val="24"/>
        </w:rPr>
        <w:t>4</w:t>
      </w:r>
      <w:r>
        <w:rPr>
          <w:rFonts w:hAnsi="宋体" w:hint="eastAsia"/>
          <w:kern w:val="0"/>
          <w:sz w:val="24"/>
        </w:rPr>
        <w:t>月加入交银施罗德基金管理有限公司，曾</w:t>
      </w:r>
      <w:proofErr w:type="gramStart"/>
      <w:r>
        <w:rPr>
          <w:rFonts w:hAnsi="宋体" w:hint="eastAsia"/>
          <w:kern w:val="0"/>
          <w:sz w:val="24"/>
        </w:rPr>
        <w:t>任行业</w:t>
      </w:r>
      <w:proofErr w:type="gramEnd"/>
      <w:r>
        <w:rPr>
          <w:rFonts w:hAnsi="宋体" w:hint="eastAsia"/>
          <w:kern w:val="0"/>
          <w:sz w:val="24"/>
        </w:rPr>
        <w:t>分析师、基金经理助理，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日起担任本</w:t>
      </w:r>
      <w:proofErr w:type="gramStart"/>
      <w:r>
        <w:rPr>
          <w:rFonts w:hAnsi="宋体" w:hint="eastAsia"/>
          <w:kern w:val="0"/>
          <w:sz w:val="24"/>
        </w:rPr>
        <w:t>基金基金</w:t>
      </w:r>
      <w:proofErr w:type="gramEnd"/>
      <w:r>
        <w:rPr>
          <w:rFonts w:hAnsi="宋体" w:hint="eastAsia"/>
          <w:kern w:val="0"/>
          <w:sz w:val="24"/>
        </w:rPr>
        <w:t>经理至今</w:t>
      </w:r>
      <w:r w:rsidR="00B468A1" w:rsidRPr="00AB5DE9">
        <w:rPr>
          <w:rFonts w:hAnsi="宋体" w:hint="eastAsia"/>
          <w:kern w:val="0"/>
          <w:sz w:val="24"/>
        </w:rPr>
        <w:t>，</w:t>
      </w:r>
      <w:r w:rsidR="00B468A1" w:rsidRPr="00AB5DE9">
        <w:rPr>
          <w:rFonts w:hAnsi="宋体" w:hint="eastAsia"/>
          <w:kern w:val="0"/>
          <w:sz w:val="24"/>
        </w:rPr>
        <w:t>2014</w:t>
      </w:r>
      <w:r w:rsidR="00B468A1" w:rsidRPr="00AB5DE9">
        <w:rPr>
          <w:rFonts w:hAnsi="宋体" w:hint="eastAsia"/>
          <w:kern w:val="0"/>
          <w:sz w:val="24"/>
        </w:rPr>
        <w:t>年</w:t>
      </w:r>
      <w:r w:rsidR="00B468A1" w:rsidRPr="00AB5DE9">
        <w:rPr>
          <w:rFonts w:hAnsi="宋体" w:hint="eastAsia"/>
          <w:kern w:val="0"/>
          <w:sz w:val="24"/>
        </w:rPr>
        <w:t>1</w:t>
      </w:r>
      <w:r w:rsidR="00B468A1" w:rsidRPr="00AB5DE9">
        <w:rPr>
          <w:rFonts w:hAnsi="宋体" w:hint="eastAsia"/>
          <w:kern w:val="0"/>
          <w:sz w:val="24"/>
        </w:rPr>
        <w:t>月</w:t>
      </w:r>
      <w:r w:rsidR="00B468A1" w:rsidRPr="00AB5DE9">
        <w:rPr>
          <w:rFonts w:hAnsi="宋体" w:hint="eastAsia"/>
          <w:kern w:val="0"/>
          <w:sz w:val="24"/>
        </w:rPr>
        <w:t>28</w:t>
      </w:r>
      <w:r w:rsidR="00B468A1" w:rsidRPr="00AB5DE9">
        <w:rPr>
          <w:rFonts w:hAnsi="宋体" w:hint="eastAsia"/>
          <w:kern w:val="0"/>
          <w:sz w:val="24"/>
        </w:rPr>
        <w:t>日起担任交银施罗德强化回报债券型证券投资</w:t>
      </w:r>
      <w:proofErr w:type="gramStart"/>
      <w:r w:rsidR="00B468A1" w:rsidRPr="00AB5DE9">
        <w:rPr>
          <w:rFonts w:hAnsi="宋体" w:hint="eastAsia"/>
          <w:kern w:val="0"/>
          <w:sz w:val="24"/>
        </w:rPr>
        <w:t>基金基金</w:t>
      </w:r>
      <w:proofErr w:type="gramEnd"/>
      <w:r w:rsidR="00B468A1" w:rsidRPr="00AB5DE9">
        <w:rPr>
          <w:rFonts w:hAnsi="宋体" w:hint="eastAsia"/>
          <w:kern w:val="0"/>
          <w:sz w:val="24"/>
        </w:rPr>
        <w:t>经理至今。</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rsidR="00B67D8A" w:rsidRDefault="00B67D8A">
      <w:pPr>
        <w:adjustRightInd w:val="0"/>
        <w:snapToGrid w:val="0"/>
        <w:spacing w:line="360" w:lineRule="auto"/>
        <w:ind w:firstLine="200"/>
        <w:rPr>
          <w:sz w:val="24"/>
          <w:szCs w:val="24"/>
        </w:rPr>
      </w:pPr>
      <w:r>
        <w:rPr>
          <w:kern w:val="0"/>
          <w:sz w:val="24"/>
          <w:szCs w:val="24"/>
        </w:rPr>
        <w:t xml:space="preserve">   </w:t>
      </w:r>
      <w:r>
        <w:rPr>
          <w:rFonts w:hAnsi="宋体"/>
          <w:kern w:val="0"/>
          <w:sz w:val="24"/>
          <w:szCs w:val="24"/>
        </w:rPr>
        <w:t>委员：</w:t>
      </w:r>
      <w:r>
        <w:rPr>
          <w:rFonts w:hAnsi="宋体"/>
          <w:sz w:val="24"/>
          <w:szCs w:val="24"/>
        </w:rPr>
        <w:t>项廷锋（投资总监、基金经理）</w:t>
      </w:r>
    </w:p>
    <w:p w:rsidR="00B67D8A" w:rsidRDefault="00B67D8A">
      <w:pPr>
        <w:adjustRightInd w:val="0"/>
        <w:snapToGrid w:val="0"/>
        <w:spacing w:line="360" w:lineRule="auto"/>
        <w:ind w:firstLine="200"/>
        <w:rPr>
          <w:sz w:val="24"/>
          <w:szCs w:val="24"/>
        </w:rPr>
      </w:pPr>
      <w:r>
        <w:rPr>
          <w:sz w:val="24"/>
          <w:szCs w:val="24"/>
        </w:rPr>
        <w:t xml:space="preserve">         </w:t>
      </w:r>
      <w:r>
        <w:rPr>
          <w:rFonts w:hAnsi="宋体"/>
          <w:sz w:val="24"/>
          <w:szCs w:val="24"/>
        </w:rPr>
        <w:t>战龙（总经理）</w:t>
      </w:r>
    </w:p>
    <w:p w:rsidR="00B67D8A" w:rsidRDefault="00B67D8A">
      <w:pPr>
        <w:adjustRightInd w:val="0"/>
        <w:snapToGrid w:val="0"/>
        <w:spacing w:line="360" w:lineRule="auto"/>
        <w:ind w:firstLine="200"/>
        <w:rPr>
          <w:sz w:val="24"/>
          <w:szCs w:val="24"/>
        </w:rPr>
      </w:pPr>
      <w:r>
        <w:rPr>
          <w:sz w:val="24"/>
          <w:szCs w:val="24"/>
        </w:rPr>
        <w:t xml:space="preserve">         </w:t>
      </w:r>
      <w:r>
        <w:rPr>
          <w:rFonts w:hAnsi="宋体"/>
          <w:sz w:val="24"/>
          <w:szCs w:val="24"/>
        </w:rPr>
        <w:t>管华雨（权益</w:t>
      </w:r>
      <w:r>
        <w:rPr>
          <w:rFonts w:hAnsi="宋体" w:hint="eastAsia"/>
          <w:sz w:val="24"/>
          <w:szCs w:val="24"/>
        </w:rPr>
        <w:t>投资总监</w:t>
      </w:r>
      <w:r>
        <w:rPr>
          <w:rFonts w:hAnsi="宋体"/>
          <w:sz w:val="24"/>
          <w:szCs w:val="24"/>
        </w:rPr>
        <w:t>、基金经理）</w:t>
      </w:r>
    </w:p>
    <w:p w:rsidR="00B67D8A" w:rsidRDefault="00B67D8A">
      <w:pPr>
        <w:adjustRightInd w:val="0"/>
        <w:snapToGrid w:val="0"/>
        <w:spacing w:line="360" w:lineRule="auto"/>
        <w:ind w:firstLine="200"/>
        <w:rPr>
          <w:sz w:val="24"/>
          <w:szCs w:val="24"/>
        </w:rPr>
      </w:pPr>
      <w:r>
        <w:rPr>
          <w:sz w:val="24"/>
          <w:szCs w:val="24"/>
        </w:rPr>
        <w:t xml:space="preserve">         </w:t>
      </w:r>
      <w:r>
        <w:rPr>
          <w:rFonts w:hAnsi="宋体"/>
          <w:sz w:val="24"/>
          <w:szCs w:val="24"/>
        </w:rPr>
        <w:t>张科兵（</w:t>
      </w:r>
      <w:r>
        <w:rPr>
          <w:rFonts w:hint="eastAsia"/>
          <w:sz w:val="24"/>
        </w:rPr>
        <w:t>研究总监</w:t>
      </w:r>
      <w:r>
        <w:rPr>
          <w:rFonts w:hAnsi="宋体"/>
          <w:sz w:val="24"/>
          <w:szCs w:val="24"/>
        </w:rPr>
        <w:t>）</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上述人员之间无近亲属关系。</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（三）基金管理人的职责</w:t>
      </w:r>
      <w:r>
        <w:rPr>
          <w:b/>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、依法募集基金，办理或者委托经中国证监会认定的其他机构代为办理基金份额的发售、申购、赎回和登记事宜；</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、办理基金备案手续；</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、对所管理的不同基金财产分别管理、分别记账，进行证券投资；</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lastRenderedPageBreak/>
        <w:t xml:space="preserve">    4</w:t>
      </w:r>
      <w:r>
        <w:rPr>
          <w:rFonts w:hAnsi="宋体"/>
          <w:kern w:val="0"/>
          <w:sz w:val="24"/>
          <w:szCs w:val="24"/>
        </w:rPr>
        <w:t>、按照基金合同的约定确定基金收益分配方案，及时向基金份额持有人分配收益；</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、进行基金会计核算并编制基金财务会计报告；</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6</w:t>
      </w:r>
      <w:r>
        <w:rPr>
          <w:rFonts w:hAnsi="宋体"/>
          <w:kern w:val="0"/>
          <w:sz w:val="24"/>
          <w:szCs w:val="24"/>
        </w:rPr>
        <w:t>、编制季度、半年度和年度基金报告；</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7</w:t>
      </w:r>
      <w:r>
        <w:rPr>
          <w:rFonts w:hAnsi="宋体"/>
          <w:kern w:val="0"/>
          <w:sz w:val="24"/>
          <w:szCs w:val="24"/>
        </w:rPr>
        <w:t>、计算并公告基金资产净值，确定基金份额申购、赎回价格；</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8</w:t>
      </w:r>
      <w:r>
        <w:rPr>
          <w:rFonts w:hAnsi="宋体"/>
          <w:kern w:val="0"/>
          <w:sz w:val="24"/>
          <w:szCs w:val="24"/>
        </w:rPr>
        <w:t>、办理与基金财产管理业务活动有关的信息披露事项；</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9</w:t>
      </w:r>
      <w:r>
        <w:rPr>
          <w:rFonts w:hAnsi="宋体"/>
          <w:kern w:val="0"/>
          <w:sz w:val="24"/>
          <w:szCs w:val="24"/>
        </w:rPr>
        <w:t>、召集基金份额持有人大会；</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10</w:t>
      </w:r>
      <w:r>
        <w:rPr>
          <w:rFonts w:hAnsi="宋体"/>
          <w:kern w:val="0"/>
          <w:sz w:val="24"/>
          <w:szCs w:val="24"/>
        </w:rPr>
        <w:t>、保存基金财产管理业务活动的记录、账册、报表和其他相关资料；</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11</w:t>
      </w:r>
      <w:r>
        <w:rPr>
          <w:rFonts w:hAnsi="宋体"/>
          <w:kern w:val="0"/>
          <w:sz w:val="24"/>
          <w:szCs w:val="24"/>
        </w:rPr>
        <w:t>、以基金管理人名义，代表基金份额持有人利益行使诉讼权利或者实施其他法律行为；</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12</w:t>
      </w:r>
      <w:r>
        <w:rPr>
          <w:rFonts w:hAnsi="宋体"/>
          <w:kern w:val="0"/>
          <w:sz w:val="24"/>
          <w:szCs w:val="24"/>
        </w:rPr>
        <w:t>、有关法律法规和中国证监会规定的其他职责。</w:t>
      </w:r>
      <w:r>
        <w:rPr>
          <w:kern w:val="0"/>
          <w:sz w:val="24"/>
          <w:szCs w:val="24"/>
        </w:rPr>
        <w:t xml:space="preserve"> </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（四）基金管理人的承诺</w:t>
      </w:r>
      <w:r>
        <w:rPr>
          <w:b/>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、基金管理人承诺不从事违反《证券法》的行为，并承诺建立健全内部控制制度，采取有效措施，防止违反《证券法》行为的发生；</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、基金管理人承诺不从事违反《基金法》的行为，并承诺建立健全内部风险控制制度，采取有效措施，防止下列行为的发生：</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）将基金管理人固有财产或者他人财产混同于基金财产从事证券投资；</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）不公平地对待管理的不同基金财产；</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）利用基金财产为基金份额持有人以外的第三人牟取利益；</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）向基金份额持有人违规承诺收益或者承担损失；</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）依照法律法规有关规定，由中国证监会规定禁止的其他行为。</w:t>
      </w:r>
      <w:r>
        <w:rPr>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、基金管理人承诺严格遵守基金合同，并承诺建立健全内部控制制度，采取有效措施，防止违反基金合同行为的发生；</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、基金管理人承诺加强人员管理，强化职业操守，督促和约束员工遵守国家有关法律法规及行业规范，诚实信用、勤勉尽责。</w:t>
      </w:r>
      <w:r>
        <w:rPr>
          <w:kern w:val="0"/>
          <w:sz w:val="24"/>
          <w:szCs w:val="24"/>
        </w:rPr>
        <w:t xml:space="preserve"> </w:t>
      </w:r>
    </w:p>
    <w:p w:rsidR="00B67D8A" w:rsidRDefault="00B67D8A">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、基金管理人承诺不从事其他法规规定禁止从事的行为。</w:t>
      </w:r>
      <w:r>
        <w:rPr>
          <w:kern w:val="0"/>
          <w:sz w:val="24"/>
          <w:szCs w:val="24"/>
        </w:rPr>
        <w:t xml:space="preserve"> </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（五）基金经理承诺</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lastRenderedPageBreak/>
        <w:t>1</w:t>
      </w:r>
      <w:r>
        <w:rPr>
          <w:rFonts w:hAnsi="宋体"/>
          <w:kern w:val="0"/>
          <w:sz w:val="24"/>
          <w:szCs w:val="24"/>
        </w:rPr>
        <w:t>、依照有关法律法规和基金合同的规定，本着谨慎的原则为基金份额持有人谋取最大利益；</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、不利用职务之便为自己、受雇人或任何第三者谋取利益；</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、不泄露在任职期间知悉的有关证券、基金的商业秘密，尚未依法公开的基金投资内容、基金投资计划等信息；</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、不以任何形式为其他组织或个人进行证券交易。</w:t>
      </w:r>
      <w:r>
        <w:rPr>
          <w:kern w:val="0"/>
          <w:sz w:val="24"/>
          <w:szCs w:val="24"/>
        </w:rPr>
        <w:t xml:space="preserve"> </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（六）基金管理人的内部控制制度</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、风险管理的原则</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）全面性原则</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公司风险管理必须覆盖公司的所有部门和岗位，渗透各项业务过程和业务环节。</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）独立性原则</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公司设立独立的风险管理部，风险管理部保持高度的独立性和权威性，负责对公司各部门风险控制工作进行监督和检查。</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）相互制约原则</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公司及各部门在内部组织结构的设计上要形成一种相互制约的机制，建立不同岗位之间的制衡体系。</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）定性和定量相结合原则</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建立完备的风险管理指标体系，使风险管理更具客观性和操作性。</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、风险管理和内部风险控制体系结构</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）董事会</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负责制定公司的风险管理政策，对风险管理负完全的和最终的责任。</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）监事会</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是公司常设的监事机构，对股东会负责。监事会对公司财务、公司董事、总经理及其他高级管理人员进行监督。</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）合</w:t>
      </w:r>
      <w:proofErr w:type="gramStart"/>
      <w:r>
        <w:rPr>
          <w:rFonts w:hAnsi="宋体"/>
          <w:kern w:val="0"/>
          <w:sz w:val="24"/>
          <w:szCs w:val="24"/>
        </w:rPr>
        <w:t>规</w:t>
      </w:r>
      <w:proofErr w:type="gramEnd"/>
      <w:r>
        <w:rPr>
          <w:rFonts w:hAnsi="宋体"/>
          <w:kern w:val="0"/>
          <w:sz w:val="24"/>
          <w:szCs w:val="24"/>
        </w:rPr>
        <w:t>审核及风险管理委员会</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Pr>
          <w:rFonts w:hAnsi="宋体"/>
          <w:kern w:val="0"/>
          <w:sz w:val="24"/>
          <w:szCs w:val="24"/>
        </w:rPr>
        <w:t>规</w:t>
      </w:r>
      <w:proofErr w:type="gramEnd"/>
      <w:r>
        <w:rPr>
          <w:rFonts w:hAnsi="宋体"/>
          <w:kern w:val="0"/>
          <w:sz w:val="24"/>
          <w:szCs w:val="24"/>
        </w:rPr>
        <w:t>性审议；对公司资产与基金资产的经营进行评估。</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）风险控制委员会</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szCs w:val="24"/>
        </w:rPr>
        <w:t xml:space="preserve"> </w:t>
      </w:r>
    </w:p>
    <w:p w:rsidR="00B67D8A" w:rsidRDefault="00B67D8A">
      <w:pPr>
        <w:widowControl/>
        <w:adjustRightInd w:val="0"/>
        <w:snapToGrid w:val="0"/>
        <w:spacing w:line="360" w:lineRule="auto"/>
        <w:ind w:firstLineChars="150" w:firstLine="360"/>
        <w:rPr>
          <w:kern w:val="0"/>
          <w:sz w:val="24"/>
          <w:szCs w:val="24"/>
        </w:rPr>
      </w:pPr>
      <w:r>
        <w:rPr>
          <w:rFonts w:hAnsi="宋体"/>
          <w:kern w:val="0"/>
          <w:sz w:val="24"/>
          <w:szCs w:val="24"/>
        </w:rPr>
        <w:t>（</w:t>
      </w:r>
      <w:r>
        <w:rPr>
          <w:kern w:val="0"/>
          <w:sz w:val="24"/>
          <w:szCs w:val="24"/>
        </w:rPr>
        <w:t>5</w:t>
      </w:r>
      <w:r>
        <w:rPr>
          <w:rFonts w:hAnsi="宋体"/>
          <w:kern w:val="0"/>
          <w:sz w:val="24"/>
          <w:szCs w:val="24"/>
        </w:rPr>
        <w:t>）督察长</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独立行使督察权利；直接对董事会负责；就内部控制制度和执行情况独立地履行检查、评价、报告、建议职能；定期和不定期地向董事会报告公司内部控制执行情况。</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）风险管理部</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）监察稽核部</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监察稽核部负责设计及实施公司合</w:t>
      </w:r>
      <w:proofErr w:type="gramStart"/>
      <w:r>
        <w:rPr>
          <w:rFonts w:hAnsi="宋体"/>
          <w:kern w:val="0"/>
          <w:sz w:val="24"/>
          <w:szCs w:val="24"/>
        </w:rPr>
        <w:t>规</w:t>
      </w:r>
      <w:proofErr w:type="gramEnd"/>
      <w:r>
        <w:rPr>
          <w:rFonts w:hAnsi="宋体"/>
          <w:kern w:val="0"/>
          <w:sz w:val="24"/>
          <w:szCs w:val="24"/>
        </w:rPr>
        <w:t>审计计划，检查公司各项业务的合</w:t>
      </w:r>
      <w:proofErr w:type="gramStart"/>
      <w:r>
        <w:rPr>
          <w:rFonts w:hAnsi="宋体"/>
          <w:kern w:val="0"/>
          <w:sz w:val="24"/>
          <w:szCs w:val="24"/>
        </w:rPr>
        <w:t>规</w:t>
      </w:r>
      <w:proofErr w:type="gramEnd"/>
      <w:r>
        <w:rPr>
          <w:rFonts w:hAnsi="宋体"/>
          <w:kern w:val="0"/>
          <w:sz w:val="24"/>
          <w:szCs w:val="24"/>
        </w:rPr>
        <w:t>情况及监督公司内部规章制度的执行情况，定期向监管机构及公司管理层进行汇报。</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8</w:t>
      </w:r>
      <w:r>
        <w:rPr>
          <w:rFonts w:hAnsi="宋体"/>
          <w:kern w:val="0"/>
          <w:sz w:val="24"/>
          <w:szCs w:val="24"/>
        </w:rPr>
        <w:t>）法</w:t>
      </w:r>
      <w:proofErr w:type="gramStart"/>
      <w:r>
        <w:rPr>
          <w:rFonts w:hAnsi="宋体"/>
          <w:kern w:val="0"/>
          <w:sz w:val="24"/>
          <w:szCs w:val="24"/>
        </w:rPr>
        <w:t>务</w:t>
      </w:r>
      <w:proofErr w:type="gramEnd"/>
      <w:r>
        <w:rPr>
          <w:rFonts w:hAnsi="宋体"/>
          <w:kern w:val="0"/>
          <w:sz w:val="24"/>
          <w:szCs w:val="24"/>
        </w:rPr>
        <w:t>部</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法</w:t>
      </w:r>
      <w:proofErr w:type="gramStart"/>
      <w:r>
        <w:rPr>
          <w:rFonts w:hAnsi="宋体"/>
          <w:kern w:val="0"/>
          <w:sz w:val="24"/>
          <w:szCs w:val="24"/>
        </w:rPr>
        <w:t>务</w:t>
      </w:r>
      <w:proofErr w:type="gramEnd"/>
      <w:r>
        <w:rPr>
          <w:rFonts w:hAnsi="宋体"/>
          <w:kern w:val="0"/>
          <w:sz w:val="24"/>
          <w:szCs w:val="24"/>
        </w:rPr>
        <w:t>部负责公司的法律事务及协调实施信息披露事务，依法维护公司合法权益，评判并处理公司运营中发生的法律及信息披露相关问题，及时向公司管理层及全体员工传达法规及监管要求。</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9</w:t>
      </w:r>
      <w:r>
        <w:rPr>
          <w:rFonts w:hAnsi="宋体"/>
          <w:kern w:val="0"/>
          <w:sz w:val="24"/>
          <w:szCs w:val="24"/>
        </w:rPr>
        <w:t>）业务部门</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、风险管理和内部风险控制的措施</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lastRenderedPageBreak/>
        <w:t>（</w:t>
      </w:r>
      <w:r>
        <w:rPr>
          <w:kern w:val="0"/>
          <w:sz w:val="24"/>
          <w:szCs w:val="24"/>
        </w:rPr>
        <w:t>1</w:t>
      </w:r>
      <w:r>
        <w:rPr>
          <w:rFonts w:hAnsi="宋体"/>
          <w:kern w:val="0"/>
          <w:sz w:val="24"/>
          <w:szCs w:val="24"/>
        </w:rPr>
        <w:t>）建立内控体系，完善内控制度</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）建立相互分离、相互制衡的内控机制</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建立、健全了各项制度，做到基金经理分开，投资决策分开，基金交易集中，形成不同部门、不同岗位之间的制衡机制，从制度上减少和防范风险。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）建立、健全岗位责任制</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建立、健全了岗位责任制，使每个员工都明确自己的任务、职责，并及时将各自工作领域中的风险隐患上报，以防范和减少风险。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）建立风险分类、识别、评估、报告、提示程序</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hAnsi="宋体"/>
          <w:kern w:val="0"/>
          <w:sz w:val="24"/>
          <w:szCs w:val="24"/>
        </w:rPr>
        <w:t>作出</w:t>
      </w:r>
      <w:proofErr w:type="gramEnd"/>
      <w:r>
        <w:rPr>
          <w:rFonts w:hAnsi="宋体"/>
          <w:kern w:val="0"/>
          <w:sz w:val="24"/>
          <w:szCs w:val="24"/>
        </w:rPr>
        <w:t>决策。</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）建立有效的内部监控系统</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建立了足够、有效的内部监控系统，如电脑预警系统、投资监控系统，对可能出现的各种风险进行全面和实时的监控。</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）使用数量化的风险管理手段</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）提供足够的培训</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制定了完整的培训计划，为所有员工提供足够和适当的培训，使员工明确其职责所在，控制风险。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8" w:name="_Toc109537382"/>
      <w:bookmarkStart w:id="9" w:name="_Toc382321315"/>
      <w:r>
        <w:rPr>
          <w:rFonts w:ascii="宋体" w:hAnsi="宋体" w:hint="eastAsia"/>
          <w:b/>
          <w:kern w:val="0"/>
          <w:sz w:val="30"/>
        </w:rPr>
        <w:t>四、基金托管人</w:t>
      </w:r>
      <w:bookmarkEnd w:id="8"/>
      <w:bookmarkEnd w:id="9"/>
    </w:p>
    <w:p w:rsidR="00B67D8A" w:rsidRDefault="00B67D8A">
      <w:pPr>
        <w:widowControl/>
        <w:spacing w:line="360" w:lineRule="auto"/>
        <w:ind w:rightChars="-85" w:right="-178" w:firstLineChars="200" w:firstLine="482"/>
        <w:rPr>
          <w:b/>
          <w:color w:val="000000"/>
          <w:kern w:val="0"/>
          <w:sz w:val="24"/>
        </w:rPr>
      </w:pPr>
      <w:bookmarkStart w:id="10" w:name="_Toc237253310"/>
      <w:r>
        <w:rPr>
          <w:rFonts w:hAnsi="宋体"/>
          <w:b/>
          <w:color w:val="000000"/>
          <w:kern w:val="0"/>
          <w:sz w:val="24"/>
        </w:rPr>
        <w:t>（一）基金托管人基本情况</w:t>
      </w:r>
    </w:p>
    <w:p w:rsidR="00B67D8A" w:rsidRDefault="00B67D8A">
      <w:pPr>
        <w:spacing w:line="360" w:lineRule="auto"/>
        <w:ind w:firstLineChars="200" w:firstLine="480"/>
        <w:rPr>
          <w:sz w:val="24"/>
        </w:rPr>
      </w:pPr>
      <w:r>
        <w:rPr>
          <w:sz w:val="24"/>
        </w:rPr>
        <w:lastRenderedPageBreak/>
        <w:t>1</w:t>
      </w:r>
      <w:r>
        <w:rPr>
          <w:rFonts w:hAnsi="宋体"/>
          <w:sz w:val="24"/>
        </w:rPr>
        <w:t>、基本情况</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名称：中国农业银行股份有限公司（简称中国农业银行）</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住所：北京市东城区建国门内大街</w:t>
      </w:r>
      <w:r w:rsidRPr="004C04DD">
        <w:rPr>
          <w:rFonts w:hAnsi="宋体" w:hint="eastAsia"/>
          <w:sz w:val="24"/>
        </w:rPr>
        <w:t>69</w:t>
      </w:r>
      <w:r w:rsidRPr="004C04DD">
        <w:rPr>
          <w:rFonts w:hAnsi="宋体" w:hint="eastAsia"/>
          <w:sz w:val="24"/>
        </w:rPr>
        <w:t>号</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办公地址：北京市西城区复兴门内大街</w:t>
      </w:r>
      <w:r w:rsidRPr="004C04DD">
        <w:rPr>
          <w:rFonts w:hAnsi="宋体" w:hint="eastAsia"/>
          <w:sz w:val="24"/>
        </w:rPr>
        <w:t>28</w:t>
      </w:r>
      <w:r w:rsidRPr="004C04DD">
        <w:rPr>
          <w:rFonts w:hAnsi="宋体" w:hint="eastAsia"/>
          <w:sz w:val="24"/>
        </w:rPr>
        <w:t>号</w:t>
      </w:r>
      <w:proofErr w:type="gramStart"/>
      <w:r w:rsidRPr="004C04DD">
        <w:rPr>
          <w:rFonts w:hAnsi="宋体" w:hint="eastAsia"/>
          <w:sz w:val="24"/>
        </w:rPr>
        <w:t>凯</w:t>
      </w:r>
      <w:proofErr w:type="gramEnd"/>
      <w:r w:rsidRPr="004C04DD">
        <w:rPr>
          <w:rFonts w:hAnsi="宋体" w:hint="eastAsia"/>
          <w:sz w:val="24"/>
        </w:rPr>
        <w:t>晨世贸中心东座</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法定代表人：蒋超良</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成立日期：</w:t>
      </w:r>
      <w:r w:rsidRPr="004C04DD">
        <w:rPr>
          <w:rFonts w:hAnsi="宋体" w:hint="eastAsia"/>
          <w:sz w:val="24"/>
        </w:rPr>
        <w:t>2009</w:t>
      </w:r>
      <w:r w:rsidRPr="004C04DD">
        <w:rPr>
          <w:rFonts w:hAnsi="宋体" w:hint="eastAsia"/>
          <w:sz w:val="24"/>
        </w:rPr>
        <w:t>年</w:t>
      </w:r>
      <w:r w:rsidRPr="004C04DD">
        <w:rPr>
          <w:rFonts w:hAnsi="宋体" w:hint="eastAsia"/>
          <w:sz w:val="24"/>
        </w:rPr>
        <w:t>1</w:t>
      </w:r>
      <w:r w:rsidRPr="004C04DD">
        <w:rPr>
          <w:rFonts w:hAnsi="宋体" w:hint="eastAsia"/>
          <w:sz w:val="24"/>
        </w:rPr>
        <w:t>月</w:t>
      </w:r>
      <w:r w:rsidRPr="004C04DD">
        <w:rPr>
          <w:rFonts w:hAnsi="宋体" w:hint="eastAsia"/>
          <w:sz w:val="24"/>
        </w:rPr>
        <w:t>15</w:t>
      </w:r>
      <w:r w:rsidRPr="004C04DD">
        <w:rPr>
          <w:rFonts w:hAnsi="宋体" w:hint="eastAsia"/>
          <w:sz w:val="24"/>
        </w:rPr>
        <w:t>日</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批准设立机关和批准设立文号：中国银监</w:t>
      </w:r>
      <w:proofErr w:type="gramStart"/>
      <w:r w:rsidRPr="004C04DD">
        <w:rPr>
          <w:rFonts w:hAnsi="宋体" w:hint="eastAsia"/>
          <w:sz w:val="24"/>
        </w:rPr>
        <w:t>会银监复</w:t>
      </w:r>
      <w:proofErr w:type="gramEnd"/>
      <w:r w:rsidRPr="004C04DD">
        <w:rPr>
          <w:rFonts w:hAnsi="宋体" w:hint="eastAsia"/>
          <w:sz w:val="24"/>
        </w:rPr>
        <w:t>【</w:t>
      </w:r>
      <w:r w:rsidRPr="004C04DD">
        <w:rPr>
          <w:rFonts w:hAnsi="宋体" w:hint="eastAsia"/>
          <w:sz w:val="24"/>
        </w:rPr>
        <w:t>2009</w:t>
      </w:r>
      <w:r w:rsidRPr="004C04DD">
        <w:rPr>
          <w:rFonts w:hAnsi="宋体" w:hint="eastAsia"/>
          <w:sz w:val="24"/>
        </w:rPr>
        <w:t>】</w:t>
      </w:r>
      <w:r w:rsidRPr="004C04DD">
        <w:rPr>
          <w:rFonts w:hAnsi="宋体" w:hint="eastAsia"/>
          <w:sz w:val="24"/>
        </w:rPr>
        <w:t>13</w:t>
      </w:r>
      <w:r w:rsidRPr="004C04DD">
        <w:rPr>
          <w:rFonts w:hAnsi="宋体" w:hint="eastAsia"/>
          <w:sz w:val="24"/>
        </w:rPr>
        <w:t>号</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基金托管业务批准文号：中国证监会</w:t>
      </w:r>
      <w:proofErr w:type="gramStart"/>
      <w:r w:rsidRPr="004C04DD">
        <w:rPr>
          <w:rFonts w:hAnsi="宋体" w:hint="eastAsia"/>
          <w:sz w:val="24"/>
        </w:rPr>
        <w:t>证监基字</w:t>
      </w:r>
      <w:proofErr w:type="gramEnd"/>
      <w:r w:rsidRPr="004C04DD">
        <w:rPr>
          <w:rFonts w:hAnsi="宋体" w:hint="eastAsia"/>
          <w:sz w:val="24"/>
        </w:rPr>
        <w:t>[1998]23</w:t>
      </w:r>
      <w:r w:rsidRPr="004C04DD">
        <w:rPr>
          <w:rFonts w:hAnsi="宋体" w:hint="eastAsia"/>
          <w:sz w:val="24"/>
        </w:rPr>
        <w:t>号</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注册资本：</w:t>
      </w:r>
      <w:r w:rsidRPr="004C04DD">
        <w:rPr>
          <w:rFonts w:hAnsi="宋体" w:hint="eastAsia"/>
          <w:sz w:val="24"/>
        </w:rPr>
        <w:t>32,479,411.7</w:t>
      </w:r>
      <w:r w:rsidRPr="004C04DD">
        <w:rPr>
          <w:rFonts w:hAnsi="宋体" w:hint="eastAsia"/>
          <w:sz w:val="24"/>
        </w:rPr>
        <w:t>万元人民币</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存续期间：持续经营</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联系电话：</w:t>
      </w:r>
      <w:r w:rsidRPr="004C04DD">
        <w:rPr>
          <w:rFonts w:hAnsi="宋体" w:hint="eastAsia"/>
          <w:sz w:val="24"/>
        </w:rPr>
        <w:t>010-68121510</w:t>
      </w:r>
    </w:p>
    <w:p w:rsidR="004C04DD" w:rsidRPr="004C04DD" w:rsidRDefault="004C04DD" w:rsidP="004C04DD">
      <w:pPr>
        <w:spacing w:line="360" w:lineRule="auto"/>
        <w:ind w:firstLineChars="200" w:firstLine="480"/>
        <w:rPr>
          <w:rFonts w:hAnsi="宋体"/>
          <w:sz w:val="24"/>
        </w:rPr>
      </w:pPr>
      <w:r w:rsidRPr="004C04DD">
        <w:rPr>
          <w:rFonts w:hAnsi="宋体" w:hint="eastAsia"/>
          <w:sz w:val="24"/>
        </w:rPr>
        <w:t>传真：</w:t>
      </w:r>
      <w:r w:rsidRPr="004C04DD">
        <w:rPr>
          <w:rFonts w:hAnsi="宋体" w:hint="eastAsia"/>
          <w:sz w:val="24"/>
        </w:rPr>
        <w:t>010-68121816</w:t>
      </w:r>
    </w:p>
    <w:p w:rsidR="00B67D8A" w:rsidRDefault="004C04DD">
      <w:pPr>
        <w:spacing w:line="360" w:lineRule="auto"/>
        <w:ind w:firstLineChars="200" w:firstLine="480"/>
        <w:rPr>
          <w:sz w:val="24"/>
        </w:rPr>
      </w:pPr>
      <w:r w:rsidRPr="004C04DD">
        <w:rPr>
          <w:rFonts w:hAnsi="宋体" w:hint="eastAsia"/>
          <w:sz w:val="24"/>
        </w:rPr>
        <w:t>联系人：李芳菲</w:t>
      </w:r>
    </w:p>
    <w:p w:rsidR="00B67D8A" w:rsidRDefault="00B67D8A">
      <w:pPr>
        <w:spacing w:line="360" w:lineRule="auto"/>
        <w:ind w:firstLineChars="200" w:firstLine="480"/>
        <w:rPr>
          <w:sz w:val="24"/>
        </w:rPr>
      </w:pPr>
      <w:r>
        <w:rPr>
          <w:rFonts w:hAnsi="宋体"/>
          <w:sz w:val="24"/>
        </w:rPr>
        <w:t>中国农业银行股份有限公司是中国金融体系的重要组成部分</w:t>
      </w:r>
      <w:r>
        <w:rPr>
          <w:sz w:val="24"/>
        </w:rPr>
        <w:t>,</w:t>
      </w:r>
      <w:r>
        <w:rPr>
          <w:rFonts w:hAnsi="宋体"/>
          <w:sz w:val="24"/>
        </w:rPr>
        <w:t>总行设在北京。经国务院批准，中国农业银行整体改制为中国农业银行股份有限公司并于</w:t>
      </w:r>
      <w:r>
        <w:rPr>
          <w:sz w:val="24"/>
        </w:rPr>
        <w:t>2009</w:t>
      </w:r>
      <w:r>
        <w:rPr>
          <w:rFonts w:hAnsi="宋体"/>
          <w:sz w:val="24"/>
        </w:rPr>
        <w:t>年</w:t>
      </w:r>
      <w:r>
        <w:rPr>
          <w:sz w:val="24"/>
        </w:rPr>
        <w:t>1</w:t>
      </w:r>
      <w:r>
        <w:rPr>
          <w:rFonts w:hAnsi="宋体"/>
          <w:sz w:val="24"/>
        </w:rPr>
        <w:t>月</w:t>
      </w:r>
      <w:r>
        <w:rPr>
          <w:sz w:val="24"/>
        </w:rPr>
        <w:t>15</w:t>
      </w:r>
      <w:r>
        <w:rPr>
          <w:rFonts w:hAnsi="宋体"/>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sz w:val="24"/>
        </w:rPr>
        <w:t>500</w:t>
      </w:r>
      <w:r>
        <w:rPr>
          <w:rFonts w:hAnsi="宋体"/>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sz w:val="24"/>
        </w:rPr>
        <w:t>“</w:t>
      </w:r>
      <w:r>
        <w:rPr>
          <w:rFonts w:hAnsi="宋体"/>
          <w:sz w:val="24"/>
        </w:rPr>
        <w:t>伴你成长</w:t>
      </w:r>
      <w:r>
        <w:rPr>
          <w:sz w:val="24"/>
        </w:rPr>
        <w:t>”</w:t>
      </w:r>
      <w:r>
        <w:rPr>
          <w:rFonts w:hAnsi="宋体"/>
          <w:sz w:val="24"/>
        </w:rPr>
        <w:t>服务品牌，依托覆盖全国的分支机构、庞大的电子化网络和多元化的金融产品，致力为广大客户提供优质的金融服务，与广大客户共创价值、共同成长。</w:t>
      </w:r>
    </w:p>
    <w:p w:rsidR="00B67D8A" w:rsidRDefault="00B67D8A">
      <w:pPr>
        <w:spacing w:line="360" w:lineRule="auto"/>
        <w:ind w:firstLineChars="200" w:firstLine="480"/>
        <w:rPr>
          <w:sz w:val="24"/>
        </w:rPr>
      </w:pPr>
      <w:r>
        <w:rPr>
          <w:rFonts w:hAnsi="宋体"/>
          <w:sz w:val="24"/>
        </w:rPr>
        <w:t>中国农业银行是中国第一批开展托管业务的国内商业银行，经验丰富，服务优质，业绩突出，</w:t>
      </w:r>
      <w:r>
        <w:rPr>
          <w:sz w:val="24"/>
        </w:rPr>
        <w:t>2004</w:t>
      </w:r>
      <w:r>
        <w:rPr>
          <w:rFonts w:hAnsi="宋体"/>
          <w:sz w:val="24"/>
        </w:rPr>
        <w:t>年被英国《全球托管人》评为中国</w:t>
      </w:r>
      <w:r>
        <w:rPr>
          <w:sz w:val="24"/>
        </w:rPr>
        <w:t>“</w:t>
      </w:r>
      <w:r>
        <w:rPr>
          <w:rFonts w:hAnsi="宋体"/>
          <w:sz w:val="24"/>
        </w:rPr>
        <w:t>最佳托管银行</w:t>
      </w:r>
      <w:r>
        <w:rPr>
          <w:sz w:val="24"/>
        </w:rPr>
        <w:t>”</w:t>
      </w:r>
      <w:r>
        <w:rPr>
          <w:rFonts w:hAnsi="宋体"/>
          <w:sz w:val="24"/>
        </w:rPr>
        <w:t>。</w:t>
      </w:r>
      <w:r>
        <w:rPr>
          <w:sz w:val="24"/>
        </w:rPr>
        <w:t>2007</w:t>
      </w:r>
      <w:r>
        <w:rPr>
          <w:rFonts w:hAnsi="宋体"/>
          <w:sz w:val="24"/>
        </w:rPr>
        <w:t>年中国农业银行通过了美国</w:t>
      </w:r>
      <w:r>
        <w:rPr>
          <w:sz w:val="24"/>
        </w:rPr>
        <w:t>SAS70</w:t>
      </w:r>
      <w:r>
        <w:rPr>
          <w:rFonts w:hAnsi="宋体"/>
          <w:sz w:val="24"/>
        </w:rPr>
        <w:t>内部控制审计，并获得无保留意见的</w:t>
      </w:r>
      <w:r>
        <w:rPr>
          <w:sz w:val="24"/>
        </w:rPr>
        <w:t>SAS70</w:t>
      </w:r>
      <w:r>
        <w:rPr>
          <w:rFonts w:hAnsi="宋体"/>
          <w:sz w:val="24"/>
        </w:rPr>
        <w:t>审计报告，表明了独立</w:t>
      </w:r>
      <w:proofErr w:type="gramStart"/>
      <w:r>
        <w:rPr>
          <w:rFonts w:hAnsi="宋体"/>
          <w:sz w:val="24"/>
        </w:rPr>
        <w:t>公正第三</w:t>
      </w:r>
      <w:proofErr w:type="gramEnd"/>
      <w:r>
        <w:rPr>
          <w:rFonts w:hAnsi="宋体"/>
          <w:sz w:val="24"/>
        </w:rPr>
        <w:t>方对中国农业银行托管服务运作流程的风险管理、内部控</w:t>
      </w:r>
      <w:r>
        <w:rPr>
          <w:rFonts w:hAnsi="宋体"/>
          <w:sz w:val="24"/>
        </w:rPr>
        <w:lastRenderedPageBreak/>
        <w:t>制的健全有效性的全面认可。中国农业银行着力加强能力建设，品牌声誉进一步提升，在</w:t>
      </w:r>
      <w:r>
        <w:rPr>
          <w:sz w:val="24"/>
        </w:rPr>
        <w:t>2010</w:t>
      </w:r>
      <w:r>
        <w:rPr>
          <w:rFonts w:hAnsi="宋体"/>
          <w:sz w:val="24"/>
        </w:rPr>
        <w:t>年首届</w:t>
      </w:r>
      <w:r>
        <w:rPr>
          <w:sz w:val="24"/>
        </w:rPr>
        <w:t>“‘</w:t>
      </w:r>
      <w:r>
        <w:rPr>
          <w:rFonts w:hAnsi="宋体"/>
          <w:sz w:val="24"/>
        </w:rPr>
        <w:t>金牌理财</w:t>
      </w:r>
      <w:r>
        <w:rPr>
          <w:sz w:val="24"/>
        </w:rPr>
        <w:t>’TOP10</w:t>
      </w:r>
      <w:r>
        <w:rPr>
          <w:rFonts w:hAnsi="宋体"/>
          <w:sz w:val="24"/>
        </w:rPr>
        <w:t>颁奖盛典</w:t>
      </w:r>
      <w:r>
        <w:rPr>
          <w:sz w:val="24"/>
        </w:rPr>
        <w:t>”</w:t>
      </w:r>
      <w:r>
        <w:rPr>
          <w:rFonts w:hAnsi="宋体"/>
          <w:sz w:val="24"/>
        </w:rPr>
        <w:t>中成绩突出，获</w:t>
      </w:r>
      <w:r>
        <w:rPr>
          <w:sz w:val="24"/>
        </w:rPr>
        <w:t>“</w:t>
      </w:r>
      <w:r>
        <w:rPr>
          <w:rFonts w:hAnsi="宋体"/>
          <w:sz w:val="24"/>
        </w:rPr>
        <w:t>最佳托管银行</w:t>
      </w:r>
      <w:r>
        <w:rPr>
          <w:sz w:val="24"/>
        </w:rPr>
        <w:t>”</w:t>
      </w:r>
      <w:r>
        <w:rPr>
          <w:rFonts w:hAnsi="宋体"/>
          <w:sz w:val="24"/>
        </w:rPr>
        <w:t>奖。</w:t>
      </w:r>
      <w:r>
        <w:rPr>
          <w:sz w:val="24"/>
        </w:rPr>
        <w:t>2010</w:t>
      </w:r>
      <w:r>
        <w:rPr>
          <w:rFonts w:hAnsi="宋体"/>
          <w:sz w:val="24"/>
        </w:rPr>
        <w:t>年再次荣获《首席财务官》杂志颁发的</w:t>
      </w:r>
      <w:r>
        <w:rPr>
          <w:sz w:val="24"/>
        </w:rPr>
        <w:t>“</w:t>
      </w:r>
      <w:r>
        <w:rPr>
          <w:rFonts w:hAnsi="宋体"/>
          <w:sz w:val="24"/>
        </w:rPr>
        <w:t>最佳资产托管奖</w:t>
      </w:r>
      <w:r>
        <w:rPr>
          <w:sz w:val="24"/>
        </w:rPr>
        <w:t>”</w:t>
      </w:r>
      <w:r>
        <w:rPr>
          <w:rFonts w:hAnsi="宋体"/>
          <w:sz w:val="24"/>
        </w:rPr>
        <w:t>。</w:t>
      </w:r>
    </w:p>
    <w:p w:rsidR="00B67D8A" w:rsidRDefault="00B67D8A">
      <w:pPr>
        <w:spacing w:line="360" w:lineRule="auto"/>
        <w:ind w:firstLineChars="200" w:firstLine="480"/>
        <w:rPr>
          <w:sz w:val="24"/>
        </w:rPr>
      </w:pPr>
      <w:r>
        <w:rPr>
          <w:rFonts w:hAnsi="宋体"/>
          <w:sz w:val="24"/>
        </w:rPr>
        <w:t>中国农业银行证券投资基金托管部于</w:t>
      </w:r>
      <w:r>
        <w:rPr>
          <w:sz w:val="24"/>
        </w:rPr>
        <w:t>1998</w:t>
      </w:r>
      <w:r>
        <w:rPr>
          <w:rFonts w:hAnsi="宋体"/>
          <w:sz w:val="24"/>
        </w:rPr>
        <w:t>年</w:t>
      </w:r>
      <w:r>
        <w:rPr>
          <w:sz w:val="24"/>
        </w:rPr>
        <w:t>5</w:t>
      </w:r>
      <w:r>
        <w:rPr>
          <w:rFonts w:hAnsi="宋体"/>
          <w:sz w:val="24"/>
        </w:rPr>
        <w:t>月经中国证监会和中国人民银行批准成立，</w:t>
      </w:r>
      <w:r>
        <w:rPr>
          <w:sz w:val="24"/>
        </w:rPr>
        <w:t>2004</w:t>
      </w:r>
      <w:r>
        <w:rPr>
          <w:rFonts w:hAnsi="宋体"/>
          <w:sz w:val="24"/>
        </w:rPr>
        <w:t>年</w:t>
      </w:r>
      <w:r>
        <w:rPr>
          <w:sz w:val="24"/>
        </w:rPr>
        <w:t>9</w:t>
      </w:r>
      <w:r>
        <w:rPr>
          <w:rFonts w:hAnsi="宋体"/>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B67D8A" w:rsidRDefault="00B67D8A">
      <w:pPr>
        <w:spacing w:line="360" w:lineRule="auto"/>
        <w:ind w:firstLineChars="200" w:firstLine="480"/>
        <w:rPr>
          <w:sz w:val="24"/>
        </w:rPr>
      </w:pPr>
      <w:r>
        <w:rPr>
          <w:sz w:val="24"/>
        </w:rPr>
        <w:t>2</w:t>
      </w:r>
      <w:r>
        <w:rPr>
          <w:rFonts w:hAnsi="宋体"/>
          <w:sz w:val="24"/>
        </w:rPr>
        <w:t>、主要人员情况</w:t>
      </w:r>
    </w:p>
    <w:p w:rsidR="00B67D8A" w:rsidRDefault="00B67D8A">
      <w:pPr>
        <w:spacing w:line="360" w:lineRule="auto"/>
        <w:ind w:firstLineChars="200" w:firstLine="480"/>
        <w:rPr>
          <w:sz w:val="24"/>
        </w:rPr>
      </w:pPr>
      <w:r>
        <w:rPr>
          <w:rFonts w:hAnsi="宋体"/>
          <w:sz w:val="24"/>
        </w:rPr>
        <w:t>中国农业银行托管业务部现有员工</w:t>
      </w:r>
      <w:r>
        <w:rPr>
          <w:sz w:val="24"/>
        </w:rPr>
        <w:t>14</w:t>
      </w:r>
      <w:r>
        <w:rPr>
          <w:rFonts w:hint="eastAsia"/>
          <w:sz w:val="24"/>
        </w:rPr>
        <w:t>0</w:t>
      </w:r>
      <w:r>
        <w:rPr>
          <w:rFonts w:hint="eastAsia"/>
          <w:sz w:val="24"/>
        </w:rPr>
        <w:t>余</w:t>
      </w:r>
      <w:r>
        <w:rPr>
          <w:rFonts w:hAnsi="宋体"/>
          <w:sz w:val="24"/>
        </w:rPr>
        <w:t>名，其中高级会计师、高级经济师、高级工程师、律师等专家</w:t>
      </w:r>
      <w:r>
        <w:rPr>
          <w:sz w:val="24"/>
        </w:rPr>
        <w:t>10</w:t>
      </w:r>
      <w:r>
        <w:rPr>
          <w:rFonts w:hAnsi="宋体"/>
          <w:sz w:val="24"/>
        </w:rPr>
        <w:t>余名，服务团队成员专业水平高、业务素质好、服务能力强，高级管理层均有</w:t>
      </w:r>
      <w:r>
        <w:rPr>
          <w:sz w:val="24"/>
        </w:rPr>
        <w:t>20</w:t>
      </w:r>
      <w:r>
        <w:rPr>
          <w:rFonts w:hAnsi="宋体"/>
          <w:sz w:val="24"/>
        </w:rPr>
        <w:t>年以上金融从业经验和高级技术职称，精通国内外证券市场的运作。</w:t>
      </w:r>
    </w:p>
    <w:p w:rsidR="00B67D8A" w:rsidRDefault="00B67D8A">
      <w:pPr>
        <w:spacing w:line="360" w:lineRule="auto"/>
        <w:ind w:firstLineChars="200" w:firstLine="480"/>
        <w:rPr>
          <w:sz w:val="24"/>
        </w:rPr>
      </w:pPr>
      <w:r>
        <w:rPr>
          <w:sz w:val="24"/>
        </w:rPr>
        <w:t>3</w:t>
      </w:r>
      <w:r>
        <w:rPr>
          <w:rFonts w:hAnsi="宋体"/>
          <w:sz w:val="24"/>
        </w:rPr>
        <w:t>、基金托管业务经营情况</w:t>
      </w:r>
    </w:p>
    <w:p w:rsidR="00B67D8A" w:rsidRDefault="00AC3579" w:rsidP="00AC3579">
      <w:pPr>
        <w:spacing w:line="360" w:lineRule="auto"/>
        <w:ind w:firstLineChars="200" w:firstLine="480"/>
        <w:rPr>
          <w:sz w:val="24"/>
        </w:rPr>
      </w:pPr>
      <w:r w:rsidRPr="00AC3579">
        <w:rPr>
          <w:rFonts w:hint="eastAsia"/>
          <w:sz w:val="24"/>
        </w:rPr>
        <w:t>截止</w:t>
      </w:r>
      <w:r w:rsidRPr="00AC3579">
        <w:rPr>
          <w:rFonts w:hint="eastAsia"/>
          <w:sz w:val="24"/>
        </w:rPr>
        <w:t>2014</w:t>
      </w:r>
      <w:r w:rsidRPr="00AC3579">
        <w:rPr>
          <w:rFonts w:hint="eastAsia"/>
          <w:sz w:val="24"/>
        </w:rPr>
        <w:t>年</w:t>
      </w:r>
      <w:r w:rsidRPr="00AC3579">
        <w:rPr>
          <w:rFonts w:hint="eastAsia"/>
          <w:sz w:val="24"/>
        </w:rPr>
        <w:t>6</w:t>
      </w:r>
      <w:r w:rsidRPr="00AC3579">
        <w:rPr>
          <w:rFonts w:hint="eastAsia"/>
          <w:sz w:val="24"/>
        </w:rPr>
        <w:t>月</w:t>
      </w:r>
      <w:r w:rsidRPr="00AC3579">
        <w:rPr>
          <w:rFonts w:hint="eastAsia"/>
          <w:sz w:val="24"/>
        </w:rPr>
        <w:t>30</w:t>
      </w:r>
      <w:r w:rsidRPr="00AC3579">
        <w:rPr>
          <w:rFonts w:hint="eastAsia"/>
          <w:sz w:val="24"/>
        </w:rPr>
        <w:t>日，中国农业银行托管的封闭式证券投资基金和开放式证券投资基金共</w:t>
      </w:r>
      <w:r w:rsidRPr="00AC3579">
        <w:rPr>
          <w:rFonts w:hint="eastAsia"/>
          <w:sz w:val="24"/>
        </w:rPr>
        <w:t>213</w:t>
      </w:r>
      <w:r w:rsidRPr="00AC3579">
        <w:rPr>
          <w:rFonts w:hint="eastAsia"/>
          <w:sz w:val="24"/>
        </w:rPr>
        <w:t>只，包括富国天</w:t>
      </w:r>
      <w:proofErr w:type="gramStart"/>
      <w:r w:rsidRPr="00AC3579">
        <w:rPr>
          <w:rFonts w:hint="eastAsia"/>
          <w:sz w:val="24"/>
        </w:rPr>
        <w:t>源平衡</w:t>
      </w:r>
      <w:proofErr w:type="gramEnd"/>
      <w:r w:rsidRPr="00AC3579">
        <w:rPr>
          <w:rFonts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AC3579">
        <w:rPr>
          <w:rFonts w:hint="eastAsia"/>
          <w:sz w:val="24"/>
        </w:rPr>
        <w:t>鸿阳证券投资</w:t>
      </w:r>
      <w:proofErr w:type="gramEnd"/>
      <w:r w:rsidRPr="00AC3579">
        <w:rPr>
          <w:rFonts w:hint="eastAsia"/>
          <w:sz w:val="24"/>
        </w:rPr>
        <w:t>基金、丰和价值证券投资基金、</w:t>
      </w:r>
      <w:proofErr w:type="gramStart"/>
      <w:r w:rsidRPr="00AC3579">
        <w:rPr>
          <w:rFonts w:hint="eastAsia"/>
          <w:sz w:val="24"/>
        </w:rPr>
        <w:t>久嘉证券投资</w:t>
      </w:r>
      <w:proofErr w:type="gramEnd"/>
      <w:r w:rsidRPr="00AC3579">
        <w:rPr>
          <w:rFonts w:hint="eastAsia"/>
          <w:sz w:val="24"/>
        </w:rPr>
        <w:t>基金、长盛成长价值证券投资基金、宝</w:t>
      </w:r>
      <w:proofErr w:type="gramStart"/>
      <w:r w:rsidRPr="00AC3579">
        <w:rPr>
          <w:rFonts w:hint="eastAsia"/>
          <w:sz w:val="24"/>
        </w:rPr>
        <w:t>盈鸿利收益</w:t>
      </w:r>
      <w:proofErr w:type="gramEnd"/>
      <w:r w:rsidRPr="00AC3579">
        <w:rPr>
          <w:rFonts w:hint="eastAsia"/>
          <w:sz w:val="24"/>
        </w:rPr>
        <w:t>证券投资基金、大成价值增长证券投资基金、大成债券投资基金、银河稳健证券投资基金、银河收益证券投资基金、长盛中</w:t>
      </w:r>
      <w:proofErr w:type="gramStart"/>
      <w:r w:rsidRPr="00AC3579">
        <w:rPr>
          <w:rFonts w:hint="eastAsia"/>
          <w:sz w:val="24"/>
        </w:rPr>
        <w:t>信全债指数</w:t>
      </w:r>
      <w:proofErr w:type="gramEnd"/>
      <w:r w:rsidRPr="00AC3579">
        <w:rPr>
          <w:rFonts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w:t>
      </w:r>
      <w:r w:rsidRPr="00AC3579">
        <w:rPr>
          <w:rFonts w:hint="eastAsia"/>
          <w:sz w:val="24"/>
        </w:rPr>
        <w:lastRenderedPageBreak/>
        <w:t>资基金、</w:t>
      </w:r>
      <w:proofErr w:type="gramStart"/>
      <w:r w:rsidRPr="00AC3579">
        <w:rPr>
          <w:rFonts w:hint="eastAsia"/>
          <w:sz w:val="24"/>
        </w:rPr>
        <w:t>大成沪</w:t>
      </w:r>
      <w:proofErr w:type="gramEnd"/>
      <w:r w:rsidRPr="00AC3579">
        <w:rPr>
          <w:rFonts w:hint="eastAsia"/>
          <w:sz w:val="24"/>
        </w:rPr>
        <w:t>深</w:t>
      </w:r>
      <w:r w:rsidRPr="00AC3579">
        <w:rPr>
          <w:rFonts w:hint="eastAsia"/>
          <w:sz w:val="24"/>
        </w:rPr>
        <w:t>300</w:t>
      </w:r>
      <w:r w:rsidRPr="00AC3579">
        <w:rPr>
          <w:rFonts w:hint="eastAsia"/>
          <w:sz w:val="24"/>
        </w:rPr>
        <w:t>指数证券投资基金、信诚四季红混合型证券投资基金、富国天时货币市场基金、富兰克林国海弹性市值股票型证券投资基金、益民货币市场基金、长城安心回报混合型证券投资基金、中</w:t>
      </w:r>
      <w:proofErr w:type="gramStart"/>
      <w:r w:rsidRPr="00AC3579">
        <w:rPr>
          <w:rFonts w:hint="eastAsia"/>
          <w:sz w:val="24"/>
        </w:rPr>
        <w:t>邮核心优选</w:t>
      </w:r>
      <w:proofErr w:type="gramEnd"/>
      <w:r w:rsidRPr="00AC3579">
        <w:rPr>
          <w:rFonts w:hint="eastAsia"/>
          <w:sz w:val="24"/>
        </w:rPr>
        <w:t>股票型证券投资基金、景顺长城内需增长贰号股票型证券投资基金、交银施罗德成长股票证券投资基金、长盛中证</w:t>
      </w:r>
      <w:r w:rsidRPr="00AC3579">
        <w:rPr>
          <w:rFonts w:hint="eastAsia"/>
          <w:sz w:val="24"/>
        </w:rPr>
        <w:t>100</w:t>
      </w:r>
      <w:r w:rsidRPr="00AC3579">
        <w:rPr>
          <w:rFonts w:hint="eastAsia"/>
          <w:sz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AC3579">
        <w:rPr>
          <w:rFonts w:hint="eastAsia"/>
          <w:sz w:val="24"/>
        </w:rPr>
        <w:t>民创新</w:t>
      </w:r>
      <w:proofErr w:type="gramEnd"/>
      <w:r w:rsidRPr="00AC3579">
        <w:rPr>
          <w:rFonts w:hint="eastAsia"/>
          <w:sz w:val="24"/>
        </w:rPr>
        <w:t>优势混合型证券投资基金、中</w:t>
      </w:r>
      <w:proofErr w:type="gramStart"/>
      <w:r w:rsidRPr="00AC3579">
        <w:rPr>
          <w:rFonts w:hint="eastAsia"/>
          <w:sz w:val="24"/>
        </w:rPr>
        <w:t>邮核心</w:t>
      </w:r>
      <w:proofErr w:type="gramEnd"/>
      <w:r w:rsidRPr="00AC3579">
        <w:rPr>
          <w:rFonts w:hint="eastAsia"/>
          <w:sz w:val="24"/>
        </w:rPr>
        <w:t>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w:t>
      </w:r>
      <w:proofErr w:type="gramStart"/>
      <w:r w:rsidRPr="00AC3579">
        <w:rPr>
          <w:rFonts w:hint="eastAsia"/>
          <w:sz w:val="24"/>
        </w:rPr>
        <w:t>惠理成长</w:t>
      </w:r>
      <w:proofErr w:type="gramEnd"/>
      <w:r w:rsidRPr="00AC3579">
        <w:rPr>
          <w:rFonts w:hint="eastAsia"/>
          <w:sz w:val="24"/>
        </w:rPr>
        <w:t>动力灵活配置混合型证券投资基金、天治</w:t>
      </w:r>
      <w:proofErr w:type="gramStart"/>
      <w:r w:rsidRPr="00AC3579">
        <w:rPr>
          <w:rFonts w:hint="eastAsia"/>
          <w:sz w:val="24"/>
        </w:rPr>
        <w:t>稳健双盈债券</w:t>
      </w:r>
      <w:proofErr w:type="gramEnd"/>
      <w:r w:rsidRPr="00AC3579">
        <w:rPr>
          <w:rFonts w:hint="eastAsia"/>
          <w:sz w:val="24"/>
        </w:rPr>
        <w:t>型证券投资基金、中海蓝筹灵活配置混合型证券投资基金、长信利丰债券型证券投资基金、金元惠理丰利债券型证券投资基金、交银施罗德先锋股票证券投资基金、东吴进取策略灵活配置混合型开放式证券投资基金、建</w:t>
      </w:r>
      <w:proofErr w:type="gramStart"/>
      <w:r w:rsidRPr="00AC3579">
        <w:rPr>
          <w:rFonts w:hint="eastAsia"/>
          <w:sz w:val="24"/>
        </w:rPr>
        <w:t>信收益</w:t>
      </w:r>
      <w:proofErr w:type="gramEnd"/>
      <w:r w:rsidRPr="00AC3579">
        <w:rPr>
          <w:rFonts w:hint="eastAsia"/>
          <w:sz w:val="24"/>
        </w:rPr>
        <w:t>增强债券型证券投资基金、银华内需精选股票型证券投资基金</w:t>
      </w:r>
      <w:r w:rsidRPr="00AC3579">
        <w:rPr>
          <w:rFonts w:hint="eastAsia"/>
          <w:sz w:val="24"/>
        </w:rPr>
        <w:t>(LOF)</w:t>
      </w:r>
      <w:r w:rsidRPr="00AC3579">
        <w:rPr>
          <w:rFonts w:hint="eastAsia"/>
          <w:sz w:val="24"/>
        </w:rPr>
        <w:t>、大成行业轮</w:t>
      </w:r>
      <w:proofErr w:type="gramStart"/>
      <w:r w:rsidRPr="00AC3579">
        <w:rPr>
          <w:rFonts w:hint="eastAsia"/>
          <w:sz w:val="24"/>
        </w:rPr>
        <w:t>动股票型</w:t>
      </w:r>
      <w:proofErr w:type="gramEnd"/>
      <w:r w:rsidRPr="00AC3579">
        <w:rPr>
          <w:rFonts w:hint="eastAsia"/>
          <w:sz w:val="24"/>
        </w:rPr>
        <w:t>证券投资基金、交银施罗德上证</w:t>
      </w:r>
      <w:r w:rsidRPr="00AC3579">
        <w:rPr>
          <w:rFonts w:hint="eastAsia"/>
          <w:sz w:val="24"/>
        </w:rPr>
        <w:t>180</w:t>
      </w:r>
      <w:r w:rsidRPr="00AC3579">
        <w:rPr>
          <w:rFonts w:hint="eastAsia"/>
          <w:sz w:val="24"/>
        </w:rPr>
        <w:t>公司治理交易型开放式指数证券投资基金联接基金、上证</w:t>
      </w:r>
      <w:r w:rsidRPr="00AC3579">
        <w:rPr>
          <w:rFonts w:hint="eastAsia"/>
          <w:sz w:val="24"/>
        </w:rPr>
        <w:t>180</w:t>
      </w:r>
      <w:r w:rsidRPr="00AC3579">
        <w:rPr>
          <w:rFonts w:hint="eastAsia"/>
          <w:sz w:val="24"/>
        </w:rPr>
        <w:t>公司治理交易型开放式指数证券投资基金、富兰克林国海沪深</w:t>
      </w:r>
      <w:r w:rsidRPr="00AC3579">
        <w:rPr>
          <w:rFonts w:hint="eastAsia"/>
          <w:sz w:val="24"/>
        </w:rPr>
        <w:t>300</w:t>
      </w:r>
      <w:r w:rsidRPr="00AC3579">
        <w:rPr>
          <w:rFonts w:hint="eastAsia"/>
          <w:sz w:val="24"/>
        </w:rPr>
        <w:t>指数增强型证券投资基金、南方中证</w:t>
      </w:r>
      <w:r w:rsidRPr="00AC3579">
        <w:rPr>
          <w:rFonts w:hint="eastAsia"/>
          <w:sz w:val="24"/>
        </w:rPr>
        <w:t>500</w:t>
      </w:r>
      <w:r w:rsidRPr="00AC3579">
        <w:rPr>
          <w:rFonts w:hint="eastAsia"/>
          <w:sz w:val="24"/>
        </w:rPr>
        <w:t>交易型开放式指数证券投资基金联接基金</w:t>
      </w:r>
      <w:r w:rsidRPr="00AC3579">
        <w:rPr>
          <w:rFonts w:hint="eastAsia"/>
          <w:sz w:val="24"/>
        </w:rPr>
        <w:t>(LOF)</w:t>
      </w:r>
      <w:r w:rsidRPr="00AC3579">
        <w:rPr>
          <w:rFonts w:hint="eastAsia"/>
          <w:sz w:val="24"/>
        </w:rPr>
        <w:t>、景顺长城能源基建股票型证券投资基金、中</w:t>
      </w:r>
      <w:proofErr w:type="gramStart"/>
      <w:r w:rsidRPr="00AC3579">
        <w:rPr>
          <w:rFonts w:hint="eastAsia"/>
          <w:sz w:val="24"/>
        </w:rPr>
        <w:t>邮核心</w:t>
      </w:r>
      <w:proofErr w:type="gramEnd"/>
      <w:r w:rsidRPr="00AC3579">
        <w:rPr>
          <w:rFonts w:hint="eastAsia"/>
          <w:sz w:val="24"/>
        </w:rPr>
        <w:t>优势灵活配置混合型证券投资基金、</w:t>
      </w:r>
      <w:proofErr w:type="gramStart"/>
      <w:r w:rsidRPr="00AC3579">
        <w:rPr>
          <w:rFonts w:hint="eastAsia"/>
          <w:sz w:val="24"/>
        </w:rPr>
        <w:t>工银瑞信</w:t>
      </w:r>
      <w:proofErr w:type="gramEnd"/>
      <w:r w:rsidRPr="00AC3579">
        <w:rPr>
          <w:rFonts w:hint="eastAsia"/>
          <w:sz w:val="24"/>
        </w:rPr>
        <w:t>中小</w:t>
      </w:r>
      <w:proofErr w:type="gramStart"/>
      <w:r w:rsidRPr="00AC3579">
        <w:rPr>
          <w:rFonts w:hint="eastAsia"/>
          <w:sz w:val="24"/>
        </w:rPr>
        <w:t>盘成长</w:t>
      </w:r>
      <w:proofErr w:type="gramEnd"/>
      <w:r w:rsidRPr="00AC3579">
        <w:rPr>
          <w:rFonts w:hint="eastAsia"/>
          <w:sz w:val="24"/>
        </w:rPr>
        <w:t>股票型证券投资基金、东吴货币市场证券投资基金、博</w:t>
      </w:r>
      <w:proofErr w:type="gramStart"/>
      <w:r w:rsidRPr="00AC3579">
        <w:rPr>
          <w:rFonts w:hint="eastAsia"/>
          <w:sz w:val="24"/>
        </w:rPr>
        <w:t>时创业</w:t>
      </w:r>
      <w:proofErr w:type="gramEnd"/>
      <w:r w:rsidRPr="00AC3579">
        <w:rPr>
          <w:rFonts w:hint="eastAsia"/>
          <w:sz w:val="24"/>
        </w:rPr>
        <w:t>成长股票型证券投资基金、招商信用添利债券型证券投资基金、易方达消费行业股票型证券投资基金、富国汇利分级债券型证券投资基金、大成景丰分级债券型证券投资基金、</w:t>
      </w:r>
      <w:proofErr w:type="gramStart"/>
      <w:r w:rsidRPr="00AC3579">
        <w:rPr>
          <w:rFonts w:hint="eastAsia"/>
          <w:sz w:val="24"/>
        </w:rPr>
        <w:t>兴全沪深</w:t>
      </w:r>
      <w:proofErr w:type="gramEnd"/>
      <w:r w:rsidRPr="00AC3579">
        <w:rPr>
          <w:rFonts w:hint="eastAsia"/>
          <w:sz w:val="24"/>
        </w:rPr>
        <w:t>300</w:t>
      </w:r>
      <w:r w:rsidRPr="00AC3579">
        <w:rPr>
          <w:rFonts w:hint="eastAsia"/>
          <w:sz w:val="24"/>
        </w:rPr>
        <w:t>指数增强型证券投资基金</w:t>
      </w:r>
      <w:r w:rsidRPr="00AC3579">
        <w:rPr>
          <w:rFonts w:hint="eastAsia"/>
          <w:sz w:val="24"/>
        </w:rPr>
        <w:t>(LOF)</w:t>
      </w:r>
      <w:r w:rsidRPr="00AC3579">
        <w:rPr>
          <w:rFonts w:hint="eastAsia"/>
          <w:sz w:val="24"/>
        </w:rPr>
        <w:t>、</w:t>
      </w:r>
      <w:proofErr w:type="gramStart"/>
      <w:r w:rsidRPr="00AC3579">
        <w:rPr>
          <w:rFonts w:hint="eastAsia"/>
          <w:sz w:val="24"/>
        </w:rPr>
        <w:t>工银瑞信</w:t>
      </w:r>
      <w:proofErr w:type="gramEnd"/>
      <w:r w:rsidRPr="00AC3579">
        <w:rPr>
          <w:rFonts w:hint="eastAsia"/>
          <w:sz w:val="24"/>
        </w:rPr>
        <w:t>深证红利交易型开放式指数证券投资基金、</w:t>
      </w:r>
      <w:proofErr w:type="gramStart"/>
      <w:r w:rsidRPr="00AC3579">
        <w:rPr>
          <w:rFonts w:hint="eastAsia"/>
          <w:sz w:val="24"/>
        </w:rPr>
        <w:t>工银瑞信</w:t>
      </w:r>
      <w:proofErr w:type="gramEnd"/>
      <w:r w:rsidRPr="00AC3579">
        <w:rPr>
          <w:rFonts w:hint="eastAsia"/>
          <w:sz w:val="24"/>
        </w:rPr>
        <w:t>深证红利交易型开放式指数证券投资基金联接基金、富国可转换债券证券投资基金、</w:t>
      </w:r>
      <w:proofErr w:type="gramStart"/>
      <w:r w:rsidRPr="00AC3579">
        <w:rPr>
          <w:rFonts w:hint="eastAsia"/>
          <w:sz w:val="24"/>
        </w:rPr>
        <w:t>大成深证成长</w:t>
      </w:r>
      <w:proofErr w:type="gramEnd"/>
      <w:r w:rsidRPr="00AC3579">
        <w:rPr>
          <w:rFonts w:hint="eastAsia"/>
          <w:sz w:val="24"/>
        </w:rPr>
        <w:t>40</w:t>
      </w:r>
      <w:r w:rsidRPr="00AC3579">
        <w:rPr>
          <w:rFonts w:hint="eastAsia"/>
          <w:sz w:val="24"/>
        </w:rPr>
        <w:t>交易型开放式指数证券投资基金、</w:t>
      </w:r>
      <w:proofErr w:type="gramStart"/>
      <w:r w:rsidRPr="00AC3579">
        <w:rPr>
          <w:rFonts w:hint="eastAsia"/>
          <w:sz w:val="24"/>
        </w:rPr>
        <w:t>大成深证成长</w:t>
      </w:r>
      <w:proofErr w:type="gramEnd"/>
      <w:r w:rsidRPr="00AC3579">
        <w:rPr>
          <w:rFonts w:hint="eastAsia"/>
          <w:sz w:val="24"/>
        </w:rPr>
        <w:t>40</w:t>
      </w:r>
      <w:r w:rsidRPr="00AC3579">
        <w:rPr>
          <w:rFonts w:hint="eastAsia"/>
          <w:sz w:val="24"/>
        </w:rPr>
        <w:t>交易型开放式指数证券投资基金联接基金、泰达宏利领先中小盘股票型证券投资基金、交银施罗德信用添利债券证券投资基金、东吴中证新兴产业指数证券投资基金、</w:t>
      </w:r>
      <w:proofErr w:type="gramStart"/>
      <w:r w:rsidRPr="00AC3579">
        <w:rPr>
          <w:rFonts w:hint="eastAsia"/>
          <w:sz w:val="24"/>
        </w:rPr>
        <w:t>工银瑞信</w:t>
      </w:r>
      <w:proofErr w:type="gramEnd"/>
      <w:r w:rsidRPr="00AC3579">
        <w:rPr>
          <w:rFonts w:hint="eastAsia"/>
          <w:sz w:val="24"/>
        </w:rPr>
        <w:t>四</w:t>
      </w:r>
      <w:r w:rsidRPr="00AC3579">
        <w:rPr>
          <w:rFonts w:hint="eastAsia"/>
          <w:sz w:val="24"/>
        </w:rPr>
        <w:lastRenderedPageBreak/>
        <w:t>季收益债券型证券投资基金、招商安瑞进取债券型证券投资基金、</w:t>
      </w:r>
      <w:proofErr w:type="gramStart"/>
      <w:r w:rsidRPr="00AC3579">
        <w:rPr>
          <w:rFonts w:hint="eastAsia"/>
          <w:sz w:val="24"/>
        </w:rPr>
        <w:t>汇添富</w:t>
      </w:r>
      <w:proofErr w:type="gramEnd"/>
      <w:r w:rsidRPr="00AC3579">
        <w:rPr>
          <w:rFonts w:hint="eastAsia"/>
          <w:sz w:val="24"/>
        </w:rPr>
        <w:t>社会责任股票型证券投资基金、工</w:t>
      </w:r>
      <w:proofErr w:type="gramStart"/>
      <w:r w:rsidRPr="00AC3579">
        <w:rPr>
          <w:rFonts w:hint="eastAsia"/>
          <w:sz w:val="24"/>
        </w:rPr>
        <w:t>银瑞信消费</w:t>
      </w:r>
      <w:proofErr w:type="gramEnd"/>
      <w:r w:rsidRPr="00AC3579">
        <w:rPr>
          <w:rFonts w:hint="eastAsia"/>
          <w:sz w:val="24"/>
        </w:rPr>
        <w:t>服务行业股票型证券投资基金、易方达黄金主题证券投资基金（</w:t>
      </w:r>
      <w:r w:rsidRPr="00AC3579">
        <w:rPr>
          <w:rFonts w:hint="eastAsia"/>
          <w:sz w:val="24"/>
        </w:rPr>
        <w:t>LOF</w:t>
      </w:r>
      <w:r w:rsidRPr="00AC3579">
        <w:rPr>
          <w:rFonts w:hint="eastAsia"/>
          <w:sz w:val="24"/>
        </w:rPr>
        <w:t>）、中邮中小盘灵活配置混合型证券投资基金、</w:t>
      </w:r>
      <w:proofErr w:type="gramStart"/>
      <w:r w:rsidRPr="00AC3579">
        <w:rPr>
          <w:rFonts w:hint="eastAsia"/>
          <w:sz w:val="24"/>
        </w:rPr>
        <w:t>浙商聚潮产业</w:t>
      </w:r>
      <w:proofErr w:type="gramEnd"/>
      <w:r w:rsidRPr="00AC3579">
        <w:rPr>
          <w:rFonts w:hint="eastAsia"/>
          <w:sz w:val="24"/>
        </w:rPr>
        <w:t>成长股票型证券投资基金、嘉实领先成长股票型证券投资基金、广发中小板</w:t>
      </w:r>
      <w:r w:rsidRPr="00AC3579">
        <w:rPr>
          <w:rFonts w:hint="eastAsia"/>
          <w:sz w:val="24"/>
        </w:rPr>
        <w:t>300</w:t>
      </w:r>
      <w:r w:rsidRPr="00AC3579">
        <w:rPr>
          <w:rFonts w:hint="eastAsia"/>
          <w:sz w:val="24"/>
        </w:rPr>
        <w:t>交易型开放式指数证券投资基金、广发中小板</w:t>
      </w:r>
      <w:r w:rsidRPr="00AC3579">
        <w:rPr>
          <w:rFonts w:hint="eastAsia"/>
          <w:sz w:val="24"/>
        </w:rPr>
        <w:t>300</w:t>
      </w:r>
      <w:r w:rsidRPr="00AC3579">
        <w:rPr>
          <w:rFonts w:hint="eastAsia"/>
          <w:sz w:val="24"/>
        </w:rPr>
        <w:t>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AC3579">
        <w:rPr>
          <w:rFonts w:hint="eastAsia"/>
          <w:sz w:val="24"/>
        </w:rPr>
        <w:t>金元惠理保本</w:t>
      </w:r>
      <w:proofErr w:type="gramEnd"/>
      <w:r w:rsidRPr="00AC3579">
        <w:rPr>
          <w:rFonts w:hint="eastAsia"/>
          <w:sz w:val="24"/>
        </w:rPr>
        <w:t>混合型证券投资基金、招商安达保本混合型证券投资基金、深证</w:t>
      </w:r>
      <w:r w:rsidRPr="00AC3579">
        <w:rPr>
          <w:rFonts w:hint="eastAsia"/>
          <w:sz w:val="24"/>
        </w:rPr>
        <w:t>300</w:t>
      </w:r>
      <w:r w:rsidRPr="00AC3579">
        <w:rPr>
          <w:rFonts w:hint="eastAsia"/>
          <w:sz w:val="24"/>
        </w:rPr>
        <w:t>价值交易型开放式指数证券投资基金、南方中国中小盘股票指数证券投资基金（</w:t>
      </w:r>
      <w:r w:rsidRPr="00AC3579">
        <w:rPr>
          <w:rFonts w:hint="eastAsia"/>
          <w:sz w:val="24"/>
        </w:rPr>
        <w:t>LOF</w:t>
      </w:r>
      <w:r w:rsidRPr="00AC3579">
        <w:rPr>
          <w:rFonts w:hint="eastAsia"/>
          <w:sz w:val="24"/>
        </w:rPr>
        <w:t>）、交银施罗德深证</w:t>
      </w:r>
      <w:r w:rsidRPr="00AC3579">
        <w:rPr>
          <w:rFonts w:hint="eastAsia"/>
          <w:sz w:val="24"/>
        </w:rPr>
        <w:t>300</w:t>
      </w:r>
      <w:r w:rsidRPr="00AC3579">
        <w:rPr>
          <w:rFonts w:hint="eastAsia"/>
          <w:sz w:val="24"/>
        </w:rPr>
        <w:t>价值交易型开放式指数证券投资基金联接基金、富国中证</w:t>
      </w:r>
      <w:r w:rsidRPr="00AC3579">
        <w:rPr>
          <w:rFonts w:hint="eastAsia"/>
          <w:sz w:val="24"/>
        </w:rPr>
        <w:t>500</w:t>
      </w:r>
      <w:r w:rsidRPr="00AC3579">
        <w:rPr>
          <w:rFonts w:hint="eastAsia"/>
          <w:sz w:val="24"/>
        </w:rPr>
        <w:t>指数增强型证券投资基金（</w:t>
      </w:r>
      <w:r w:rsidRPr="00AC3579">
        <w:rPr>
          <w:rFonts w:hint="eastAsia"/>
          <w:sz w:val="24"/>
        </w:rPr>
        <w:t>LOF</w:t>
      </w:r>
      <w:r w:rsidRPr="00AC3579">
        <w:rPr>
          <w:rFonts w:hint="eastAsia"/>
          <w:sz w:val="24"/>
        </w:rPr>
        <w:t>）、长信内需成长股票型证券投资基金、大成中</w:t>
      </w:r>
      <w:proofErr w:type="gramStart"/>
      <w:r w:rsidRPr="00AC3579">
        <w:rPr>
          <w:rFonts w:hint="eastAsia"/>
          <w:sz w:val="24"/>
        </w:rPr>
        <w:t>证内地</w:t>
      </w:r>
      <w:proofErr w:type="gramEnd"/>
      <w:r w:rsidRPr="00AC3579">
        <w:rPr>
          <w:rFonts w:hint="eastAsia"/>
          <w:sz w:val="24"/>
        </w:rPr>
        <w:t>消费主题指数证券投资基金、中</w:t>
      </w:r>
      <w:proofErr w:type="gramStart"/>
      <w:r w:rsidRPr="00AC3579">
        <w:rPr>
          <w:rFonts w:hint="eastAsia"/>
          <w:sz w:val="24"/>
        </w:rPr>
        <w:t>海消费</w:t>
      </w:r>
      <w:proofErr w:type="gramEnd"/>
      <w:r w:rsidRPr="00AC3579">
        <w:rPr>
          <w:rFonts w:hint="eastAsia"/>
          <w:sz w:val="24"/>
        </w:rPr>
        <w:t>主题精选股票型证券投资基金、</w:t>
      </w:r>
      <w:proofErr w:type="gramStart"/>
      <w:r w:rsidRPr="00AC3579">
        <w:rPr>
          <w:rFonts w:hint="eastAsia"/>
          <w:sz w:val="24"/>
        </w:rPr>
        <w:t>长盛同瑞中</w:t>
      </w:r>
      <w:proofErr w:type="gramEnd"/>
      <w:r w:rsidRPr="00AC3579">
        <w:rPr>
          <w:rFonts w:hint="eastAsia"/>
          <w:sz w:val="24"/>
        </w:rPr>
        <w:t>证</w:t>
      </w:r>
      <w:r w:rsidRPr="00AC3579">
        <w:rPr>
          <w:rFonts w:hint="eastAsia"/>
          <w:sz w:val="24"/>
        </w:rPr>
        <w:t>200</w:t>
      </w:r>
      <w:r w:rsidRPr="00AC3579">
        <w:rPr>
          <w:rFonts w:hint="eastAsia"/>
          <w:sz w:val="24"/>
        </w:rPr>
        <w:t>指数分级证券投资基金、景顺长城核心竞争力股票型证券投资基金、</w:t>
      </w:r>
      <w:proofErr w:type="gramStart"/>
      <w:r w:rsidRPr="00AC3579">
        <w:rPr>
          <w:rFonts w:hint="eastAsia"/>
          <w:sz w:val="24"/>
        </w:rPr>
        <w:t>汇添富</w:t>
      </w:r>
      <w:proofErr w:type="gramEnd"/>
      <w:r w:rsidRPr="00AC3579">
        <w:rPr>
          <w:rFonts w:hint="eastAsia"/>
          <w:sz w:val="24"/>
        </w:rPr>
        <w:t>信用债债券型证券投资基金、光大保德</w:t>
      </w:r>
      <w:proofErr w:type="gramStart"/>
      <w:r w:rsidRPr="00AC3579">
        <w:rPr>
          <w:rFonts w:hint="eastAsia"/>
          <w:sz w:val="24"/>
        </w:rPr>
        <w:t>信行业轮动股票型</w:t>
      </w:r>
      <w:proofErr w:type="gramEnd"/>
      <w:r w:rsidRPr="00AC3579">
        <w:rPr>
          <w:rFonts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AC3579">
        <w:rPr>
          <w:rFonts w:hint="eastAsia"/>
          <w:sz w:val="24"/>
        </w:rPr>
        <w:t>14</w:t>
      </w:r>
      <w:r w:rsidRPr="00AC3579">
        <w:rPr>
          <w:rFonts w:hint="eastAsia"/>
          <w:sz w:val="24"/>
        </w:rPr>
        <w:t>天债券型证券投资基金、嘉实全球房地产证券投资基金、金元惠理新经济主题股票型证券投资基金、东吴保本混合型证券投资基金、建新社会责任股票型证券投资基金、嘉实理财宝</w:t>
      </w:r>
      <w:r w:rsidRPr="00AC3579">
        <w:rPr>
          <w:rFonts w:hint="eastAsia"/>
          <w:sz w:val="24"/>
        </w:rPr>
        <w:t>7</w:t>
      </w:r>
      <w:r w:rsidRPr="00AC3579">
        <w:rPr>
          <w:rFonts w:hint="eastAsia"/>
          <w:sz w:val="24"/>
        </w:rPr>
        <w:t>天债券型证券投资基金、富兰克林国海恒久信用债券型证券投资基金、大成月添利理财债券型证券投资基金、安信目标收益债券型证券投资基金、富国</w:t>
      </w:r>
      <w:r w:rsidRPr="00AC3579">
        <w:rPr>
          <w:rFonts w:hint="eastAsia"/>
          <w:sz w:val="24"/>
        </w:rPr>
        <w:t>7</w:t>
      </w:r>
      <w:r w:rsidRPr="00AC3579">
        <w:rPr>
          <w:rFonts w:hint="eastAsia"/>
          <w:sz w:val="24"/>
        </w:rPr>
        <w:t>天理财宝债券型证券投资基金、交银施罗德理财</w:t>
      </w:r>
      <w:r w:rsidRPr="00AC3579">
        <w:rPr>
          <w:rFonts w:hint="eastAsia"/>
          <w:sz w:val="24"/>
        </w:rPr>
        <w:t>21</w:t>
      </w:r>
      <w:r w:rsidRPr="00AC3579">
        <w:rPr>
          <w:rFonts w:hint="eastAsia"/>
          <w:sz w:val="24"/>
        </w:rPr>
        <w:t>天债券型证券投资基金、易方达中债新综合指数发起式证券投资基金（</w:t>
      </w:r>
      <w:r w:rsidRPr="00AC3579">
        <w:rPr>
          <w:rFonts w:hint="eastAsia"/>
          <w:sz w:val="24"/>
        </w:rPr>
        <w:t>LOF</w:t>
      </w:r>
      <w:r w:rsidRPr="00AC3579">
        <w:rPr>
          <w:rFonts w:hint="eastAsia"/>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AC3579">
        <w:rPr>
          <w:rFonts w:hint="eastAsia"/>
          <w:sz w:val="24"/>
        </w:rPr>
        <w:t>50</w:t>
      </w:r>
      <w:r w:rsidRPr="00AC3579">
        <w:rPr>
          <w:rFonts w:hint="eastAsia"/>
          <w:sz w:val="24"/>
        </w:rPr>
        <w:t>指数增强型证券投资基金、交银施罗德纯债债券型发起式证券投资基金、鹏华理财</w:t>
      </w:r>
      <w:r w:rsidRPr="00AC3579">
        <w:rPr>
          <w:rFonts w:hint="eastAsia"/>
          <w:sz w:val="24"/>
        </w:rPr>
        <w:t>21</w:t>
      </w:r>
      <w:r w:rsidRPr="00AC3579">
        <w:rPr>
          <w:rFonts w:hint="eastAsia"/>
          <w:sz w:val="24"/>
        </w:rPr>
        <w:t>天债券型证券投资基金、国泰民安增利债券型发起式证券投资基金、万家</w:t>
      </w:r>
      <w:r w:rsidRPr="00AC3579">
        <w:rPr>
          <w:rFonts w:hint="eastAsia"/>
          <w:sz w:val="24"/>
        </w:rPr>
        <w:t>14</w:t>
      </w:r>
      <w:r w:rsidRPr="00AC3579">
        <w:rPr>
          <w:rFonts w:hint="eastAsia"/>
          <w:sz w:val="24"/>
        </w:rPr>
        <w:t>天理财债券型证券投资基金、华安纯债</w:t>
      </w:r>
      <w:r w:rsidRPr="00AC3579">
        <w:rPr>
          <w:rFonts w:hint="eastAsia"/>
          <w:sz w:val="24"/>
        </w:rPr>
        <w:lastRenderedPageBreak/>
        <w:t>债券型发起式证券投资基金、金元惠理惠利保本混合型证券投资基金、南方中证</w:t>
      </w:r>
      <w:r w:rsidRPr="00AC3579">
        <w:rPr>
          <w:rFonts w:hint="eastAsia"/>
          <w:sz w:val="24"/>
        </w:rPr>
        <w:t>500</w:t>
      </w:r>
      <w:r w:rsidRPr="00AC3579">
        <w:rPr>
          <w:rFonts w:hint="eastAsia"/>
          <w:sz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AC3579">
        <w:rPr>
          <w:rFonts w:hint="eastAsia"/>
          <w:sz w:val="24"/>
        </w:rPr>
        <w:t>300</w:t>
      </w:r>
      <w:r w:rsidRPr="00AC3579">
        <w:rPr>
          <w:rFonts w:hint="eastAsia"/>
          <w:sz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AC3579">
        <w:rPr>
          <w:rFonts w:hint="eastAsia"/>
          <w:sz w:val="24"/>
        </w:rPr>
        <w:t>300</w:t>
      </w:r>
      <w:r w:rsidRPr="00AC3579">
        <w:rPr>
          <w:rFonts w:hint="eastAsia"/>
          <w:sz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w:t>
      </w:r>
      <w:r w:rsidRPr="00AC3579">
        <w:rPr>
          <w:rFonts w:hint="eastAsia"/>
          <w:sz w:val="24"/>
        </w:rPr>
        <w:lastRenderedPageBreak/>
        <w:t>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AC3579">
        <w:rPr>
          <w:rFonts w:hint="eastAsia"/>
          <w:sz w:val="24"/>
        </w:rPr>
        <w:t>300</w:t>
      </w:r>
      <w:r w:rsidRPr="00AC3579">
        <w:rPr>
          <w:rFonts w:hint="eastAsia"/>
          <w:sz w:val="24"/>
        </w:rPr>
        <w:t>指数型证券投资基金、前海开源沪深</w:t>
      </w:r>
      <w:r w:rsidRPr="00AC3579">
        <w:rPr>
          <w:rFonts w:hint="eastAsia"/>
          <w:sz w:val="24"/>
        </w:rPr>
        <w:t>300</w:t>
      </w:r>
      <w:r w:rsidRPr="00AC3579">
        <w:rPr>
          <w:rFonts w:hint="eastAsia"/>
          <w:sz w:val="24"/>
        </w:rPr>
        <w:t>指数型证券投资基金、天弘季加利理财债券型证券投资基金、新华鑫安保本一号混合型证券投资基金、诺安永鑫收益一年定期开放债券型证券投资基金、大成景益平稳收益混合型证券投资基金。</w:t>
      </w:r>
    </w:p>
    <w:p w:rsidR="00B67D8A" w:rsidRDefault="00B67D8A">
      <w:pPr>
        <w:spacing w:line="360" w:lineRule="auto"/>
        <w:ind w:firstLineChars="200" w:firstLine="482"/>
        <w:rPr>
          <w:b/>
          <w:sz w:val="24"/>
        </w:rPr>
      </w:pPr>
      <w:r>
        <w:rPr>
          <w:rFonts w:hAnsi="宋体"/>
          <w:b/>
          <w:sz w:val="24"/>
        </w:rPr>
        <w:t>（二）基金托管人的内部风险控制制度说明</w:t>
      </w:r>
    </w:p>
    <w:p w:rsidR="00B67D8A" w:rsidRDefault="00B67D8A">
      <w:pPr>
        <w:spacing w:line="360" w:lineRule="auto"/>
        <w:ind w:firstLineChars="200" w:firstLine="480"/>
        <w:rPr>
          <w:sz w:val="24"/>
        </w:rPr>
      </w:pPr>
      <w:r>
        <w:rPr>
          <w:sz w:val="24"/>
        </w:rPr>
        <w:t>1</w:t>
      </w:r>
      <w:r>
        <w:rPr>
          <w:rFonts w:hAnsi="宋体"/>
          <w:sz w:val="24"/>
        </w:rPr>
        <w:t>、内部控制目标</w:t>
      </w:r>
    </w:p>
    <w:p w:rsidR="00B67D8A" w:rsidRDefault="00B67D8A">
      <w:pPr>
        <w:spacing w:line="360" w:lineRule="auto"/>
        <w:ind w:firstLineChars="200" w:firstLine="480"/>
        <w:rPr>
          <w:sz w:val="24"/>
        </w:rPr>
      </w:pPr>
      <w:r>
        <w:rPr>
          <w:rFonts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67D8A" w:rsidRDefault="00B67D8A">
      <w:pPr>
        <w:spacing w:line="360" w:lineRule="auto"/>
        <w:ind w:firstLineChars="200" w:firstLine="480"/>
        <w:rPr>
          <w:sz w:val="24"/>
        </w:rPr>
      </w:pPr>
      <w:r>
        <w:rPr>
          <w:sz w:val="24"/>
        </w:rPr>
        <w:t>2</w:t>
      </w:r>
      <w:r>
        <w:rPr>
          <w:rFonts w:hAnsi="宋体"/>
          <w:sz w:val="24"/>
        </w:rPr>
        <w:t>、内部控制组织结构</w:t>
      </w:r>
    </w:p>
    <w:p w:rsidR="00B67D8A" w:rsidRDefault="00B67D8A">
      <w:pPr>
        <w:spacing w:line="360" w:lineRule="auto"/>
        <w:ind w:firstLineChars="200" w:firstLine="480"/>
        <w:rPr>
          <w:sz w:val="24"/>
        </w:rPr>
      </w:pPr>
      <w:r>
        <w:rPr>
          <w:rFonts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B67D8A" w:rsidRDefault="00B67D8A">
      <w:pPr>
        <w:spacing w:line="360" w:lineRule="auto"/>
        <w:ind w:firstLineChars="200" w:firstLine="480"/>
        <w:rPr>
          <w:sz w:val="24"/>
        </w:rPr>
      </w:pPr>
      <w:r>
        <w:rPr>
          <w:sz w:val="24"/>
        </w:rPr>
        <w:t>3</w:t>
      </w:r>
      <w:r>
        <w:rPr>
          <w:rFonts w:hAnsi="宋体"/>
          <w:sz w:val="24"/>
        </w:rPr>
        <w:t>、内部控制制度及措施</w:t>
      </w:r>
    </w:p>
    <w:p w:rsidR="00B67D8A" w:rsidRDefault="00B67D8A">
      <w:pPr>
        <w:spacing w:line="360" w:lineRule="auto"/>
        <w:ind w:firstLineChars="200" w:firstLine="480"/>
        <w:rPr>
          <w:sz w:val="24"/>
        </w:rPr>
      </w:pPr>
      <w:r>
        <w:rPr>
          <w:rFonts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hAnsi="宋体"/>
          <w:sz w:val="24"/>
        </w:rPr>
        <w:t>操作区</w:t>
      </w:r>
      <w:proofErr w:type="gramEnd"/>
      <w:r>
        <w:rPr>
          <w:rFonts w:hAnsi="宋体"/>
          <w:sz w:val="24"/>
        </w:rPr>
        <w:t>专门设置，封闭管理，实施音像监控；业务信息由专职信息披露人负责，防止泄密；业务实现自动化操作，防止人为事故的发生，技术系统完整、独立。</w:t>
      </w:r>
    </w:p>
    <w:p w:rsidR="00B67D8A" w:rsidRDefault="00B67D8A">
      <w:pPr>
        <w:spacing w:line="360" w:lineRule="auto"/>
        <w:ind w:firstLineChars="200" w:firstLine="482"/>
        <w:rPr>
          <w:b/>
          <w:sz w:val="24"/>
        </w:rPr>
      </w:pPr>
      <w:r>
        <w:rPr>
          <w:rFonts w:hAnsi="宋体"/>
          <w:b/>
          <w:sz w:val="24"/>
        </w:rPr>
        <w:t>（三）基金托管人对基金管理人运作基金进行监督的方法和程序</w:t>
      </w:r>
    </w:p>
    <w:p w:rsidR="00B67D8A" w:rsidRDefault="00B67D8A">
      <w:pPr>
        <w:spacing w:line="360" w:lineRule="auto"/>
        <w:ind w:firstLineChars="200" w:firstLine="480"/>
        <w:rPr>
          <w:sz w:val="24"/>
        </w:rPr>
      </w:pPr>
      <w:r>
        <w:rPr>
          <w:rFonts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w:t>
      </w:r>
      <w:r>
        <w:rPr>
          <w:rFonts w:hAnsi="宋体"/>
          <w:sz w:val="24"/>
        </w:rPr>
        <w:lastRenderedPageBreak/>
        <w:t>为。</w:t>
      </w:r>
    </w:p>
    <w:p w:rsidR="00B67D8A" w:rsidRDefault="00B67D8A">
      <w:pPr>
        <w:spacing w:line="360" w:lineRule="auto"/>
        <w:ind w:firstLineChars="200" w:firstLine="480"/>
        <w:rPr>
          <w:sz w:val="24"/>
        </w:rPr>
      </w:pPr>
      <w:r>
        <w:rPr>
          <w:rFonts w:hAnsi="宋体"/>
          <w:sz w:val="24"/>
        </w:rPr>
        <w:t>当基金出现异常交易行为时，基金托管人应当针对不同情况进行以下方式的处理：</w:t>
      </w:r>
    </w:p>
    <w:p w:rsidR="00B67D8A" w:rsidRDefault="00B67D8A">
      <w:pPr>
        <w:spacing w:line="360" w:lineRule="auto"/>
        <w:ind w:firstLineChars="200" w:firstLine="480"/>
        <w:rPr>
          <w:sz w:val="24"/>
        </w:rPr>
      </w:pPr>
      <w:r>
        <w:rPr>
          <w:sz w:val="24"/>
        </w:rPr>
        <w:t>1</w:t>
      </w:r>
      <w:r>
        <w:rPr>
          <w:rFonts w:hAnsi="宋体"/>
          <w:sz w:val="24"/>
        </w:rPr>
        <w:t>、电话提示。对媒体和舆论反映集中的问题，电话提示基金管理人；</w:t>
      </w:r>
    </w:p>
    <w:p w:rsidR="00B67D8A" w:rsidRDefault="00B67D8A">
      <w:pPr>
        <w:spacing w:line="360" w:lineRule="auto"/>
        <w:ind w:firstLineChars="200" w:firstLine="480"/>
        <w:rPr>
          <w:sz w:val="24"/>
        </w:rPr>
      </w:pPr>
      <w:r>
        <w:rPr>
          <w:sz w:val="24"/>
        </w:rPr>
        <w:t>2</w:t>
      </w:r>
      <w:r>
        <w:rPr>
          <w:rFonts w:hAnsi="宋体"/>
          <w:sz w:val="24"/>
        </w:rPr>
        <w:t>、书面警示。对本基金投资比例接近超标、资金头寸不足等问题，以书面方式对基金管理人进行提示；</w:t>
      </w:r>
    </w:p>
    <w:p w:rsidR="00B67D8A" w:rsidRDefault="00B67D8A">
      <w:pPr>
        <w:spacing w:line="360" w:lineRule="auto"/>
        <w:ind w:firstLineChars="200" w:firstLine="480"/>
        <w:rPr>
          <w:rFonts w:ascii="宋体" w:hAnsi="宋体"/>
          <w:sz w:val="24"/>
        </w:rPr>
      </w:pPr>
      <w:r>
        <w:rPr>
          <w:sz w:val="24"/>
        </w:rPr>
        <w:t>3</w:t>
      </w:r>
      <w:r>
        <w:rPr>
          <w:rFonts w:hAnsi="宋体"/>
          <w:sz w:val="24"/>
        </w:rPr>
        <w:t>、书面报告。对投资比例超标、清算资金透支以及其他涉嫌违规交易等行为，书面提示有关基金管理人并报中国证监会。</w:t>
      </w:r>
    </w:p>
    <w:bookmarkEnd w:id="10"/>
    <w:p w:rsidR="00B67D8A" w:rsidRDefault="00B67D8A">
      <w:pPr>
        <w:adjustRightInd w:val="0"/>
        <w:snapToGrid w:val="0"/>
        <w:spacing w:line="360" w:lineRule="auto"/>
        <w:ind w:firstLineChars="200" w:firstLine="480"/>
        <w:rPr>
          <w:sz w:val="24"/>
        </w:rPr>
      </w:pPr>
    </w:p>
    <w:p w:rsidR="00B67D8A" w:rsidRDefault="00B67D8A" w:rsidP="006D1B02">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1" w:name="_Toc109537383"/>
      <w:bookmarkStart w:id="12" w:name="_Toc382321316"/>
      <w:r>
        <w:rPr>
          <w:rFonts w:ascii="宋体" w:hAnsi="宋体" w:hint="eastAsia"/>
          <w:b/>
          <w:kern w:val="0"/>
          <w:sz w:val="30"/>
        </w:rPr>
        <w:t>五、相关服务机构</w:t>
      </w:r>
      <w:bookmarkEnd w:id="11"/>
      <w:bookmarkEnd w:id="12"/>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rsidR="00B67D8A" w:rsidRDefault="00B67D8A">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rsidR="00B67D8A" w:rsidRDefault="00B67D8A">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rsidR="00B67D8A" w:rsidRDefault="00B67D8A">
      <w:pPr>
        <w:adjustRightInd w:val="0"/>
        <w:snapToGrid w:val="0"/>
        <w:spacing w:line="360" w:lineRule="auto"/>
        <w:rPr>
          <w:sz w:val="24"/>
          <w:szCs w:val="24"/>
        </w:rPr>
      </w:pPr>
      <w:r>
        <w:rPr>
          <w:sz w:val="24"/>
          <w:szCs w:val="24"/>
        </w:rPr>
        <w:t xml:space="preserve">    </w:t>
      </w:r>
      <w:r>
        <w:rPr>
          <w:rFonts w:hAnsi="宋体"/>
          <w:sz w:val="24"/>
          <w:szCs w:val="24"/>
        </w:rPr>
        <w:t>住所：上海市浦东</w:t>
      </w:r>
      <w:proofErr w:type="gramStart"/>
      <w:r>
        <w:rPr>
          <w:rFonts w:hAnsi="宋体"/>
          <w:sz w:val="24"/>
          <w:szCs w:val="24"/>
        </w:rPr>
        <w:t>新区银</w:t>
      </w:r>
      <w:proofErr w:type="gramEnd"/>
      <w:r>
        <w:rPr>
          <w:rFonts w:hAnsi="宋体"/>
          <w:sz w:val="24"/>
          <w:szCs w:val="24"/>
        </w:rPr>
        <w:t>城中路</w:t>
      </w:r>
      <w:r>
        <w:rPr>
          <w:sz w:val="24"/>
          <w:szCs w:val="24"/>
        </w:rPr>
        <w:t>188</w:t>
      </w:r>
      <w:r>
        <w:rPr>
          <w:rFonts w:hAnsi="宋体"/>
          <w:sz w:val="24"/>
          <w:szCs w:val="24"/>
        </w:rPr>
        <w:t>号交通银行大楼二层（裙）</w:t>
      </w:r>
    </w:p>
    <w:p w:rsidR="00B67D8A" w:rsidRDefault="00B67D8A">
      <w:pPr>
        <w:adjustRightInd w:val="0"/>
        <w:snapToGrid w:val="0"/>
        <w:spacing w:line="360" w:lineRule="auto"/>
        <w:ind w:firstLineChars="200" w:firstLine="480"/>
        <w:rPr>
          <w:sz w:val="24"/>
          <w:szCs w:val="24"/>
        </w:rPr>
      </w:pPr>
      <w:r>
        <w:rPr>
          <w:rFonts w:hAnsi="宋体"/>
          <w:sz w:val="24"/>
          <w:szCs w:val="24"/>
        </w:rPr>
        <w:t>办公地址：</w:t>
      </w:r>
      <w:r w:rsidR="00E45E63" w:rsidRPr="00E45E63">
        <w:rPr>
          <w:rFonts w:hAnsi="宋体" w:hint="eastAsia"/>
          <w:sz w:val="24"/>
          <w:szCs w:val="24"/>
        </w:rPr>
        <w:t>上海浦东</w:t>
      </w:r>
      <w:proofErr w:type="gramStart"/>
      <w:r w:rsidR="00E45E63" w:rsidRPr="00E45E63">
        <w:rPr>
          <w:rFonts w:hAnsi="宋体" w:hint="eastAsia"/>
          <w:sz w:val="24"/>
          <w:szCs w:val="24"/>
        </w:rPr>
        <w:t>新区世纪</w:t>
      </w:r>
      <w:proofErr w:type="gramEnd"/>
      <w:r w:rsidR="00E45E63" w:rsidRPr="00E45E63">
        <w:rPr>
          <w:rFonts w:hAnsi="宋体" w:hint="eastAsia"/>
          <w:sz w:val="24"/>
          <w:szCs w:val="24"/>
        </w:rPr>
        <w:t>大道</w:t>
      </w:r>
      <w:r w:rsidR="00E45E63" w:rsidRPr="00E45E63">
        <w:rPr>
          <w:rFonts w:hAnsi="宋体" w:hint="eastAsia"/>
          <w:sz w:val="24"/>
          <w:szCs w:val="24"/>
        </w:rPr>
        <w:t>8</w:t>
      </w:r>
      <w:r w:rsidR="00E45E63" w:rsidRPr="00E45E63">
        <w:rPr>
          <w:rFonts w:hAnsi="宋体" w:hint="eastAsia"/>
          <w:sz w:val="24"/>
          <w:szCs w:val="24"/>
        </w:rPr>
        <w:t>号国</w:t>
      </w:r>
      <w:proofErr w:type="gramStart"/>
      <w:r w:rsidR="00E45E63" w:rsidRPr="00E45E63">
        <w:rPr>
          <w:rFonts w:hAnsi="宋体" w:hint="eastAsia"/>
          <w:sz w:val="24"/>
          <w:szCs w:val="24"/>
        </w:rPr>
        <w:t>金中心</w:t>
      </w:r>
      <w:proofErr w:type="gramEnd"/>
      <w:r w:rsidR="00E45E63" w:rsidRPr="00E45E63">
        <w:rPr>
          <w:rFonts w:hAnsi="宋体" w:hint="eastAsia"/>
          <w:sz w:val="24"/>
          <w:szCs w:val="24"/>
        </w:rPr>
        <w:t>二期</w:t>
      </w:r>
      <w:r w:rsidR="00E45E63" w:rsidRPr="00E45E63">
        <w:rPr>
          <w:rFonts w:hAnsi="宋体" w:hint="eastAsia"/>
          <w:sz w:val="24"/>
          <w:szCs w:val="24"/>
        </w:rPr>
        <w:t>21-22</w:t>
      </w:r>
      <w:r w:rsidR="00E45E63" w:rsidRPr="00E45E63">
        <w:rPr>
          <w:rFonts w:hAnsi="宋体" w:hint="eastAsia"/>
          <w:sz w:val="24"/>
          <w:szCs w:val="24"/>
        </w:rPr>
        <w:t>楼</w:t>
      </w:r>
    </w:p>
    <w:p w:rsidR="00B67D8A" w:rsidRDefault="00B67D8A">
      <w:pPr>
        <w:adjustRightInd w:val="0"/>
        <w:snapToGrid w:val="0"/>
        <w:spacing w:line="360" w:lineRule="auto"/>
        <w:ind w:firstLineChars="200" w:firstLine="480"/>
        <w:rPr>
          <w:sz w:val="24"/>
          <w:szCs w:val="24"/>
        </w:rPr>
      </w:pPr>
      <w:r>
        <w:rPr>
          <w:rFonts w:hAnsi="宋体"/>
          <w:sz w:val="24"/>
          <w:szCs w:val="24"/>
        </w:rPr>
        <w:t>法定代表人：</w:t>
      </w:r>
      <w:bookmarkStart w:id="13" w:name="OLE_LINK17"/>
      <w:bookmarkStart w:id="14" w:name="OLE_LINK18"/>
      <w:r>
        <w:rPr>
          <w:rFonts w:hAnsi="宋体"/>
          <w:sz w:val="24"/>
          <w:szCs w:val="24"/>
        </w:rPr>
        <w:t>钱文挥</w:t>
      </w:r>
      <w:bookmarkEnd w:id="13"/>
      <w:bookmarkEnd w:id="14"/>
    </w:p>
    <w:p w:rsidR="00B67D8A" w:rsidRDefault="00B67D8A">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电话：（</w:t>
      </w:r>
      <w:r>
        <w:rPr>
          <w:sz w:val="24"/>
          <w:szCs w:val="24"/>
        </w:rPr>
        <w:t>021</w:t>
      </w:r>
      <w:r>
        <w:rPr>
          <w:rFonts w:hAnsi="宋体"/>
          <w:sz w:val="24"/>
          <w:szCs w:val="24"/>
        </w:rPr>
        <w:t>）</w:t>
      </w:r>
      <w:r>
        <w:rPr>
          <w:sz w:val="24"/>
          <w:szCs w:val="24"/>
        </w:rPr>
        <w:t>61055027</w:t>
      </w:r>
    </w:p>
    <w:p w:rsidR="00B67D8A" w:rsidRDefault="00B67D8A">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rsidR="00B67D8A" w:rsidRDefault="00B67D8A">
      <w:pPr>
        <w:adjustRightInd w:val="0"/>
        <w:snapToGrid w:val="0"/>
        <w:spacing w:line="360" w:lineRule="auto"/>
        <w:ind w:firstLineChars="200" w:firstLine="480"/>
        <w:rPr>
          <w:sz w:val="24"/>
          <w:szCs w:val="24"/>
        </w:rPr>
      </w:pPr>
      <w:r>
        <w:rPr>
          <w:rFonts w:hAnsi="宋体"/>
          <w:sz w:val="24"/>
          <w:szCs w:val="24"/>
        </w:rPr>
        <w:t>联系人：许野</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B67D8A" w:rsidRDefault="00B67D8A">
      <w:pPr>
        <w:adjustRightInd w:val="0"/>
        <w:snapToGrid w:val="0"/>
        <w:spacing w:line="360" w:lineRule="auto"/>
        <w:ind w:firstLineChars="200" w:firstLine="480"/>
        <w:rPr>
          <w:rStyle w:val="a7"/>
          <w:color w:val="auto"/>
          <w:sz w:val="24"/>
          <w:szCs w:val="24"/>
          <w:u w:val="none"/>
        </w:rPr>
      </w:pPr>
      <w:r>
        <w:rPr>
          <w:rFonts w:hAnsi="宋体"/>
          <w:sz w:val="24"/>
          <w:szCs w:val="24"/>
        </w:rPr>
        <w:t>网址：</w:t>
      </w:r>
      <w:r>
        <w:rPr>
          <w:rStyle w:val="a7"/>
          <w:color w:val="auto"/>
          <w:sz w:val="24"/>
          <w:szCs w:val="24"/>
          <w:u w:val="none"/>
        </w:rPr>
        <w:t>www.fund</w:t>
      </w:r>
      <w:r>
        <w:rPr>
          <w:rStyle w:val="a7"/>
          <w:rFonts w:hint="eastAsia"/>
          <w:color w:val="auto"/>
          <w:sz w:val="24"/>
          <w:szCs w:val="24"/>
          <w:u w:val="none"/>
        </w:rPr>
        <w:t>001</w:t>
      </w:r>
      <w:r>
        <w:rPr>
          <w:rStyle w:val="a7"/>
          <w:color w:val="auto"/>
          <w:sz w:val="24"/>
          <w:szCs w:val="24"/>
          <w:u w:val="none"/>
        </w:rPr>
        <w:t>.com</w:t>
      </w:r>
      <w:r>
        <w:rPr>
          <w:rStyle w:val="a7"/>
          <w:rFonts w:hAnsi="宋体"/>
          <w:color w:val="auto"/>
          <w:sz w:val="24"/>
          <w:szCs w:val="24"/>
          <w:u w:val="none"/>
        </w:rPr>
        <w:t>，</w:t>
      </w:r>
      <w:r>
        <w:rPr>
          <w:rStyle w:val="a7"/>
          <w:color w:val="auto"/>
          <w:sz w:val="24"/>
          <w:szCs w:val="24"/>
          <w:u w:val="none"/>
        </w:rPr>
        <w:t>www.bocomschroder.com</w:t>
      </w:r>
    </w:p>
    <w:p w:rsidR="00B67D8A" w:rsidRDefault="00B67D8A">
      <w:pPr>
        <w:widowControl/>
        <w:adjustRightInd w:val="0"/>
        <w:snapToGrid w:val="0"/>
        <w:spacing w:line="360" w:lineRule="auto"/>
        <w:ind w:firstLineChars="200" w:firstLine="480"/>
        <w:rPr>
          <w:rStyle w:val="a7"/>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7"/>
          <w:rFonts w:hAnsi="宋体"/>
          <w:color w:val="auto"/>
          <w:sz w:val="24"/>
          <w:szCs w:val="24"/>
          <w:u w:val="none"/>
        </w:rPr>
        <w:t>，</w:t>
      </w:r>
      <w:hyperlink r:id="rId9" w:history="1">
        <w:r>
          <w:rPr>
            <w:rStyle w:val="a7"/>
            <w:color w:val="auto"/>
            <w:sz w:val="24"/>
            <w:szCs w:val="24"/>
            <w:u w:val="none"/>
          </w:rPr>
          <w:t>www.bocomschroder.com</w:t>
        </w:r>
      </w:hyperlink>
      <w:r>
        <w:rPr>
          <w:rStyle w:val="a7"/>
          <w:rFonts w:hAnsi="宋体"/>
          <w:color w:val="auto"/>
          <w:sz w:val="24"/>
          <w:szCs w:val="24"/>
          <w:u w:val="none"/>
        </w:rPr>
        <w:t>。</w:t>
      </w:r>
    </w:p>
    <w:p w:rsidR="00B67D8A" w:rsidRDefault="00B67D8A">
      <w:pPr>
        <w:adjustRightInd w:val="0"/>
        <w:snapToGrid w:val="0"/>
        <w:spacing w:line="360" w:lineRule="auto"/>
        <w:ind w:firstLineChars="200" w:firstLine="480"/>
        <w:rPr>
          <w:sz w:val="24"/>
        </w:rPr>
      </w:pPr>
      <w:r>
        <w:rPr>
          <w:sz w:val="24"/>
        </w:rPr>
        <w:t>2</w:t>
      </w:r>
      <w:r>
        <w:rPr>
          <w:rFonts w:hAnsi="宋体"/>
          <w:sz w:val="24"/>
        </w:rPr>
        <w:t>、代销机构</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w:t>
      </w:r>
      <w:r>
        <w:rPr>
          <w:rFonts w:hint="eastAsia"/>
          <w:sz w:val="24"/>
          <w:szCs w:val="24"/>
        </w:rPr>
        <w:t>1</w:t>
      </w:r>
      <w:r w:rsidRPr="00860A19">
        <w:rPr>
          <w:rFonts w:hint="eastAsia"/>
          <w:sz w:val="24"/>
          <w:szCs w:val="24"/>
        </w:rPr>
        <w:t>）</w:t>
      </w:r>
      <w:r w:rsidRPr="00860A19">
        <w:rPr>
          <w:rFonts w:hint="eastAsia"/>
          <w:sz w:val="24"/>
          <w:szCs w:val="24"/>
        </w:rPr>
        <w:t xml:space="preserve"> </w:t>
      </w:r>
      <w:r w:rsidRPr="00860A19">
        <w:rPr>
          <w:rFonts w:hint="eastAsia"/>
          <w:sz w:val="24"/>
          <w:szCs w:val="24"/>
        </w:rPr>
        <w:t>中国农业银行股份有限公司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住所：北京市东城区建国门内大街</w:t>
      </w:r>
      <w:r w:rsidRPr="00860A19">
        <w:rPr>
          <w:rFonts w:hint="eastAsia"/>
          <w:sz w:val="24"/>
          <w:szCs w:val="24"/>
        </w:rPr>
        <w:t>69</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办公地址：北京市东城区建国门内大街</w:t>
      </w:r>
      <w:r w:rsidRPr="00860A19">
        <w:rPr>
          <w:rFonts w:hint="eastAsia"/>
          <w:sz w:val="24"/>
          <w:szCs w:val="24"/>
        </w:rPr>
        <w:t>69</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法定代表人：蒋超良</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85109219</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95599</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www.abchina.com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w:t>
      </w:r>
      <w:r w:rsidRPr="00860A19">
        <w:rPr>
          <w:rFonts w:hint="eastAsia"/>
          <w:sz w:val="24"/>
          <w:szCs w:val="24"/>
        </w:rPr>
        <w:t>）</w:t>
      </w:r>
      <w:r w:rsidRPr="00860A19">
        <w:rPr>
          <w:rFonts w:hint="eastAsia"/>
          <w:sz w:val="24"/>
          <w:szCs w:val="24"/>
        </w:rPr>
        <w:t xml:space="preserve"> </w:t>
      </w:r>
      <w:r w:rsidRPr="00860A19">
        <w:rPr>
          <w:rFonts w:hint="eastAsia"/>
          <w:sz w:val="24"/>
          <w:szCs w:val="24"/>
        </w:rPr>
        <w:t>交通银行股份有限公司</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住所：上海市浦东</w:t>
      </w:r>
      <w:proofErr w:type="gramStart"/>
      <w:r w:rsidRPr="00860A19">
        <w:rPr>
          <w:rFonts w:hint="eastAsia"/>
          <w:sz w:val="24"/>
          <w:szCs w:val="24"/>
        </w:rPr>
        <w:t>新区银</w:t>
      </w:r>
      <w:proofErr w:type="gramEnd"/>
      <w:r w:rsidRPr="00860A19">
        <w:rPr>
          <w:rFonts w:hint="eastAsia"/>
          <w:sz w:val="24"/>
          <w:szCs w:val="24"/>
        </w:rPr>
        <w:t>城中路</w:t>
      </w:r>
      <w:r w:rsidRPr="00860A19">
        <w:rPr>
          <w:rFonts w:hint="eastAsia"/>
          <w:sz w:val="24"/>
          <w:szCs w:val="24"/>
        </w:rPr>
        <w:t>188</w:t>
      </w:r>
      <w:r w:rsidRPr="00860A19">
        <w:rPr>
          <w:rFonts w:hint="eastAsia"/>
          <w:sz w:val="24"/>
          <w:szCs w:val="24"/>
        </w:rPr>
        <w:t>号</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办公地址：上海市浦东</w:t>
      </w:r>
      <w:proofErr w:type="gramStart"/>
      <w:r w:rsidRPr="00860A19">
        <w:rPr>
          <w:rFonts w:hint="eastAsia"/>
          <w:sz w:val="24"/>
          <w:szCs w:val="24"/>
        </w:rPr>
        <w:t>新区银</w:t>
      </w:r>
      <w:proofErr w:type="gramEnd"/>
      <w:r w:rsidRPr="00860A19">
        <w:rPr>
          <w:rFonts w:hint="eastAsia"/>
          <w:sz w:val="24"/>
          <w:szCs w:val="24"/>
        </w:rPr>
        <w:t>城中路</w:t>
      </w:r>
      <w:r w:rsidRPr="00860A19">
        <w:rPr>
          <w:rFonts w:hint="eastAsia"/>
          <w:sz w:val="24"/>
          <w:szCs w:val="24"/>
        </w:rPr>
        <w:t>188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w:t>
      </w:r>
      <w:proofErr w:type="gramStart"/>
      <w:r w:rsidRPr="00860A19">
        <w:rPr>
          <w:rFonts w:hint="eastAsia"/>
          <w:sz w:val="24"/>
          <w:szCs w:val="24"/>
        </w:rPr>
        <w:t>牛锡明</w:t>
      </w:r>
      <w:proofErr w:type="gramEnd"/>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 xml:space="preserve">58781234 </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 xml:space="preserve">58408483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联系人：曹榕</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95559</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www.bankcomm.com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3</w:t>
      </w:r>
      <w:r w:rsidRPr="00860A19">
        <w:rPr>
          <w:rFonts w:hint="eastAsia"/>
          <w:sz w:val="24"/>
          <w:szCs w:val="24"/>
        </w:rPr>
        <w:t>）</w:t>
      </w:r>
      <w:r w:rsidRPr="00860A19">
        <w:rPr>
          <w:rFonts w:hint="eastAsia"/>
          <w:sz w:val="24"/>
          <w:szCs w:val="24"/>
        </w:rPr>
        <w:t xml:space="preserve"> </w:t>
      </w:r>
      <w:r w:rsidRPr="00860A19">
        <w:rPr>
          <w:rFonts w:hint="eastAsia"/>
          <w:sz w:val="24"/>
          <w:szCs w:val="24"/>
        </w:rPr>
        <w:t>招商银行股份有限公司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住所：深圳市福田区深南大道</w:t>
      </w:r>
      <w:r w:rsidRPr="00860A19">
        <w:rPr>
          <w:rFonts w:hint="eastAsia"/>
          <w:sz w:val="24"/>
          <w:szCs w:val="24"/>
        </w:rPr>
        <w:t>7088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办公地址：深圳市福田区深南大道</w:t>
      </w:r>
      <w:r w:rsidRPr="00860A19">
        <w:rPr>
          <w:rFonts w:hint="eastAsia"/>
          <w:sz w:val="24"/>
          <w:szCs w:val="24"/>
        </w:rPr>
        <w:t>7088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法定代表人：李建红</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83198888</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83195109</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联系人：邓炯鹏</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95555</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www.cmbchina.com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4</w:t>
      </w:r>
      <w:r w:rsidRPr="00860A19">
        <w:rPr>
          <w:rFonts w:hint="eastAsia"/>
          <w:sz w:val="24"/>
          <w:szCs w:val="24"/>
        </w:rPr>
        <w:t>）</w:t>
      </w:r>
      <w:r w:rsidRPr="00860A19">
        <w:rPr>
          <w:rFonts w:hint="eastAsia"/>
          <w:sz w:val="24"/>
          <w:szCs w:val="24"/>
        </w:rPr>
        <w:t xml:space="preserve"> </w:t>
      </w:r>
      <w:r w:rsidRPr="00860A19">
        <w:rPr>
          <w:rFonts w:hint="eastAsia"/>
          <w:sz w:val="24"/>
          <w:szCs w:val="24"/>
        </w:rPr>
        <w:t>中信银行股份有限公司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住所：北京市东城区朝阳门北大街</w:t>
      </w:r>
      <w:r w:rsidRPr="00860A19">
        <w:rPr>
          <w:rFonts w:hint="eastAsia"/>
          <w:sz w:val="24"/>
          <w:szCs w:val="24"/>
        </w:rPr>
        <w:t>8</w:t>
      </w:r>
      <w:r w:rsidRPr="00860A19">
        <w:rPr>
          <w:rFonts w:hint="eastAsia"/>
          <w:sz w:val="24"/>
          <w:szCs w:val="24"/>
        </w:rPr>
        <w:t>号富华大厦</w:t>
      </w:r>
      <w:r w:rsidRPr="00860A19">
        <w:rPr>
          <w:rFonts w:hint="eastAsia"/>
          <w:sz w:val="24"/>
          <w:szCs w:val="24"/>
        </w:rPr>
        <w:t>C</w:t>
      </w:r>
      <w:r w:rsidRPr="00860A19">
        <w:rPr>
          <w:rFonts w:hint="eastAsia"/>
          <w:sz w:val="24"/>
          <w:szCs w:val="24"/>
        </w:rPr>
        <w:t>座</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办公地址：北京市东城区朝阳门北大街</w:t>
      </w:r>
      <w:r w:rsidRPr="00860A19">
        <w:rPr>
          <w:rFonts w:hint="eastAsia"/>
          <w:sz w:val="24"/>
          <w:szCs w:val="24"/>
        </w:rPr>
        <w:t>8</w:t>
      </w:r>
      <w:r w:rsidRPr="00860A19">
        <w:rPr>
          <w:rFonts w:hint="eastAsia"/>
          <w:sz w:val="24"/>
          <w:szCs w:val="24"/>
        </w:rPr>
        <w:t>号富华大厦</w:t>
      </w:r>
      <w:r w:rsidRPr="00860A19">
        <w:rPr>
          <w:rFonts w:hint="eastAsia"/>
          <w:sz w:val="24"/>
          <w:szCs w:val="24"/>
        </w:rPr>
        <w:t>C</w:t>
      </w:r>
      <w:r w:rsidRPr="00860A19">
        <w:rPr>
          <w:rFonts w:hint="eastAsia"/>
          <w:sz w:val="24"/>
          <w:szCs w:val="24"/>
        </w:rPr>
        <w:t>座</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法定代表人：常振明</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65557083</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 xml:space="preserve">65550827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联系人：丰靖</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bank.ecitic.com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5</w:t>
      </w:r>
      <w:r w:rsidRPr="00860A19">
        <w:rPr>
          <w:rFonts w:hint="eastAsia"/>
          <w:sz w:val="24"/>
          <w:szCs w:val="24"/>
        </w:rPr>
        <w:t>）江苏常熟农村商业银行股份有限公司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住所：江苏省常熟市新世纪大道</w:t>
      </w:r>
      <w:r w:rsidRPr="00860A19">
        <w:rPr>
          <w:rFonts w:hint="eastAsia"/>
          <w:sz w:val="24"/>
          <w:szCs w:val="24"/>
        </w:rPr>
        <w:t>58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办公地址：江苏省常熟市新世纪大道</w:t>
      </w:r>
      <w:r w:rsidRPr="00860A19">
        <w:rPr>
          <w:rFonts w:hint="eastAsia"/>
          <w:sz w:val="24"/>
          <w:szCs w:val="24"/>
        </w:rPr>
        <w:t>58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法定代表人：宋建明</w:t>
      </w:r>
    </w:p>
    <w:p w:rsidR="002B182D" w:rsidRPr="00860A19" w:rsidRDefault="002B182D" w:rsidP="002B182D">
      <w:pPr>
        <w:spacing w:line="360" w:lineRule="auto"/>
        <w:ind w:firstLineChars="200" w:firstLine="480"/>
        <w:rPr>
          <w:sz w:val="24"/>
          <w:szCs w:val="24"/>
        </w:rPr>
      </w:pPr>
      <w:r w:rsidRPr="00860A19">
        <w:rPr>
          <w:rFonts w:hint="eastAsia"/>
          <w:sz w:val="24"/>
          <w:szCs w:val="24"/>
        </w:rPr>
        <w:t>联系电话：（</w:t>
      </w:r>
      <w:r w:rsidRPr="00860A19">
        <w:rPr>
          <w:rFonts w:hint="eastAsia"/>
          <w:sz w:val="24"/>
          <w:szCs w:val="24"/>
        </w:rPr>
        <w:t>0512</w:t>
      </w:r>
      <w:r w:rsidRPr="00860A19">
        <w:rPr>
          <w:rFonts w:hint="eastAsia"/>
          <w:sz w:val="24"/>
          <w:szCs w:val="24"/>
        </w:rPr>
        <w:t>）</w:t>
      </w:r>
      <w:r w:rsidRPr="00860A19">
        <w:rPr>
          <w:rFonts w:hint="eastAsia"/>
          <w:sz w:val="24"/>
          <w:szCs w:val="24"/>
        </w:rPr>
        <w:t>52909128</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0512</w:t>
      </w:r>
      <w:r w:rsidRPr="00860A19">
        <w:rPr>
          <w:rFonts w:hint="eastAsia"/>
          <w:sz w:val="24"/>
          <w:szCs w:val="24"/>
        </w:rPr>
        <w:t>）</w:t>
      </w:r>
      <w:r w:rsidRPr="00860A19">
        <w:rPr>
          <w:rFonts w:hint="eastAsia"/>
          <w:sz w:val="24"/>
          <w:szCs w:val="24"/>
        </w:rPr>
        <w:t>52909122</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联系人：黄晓</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962000</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www.csrcbank.com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6</w:t>
      </w:r>
      <w:r w:rsidRPr="00860A19">
        <w:rPr>
          <w:rFonts w:hint="eastAsia"/>
          <w:sz w:val="24"/>
          <w:szCs w:val="24"/>
        </w:rPr>
        <w:t>）</w:t>
      </w:r>
      <w:r w:rsidRPr="00860A19">
        <w:rPr>
          <w:rFonts w:hint="eastAsia"/>
          <w:sz w:val="24"/>
          <w:szCs w:val="24"/>
        </w:rPr>
        <w:t xml:space="preserve"> </w:t>
      </w:r>
      <w:r w:rsidRPr="00860A19">
        <w:rPr>
          <w:rFonts w:hint="eastAsia"/>
          <w:sz w:val="24"/>
          <w:szCs w:val="24"/>
        </w:rPr>
        <w:t>光大证券股份有限公司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住所：上海市静安区新闸路</w:t>
      </w:r>
      <w:r w:rsidRPr="00860A19">
        <w:rPr>
          <w:rFonts w:hint="eastAsia"/>
          <w:sz w:val="24"/>
          <w:szCs w:val="24"/>
        </w:rPr>
        <w:t>1508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办公地址：上海市静安区新闸路</w:t>
      </w:r>
      <w:r w:rsidRPr="00860A19">
        <w:rPr>
          <w:rFonts w:hint="eastAsia"/>
          <w:sz w:val="24"/>
          <w:szCs w:val="24"/>
        </w:rPr>
        <w:t>1508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法定代表人：薛峰</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22169999</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22169134</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联系人：刘晨</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 10108998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www.ebscn.com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7</w:t>
      </w:r>
      <w:r w:rsidRPr="00860A19">
        <w:rPr>
          <w:rFonts w:hint="eastAsia"/>
          <w:sz w:val="24"/>
          <w:szCs w:val="24"/>
        </w:rPr>
        <w:t>）</w:t>
      </w:r>
      <w:r w:rsidRPr="00860A19">
        <w:rPr>
          <w:rFonts w:hint="eastAsia"/>
          <w:sz w:val="24"/>
          <w:szCs w:val="24"/>
        </w:rPr>
        <w:t xml:space="preserve"> </w:t>
      </w:r>
      <w:r w:rsidRPr="00860A19">
        <w:rPr>
          <w:rFonts w:hint="eastAsia"/>
          <w:sz w:val="24"/>
          <w:szCs w:val="24"/>
        </w:rPr>
        <w:t>中</w:t>
      </w:r>
      <w:proofErr w:type="gramStart"/>
      <w:r w:rsidRPr="00860A19">
        <w:rPr>
          <w:rFonts w:hint="eastAsia"/>
          <w:sz w:val="24"/>
          <w:szCs w:val="24"/>
        </w:rPr>
        <w:t>信建投证券</w:t>
      </w:r>
      <w:proofErr w:type="gramEnd"/>
      <w:r w:rsidRPr="00860A19">
        <w:rPr>
          <w:rFonts w:hint="eastAsia"/>
          <w:sz w:val="24"/>
          <w:szCs w:val="24"/>
        </w:rPr>
        <w:t>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住所：北京市朝阳区安立路</w:t>
      </w:r>
      <w:r w:rsidRPr="00860A19">
        <w:rPr>
          <w:rFonts w:hint="eastAsia"/>
          <w:sz w:val="24"/>
          <w:szCs w:val="24"/>
        </w:rPr>
        <w:t>66</w:t>
      </w:r>
      <w:r w:rsidRPr="00860A19">
        <w:rPr>
          <w:rFonts w:hint="eastAsia"/>
          <w:sz w:val="24"/>
          <w:szCs w:val="24"/>
        </w:rPr>
        <w:t>号</w:t>
      </w:r>
      <w:r w:rsidRPr="00860A19">
        <w:rPr>
          <w:rFonts w:hint="eastAsia"/>
          <w:sz w:val="24"/>
          <w:szCs w:val="24"/>
        </w:rPr>
        <w:t>4</w:t>
      </w:r>
      <w:r w:rsidRPr="00860A19">
        <w:rPr>
          <w:rFonts w:hint="eastAsia"/>
          <w:sz w:val="24"/>
          <w:szCs w:val="24"/>
        </w:rPr>
        <w:t>号楼</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办公地址：北京市朝阳门内大街</w:t>
      </w:r>
      <w:r w:rsidRPr="00860A19">
        <w:rPr>
          <w:rFonts w:hint="eastAsia"/>
          <w:sz w:val="24"/>
          <w:szCs w:val="24"/>
        </w:rPr>
        <w:t>188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法定代表人：张佑君</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电话：（</w:t>
      </w:r>
      <w:r w:rsidRPr="00860A19">
        <w:rPr>
          <w:rFonts w:hint="eastAsia"/>
          <w:sz w:val="24"/>
          <w:szCs w:val="24"/>
        </w:rPr>
        <w:t>010</w:t>
      </w:r>
      <w:r w:rsidRPr="00860A19">
        <w:rPr>
          <w:rFonts w:hint="eastAsia"/>
          <w:sz w:val="24"/>
          <w:szCs w:val="24"/>
        </w:rPr>
        <w:t>）</w:t>
      </w:r>
      <w:r w:rsidRPr="00860A19">
        <w:rPr>
          <w:rFonts w:hint="eastAsia"/>
          <w:sz w:val="24"/>
          <w:szCs w:val="24"/>
        </w:rPr>
        <w:t xml:space="preserve">85130588 </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 xml:space="preserve">65182261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联系人：魏明</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4008-888-108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www.csc108.com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8</w:t>
      </w:r>
      <w:r w:rsidRPr="00860A19">
        <w:rPr>
          <w:rFonts w:hint="eastAsia"/>
          <w:sz w:val="24"/>
          <w:szCs w:val="24"/>
        </w:rPr>
        <w:t>）</w:t>
      </w:r>
      <w:r w:rsidRPr="00860A19">
        <w:rPr>
          <w:rFonts w:hint="eastAsia"/>
          <w:sz w:val="24"/>
          <w:szCs w:val="24"/>
        </w:rPr>
        <w:t xml:space="preserve"> </w:t>
      </w:r>
      <w:r w:rsidRPr="00860A19">
        <w:rPr>
          <w:rFonts w:hint="eastAsia"/>
          <w:sz w:val="24"/>
          <w:szCs w:val="24"/>
        </w:rPr>
        <w:t>中国银河证券股份有限公司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住所：北京市西城区金融大街</w:t>
      </w:r>
      <w:r w:rsidRPr="00860A19">
        <w:rPr>
          <w:rFonts w:hint="eastAsia"/>
          <w:sz w:val="24"/>
          <w:szCs w:val="24"/>
        </w:rPr>
        <w:t>35</w:t>
      </w:r>
      <w:r w:rsidRPr="00860A19">
        <w:rPr>
          <w:rFonts w:hint="eastAsia"/>
          <w:sz w:val="24"/>
          <w:szCs w:val="24"/>
        </w:rPr>
        <w:t>号国际企业大厦</w:t>
      </w:r>
      <w:r w:rsidRPr="00860A19">
        <w:rPr>
          <w:rFonts w:hint="eastAsia"/>
          <w:sz w:val="24"/>
          <w:szCs w:val="24"/>
        </w:rPr>
        <w:t>C</w:t>
      </w:r>
      <w:r w:rsidRPr="00860A19">
        <w:rPr>
          <w:rFonts w:hint="eastAsia"/>
          <w:sz w:val="24"/>
          <w:szCs w:val="24"/>
        </w:rPr>
        <w:t>座</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办公地址：北京市西城区金融大街</w:t>
      </w:r>
      <w:r w:rsidRPr="00860A19">
        <w:rPr>
          <w:rFonts w:hint="eastAsia"/>
          <w:sz w:val="24"/>
          <w:szCs w:val="24"/>
        </w:rPr>
        <w:t>35</w:t>
      </w:r>
      <w:r w:rsidRPr="00860A19">
        <w:rPr>
          <w:rFonts w:hint="eastAsia"/>
          <w:sz w:val="24"/>
          <w:szCs w:val="24"/>
        </w:rPr>
        <w:t>号国际企业大厦</w:t>
      </w:r>
      <w:r w:rsidRPr="00860A19">
        <w:rPr>
          <w:rFonts w:hint="eastAsia"/>
          <w:sz w:val="24"/>
          <w:szCs w:val="24"/>
        </w:rPr>
        <w:t>C</w:t>
      </w:r>
      <w:r w:rsidRPr="00860A19">
        <w:rPr>
          <w:rFonts w:hint="eastAsia"/>
          <w:sz w:val="24"/>
          <w:szCs w:val="24"/>
        </w:rPr>
        <w:t>座</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法定代表人：顾伟国</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 xml:space="preserve">66568430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联系人：田薇</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400-888-8888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 xml:space="preserve">www.chinastock.com.cn </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9</w:t>
      </w:r>
      <w:r w:rsidRPr="00860A19">
        <w:rPr>
          <w:rFonts w:hint="eastAsia"/>
          <w:sz w:val="24"/>
          <w:szCs w:val="24"/>
        </w:rPr>
        <w:t>）</w:t>
      </w:r>
      <w:r w:rsidRPr="00860A19">
        <w:rPr>
          <w:rFonts w:hint="eastAsia"/>
          <w:sz w:val="24"/>
          <w:szCs w:val="24"/>
        </w:rPr>
        <w:t xml:space="preserve"> </w:t>
      </w:r>
      <w:r w:rsidRPr="00860A19">
        <w:rPr>
          <w:rFonts w:hint="eastAsia"/>
          <w:sz w:val="24"/>
          <w:szCs w:val="24"/>
        </w:rPr>
        <w:t>兴业证券股份有限公司</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住所：福州市湖东路</w:t>
      </w:r>
      <w:r w:rsidRPr="00860A19">
        <w:rPr>
          <w:rFonts w:hint="eastAsia"/>
          <w:sz w:val="24"/>
          <w:szCs w:val="24"/>
        </w:rPr>
        <w:t>268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办公地址：上海市浦东民生路</w:t>
      </w:r>
      <w:r w:rsidRPr="00860A19">
        <w:rPr>
          <w:rFonts w:hint="eastAsia"/>
          <w:sz w:val="24"/>
          <w:szCs w:val="24"/>
        </w:rPr>
        <w:t>1199</w:t>
      </w:r>
      <w:proofErr w:type="gramStart"/>
      <w:r w:rsidRPr="00860A19">
        <w:rPr>
          <w:rFonts w:hint="eastAsia"/>
          <w:sz w:val="24"/>
          <w:szCs w:val="24"/>
        </w:rPr>
        <w:t>弄五道口</w:t>
      </w:r>
      <w:proofErr w:type="gramEnd"/>
      <w:r w:rsidRPr="00860A19">
        <w:rPr>
          <w:rFonts w:hint="eastAsia"/>
          <w:sz w:val="24"/>
          <w:szCs w:val="24"/>
        </w:rPr>
        <w:t>广场</w:t>
      </w:r>
      <w:r w:rsidRPr="00860A19">
        <w:rPr>
          <w:rFonts w:hint="eastAsia"/>
          <w:sz w:val="24"/>
          <w:szCs w:val="24"/>
        </w:rPr>
        <w:t>1</w:t>
      </w:r>
      <w:r w:rsidRPr="00860A19">
        <w:rPr>
          <w:rFonts w:hint="eastAsia"/>
          <w:sz w:val="24"/>
          <w:szCs w:val="24"/>
        </w:rPr>
        <w:t>号楼</w:t>
      </w:r>
      <w:r w:rsidRPr="00860A19">
        <w:rPr>
          <w:rFonts w:hint="eastAsia"/>
          <w:sz w:val="24"/>
          <w:szCs w:val="24"/>
        </w:rPr>
        <w:t>21</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法定代表人：兰荣</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38565785</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38565955</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w:t>
      </w:r>
      <w:proofErr w:type="gramStart"/>
      <w:r w:rsidRPr="00860A19">
        <w:rPr>
          <w:rFonts w:hint="eastAsia"/>
          <w:sz w:val="24"/>
          <w:szCs w:val="24"/>
        </w:rPr>
        <w:t>谢高得</w:t>
      </w:r>
      <w:proofErr w:type="gramEnd"/>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400-8888-123</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www.xyzq.com.cn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10</w:t>
      </w:r>
      <w:r w:rsidRPr="00860A19">
        <w:rPr>
          <w:rFonts w:hint="eastAsia"/>
          <w:sz w:val="24"/>
          <w:szCs w:val="24"/>
        </w:rPr>
        <w:t>）</w:t>
      </w:r>
      <w:r w:rsidRPr="00860A19">
        <w:rPr>
          <w:rFonts w:hint="eastAsia"/>
          <w:sz w:val="24"/>
          <w:szCs w:val="24"/>
        </w:rPr>
        <w:t xml:space="preserve"> </w:t>
      </w:r>
      <w:r w:rsidRPr="00860A19">
        <w:rPr>
          <w:rFonts w:hint="eastAsia"/>
          <w:sz w:val="24"/>
          <w:szCs w:val="24"/>
        </w:rPr>
        <w:t>中信证券股份有限公司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住所：深圳市深南大道</w:t>
      </w:r>
      <w:r w:rsidRPr="00860A19">
        <w:rPr>
          <w:rFonts w:hint="eastAsia"/>
          <w:sz w:val="24"/>
          <w:szCs w:val="24"/>
        </w:rPr>
        <w:t>7088</w:t>
      </w:r>
      <w:r w:rsidRPr="00860A19">
        <w:rPr>
          <w:rFonts w:hint="eastAsia"/>
          <w:sz w:val="24"/>
          <w:szCs w:val="24"/>
        </w:rPr>
        <w:t>号招商银行大厦</w:t>
      </w:r>
      <w:r w:rsidRPr="00860A19">
        <w:rPr>
          <w:rFonts w:hint="eastAsia"/>
          <w:sz w:val="24"/>
          <w:szCs w:val="24"/>
        </w:rPr>
        <w:t>A</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办公地址：北京市朝阳区亮马桥路</w:t>
      </w:r>
      <w:r w:rsidRPr="00860A19">
        <w:rPr>
          <w:rFonts w:hint="eastAsia"/>
          <w:sz w:val="24"/>
          <w:szCs w:val="24"/>
        </w:rPr>
        <w:t>48</w:t>
      </w:r>
      <w:r w:rsidRPr="00860A19">
        <w:rPr>
          <w:rFonts w:hint="eastAsia"/>
          <w:sz w:val="24"/>
          <w:szCs w:val="24"/>
        </w:rPr>
        <w:t>号中信证券大厦</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法定代表人：王东明</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60838888</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60833739</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联系人：陈忠</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www.cs.ecitic.com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11</w:t>
      </w:r>
      <w:r w:rsidRPr="00860A19">
        <w:rPr>
          <w:rFonts w:hint="eastAsia"/>
          <w:sz w:val="24"/>
          <w:szCs w:val="24"/>
        </w:rPr>
        <w:t>）</w:t>
      </w:r>
      <w:r w:rsidRPr="00860A19">
        <w:rPr>
          <w:rFonts w:hint="eastAsia"/>
          <w:sz w:val="24"/>
          <w:szCs w:val="24"/>
        </w:rPr>
        <w:t xml:space="preserve"> </w:t>
      </w:r>
      <w:r w:rsidRPr="00860A19">
        <w:rPr>
          <w:rFonts w:hint="eastAsia"/>
          <w:sz w:val="24"/>
          <w:szCs w:val="24"/>
        </w:rPr>
        <w:t>申银万国证券股份有限公司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住所：上海市常熟路</w:t>
      </w:r>
      <w:r w:rsidRPr="00860A19">
        <w:rPr>
          <w:rFonts w:hint="eastAsia"/>
          <w:sz w:val="24"/>
          <w:szCs w:val="24"/>
        </w:rPr>
        <w:t>171</w:t>
      </w:r>
      <w:r w:rsidRPr="00860A19">
        <w:rPr>
          <w:rFonts w:hint="eastAsia"/>
          <w:sz w:val="24"/>
          <w:szCs w:val="24"/>
        </w:rPr>
        <w:t>号</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办公地址：上海市常熟路</w:t>
      </w:r>
      <w:r w:rsidRPr="00860A19">
        <w:rPr>
          <w:rFonts w:hint="eastAsia"/>
          <w:sz w:val="24"/>
          <w:szCs w:val="24"/>
        </w:rPr>
        <w:t>171</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法定代表人：丁国荣</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 xml:space="preserve">54033888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联系人：李清怡</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95523</w:t>
      </w:r>
      <w:r w:rsidRPr="00860A19">
        <w:rPr>
          <w:rFonts w:hint="eastAsia"/>
          <w:sz w:val="24"/>
          <w:szCs w:val="24"/>
        </w:rPr>
        <w:t>或</w:t>
      </w:r>
      <w:r w:rsidRPr="00860A19">
        <w:rPr>
          <w:rFonts w:hint="eastAsia"/>
          <w:sz w:val="24"/>
          <w:szCs w:val="24"/>
        </w:rPr>
        <w:t>4008895523</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www.sywg.com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12</w:t>
      </w:r>
      <w:r w:rsidRPr="00860A19">
        <w:rPr>
          <w:rFonts w:hint="eastAsia"/>
          <w:sz w:val="24"/>
          <w:szCs w:val="24"/>
        </w:rPr>
        <w:t>）</w:t>
      </w:r>
      <w:r w:rsidRPr="00860A19">
        <w:rPr>
          <w:rFonts w:hint="eastAsia"/>
          <w:sz w:val="24"/>
          <w:szCs w:val="24"/>
        </w:rPr>
        <w:t xml:space="preserve"> </w:t>
      </w:r>
      <w:r w:rsidRPr="00860A19">
        <w:rPr>
          <w:rFonts w:hint="eastAsia"/>
          <w:sz w:val="24"/>
          <w:szCs w:val="24"/>
        </w:rPr>
        <w:t>国都证券有限责任公司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住所：北京市东城区东直门南大街</w:t>
      </w:r>
      <w:r w:rsidRPr="00860A19">
        <w:rPr>
          <w:rFonts w:hint="eastAsia"/>
          <w:sz w:val="24"/>
          <w:szCs w:val="24"/>
        </w:rPr>
        <w:t>3</w:t>
      </w:r>
      <w:r w:rsidRPr="00860A19">
        <w:rPr>
          <w:rFonts w:hint="eastAsia"/>
          <w:sz w:val="24"/>
          <w:szCs w:val="24"/>
        </w:rPr>
        <w:t>号国华投资大厦</w:t>
      </w:r>
      <w:r w:rsidRPr="00860A19">
        <w:rPr>
          <w:rFonts w:hint="eastAsia"/>
          <w:sz w:val="24"/>
          <w:szCs w:val="24"/>
        </w:rPr>
        <w:t>9</w:t>
      </w:r>
      <w:r w:rsidRPr="00860A19">
        <w:rPr>
          <w:rFonts w:hint="eastAsia"/>
          <w:sz w:val="24"/>
          <w:szCs w:val="24"/>
        </w:rPr>
        <w:t>层</w:t>
      </w:r>
      <w:r w:rsidRPr="00860A19">
        <w:rPr>
          <w:rFonts w:hint="eastAsia"/>
          <w:sz w:val="24"/>
          <w:szCs w:val="24"/>
        </w:rPr>
        <w:t>10</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办公地址：北京市东城区东直门南大街</w:t>
      </w:r>
      <w:r w:rsidRPr="00860A19">
        <w:rPr>
          <w:rFonts w:hint="eastAsia"/>
          <w:sz w:val="24"/>
          <w:szCs w:val="24"/>
        </w:rPr>
        <w:t>3</w:t>
      </w:r>
      <w:r w:rsidRPr="00860A19">
        <w:rPr>
          <w:rFonts w:hint="eastAsia"/>
          <w:sz w:val="24"/>
          <w:szCs w:val="24"/>
        </w:rPr>
        <w:t>号国华投资大厦</w:t>
      </w:r>
      <w:r w:rsidRPr="00860A19">
        <w:rPr>
          <w:rFonts w:hint="eastAsia"/>
          <w:sz w:val="24"/>
          <w:szCs w:val="24"/>
        </w:rPr>
        <w:t>9</w:t>
      </w:r>
      <w:r w:rsidRPr="00860A19">
        <w:rPr>
          <w:rFonts w:hint="eastAsia"/>
          <w:sz w:val="24"/>
          <w:szCs w:val="24"/>
        </w:rPr>
        <w:t>层</w:t>
      </w:r>
      <w:r w:rsidRPr="00860A19">
        <w:rPr>
          <w:rFonts w:hint="eastAsia"/>
          <w:sz w:val="24"/>
          <w:szCs w:val="24"/>
        </w:rPr>
        <w:t>10</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法定代表人：常</w:t>
      </w:r>
      <w:proofErr w:type="gramStart"/>
      <w:r w:rsidRPr="00860A19">
        <w:rPr>
          <w:rFonts w:hint="eastAsia"/>
          <w:sz w:val="24"/>
          <w:szCs w:val="24"/>
        </w:rPr>
        <w:t>喆</w:t>
      </w:r>
      <w:proofErr w:type="gramEnd"/>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400-818-8118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www.guodu.com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13</w:t>
      </w:r>
      <w:r w:rsidRPr="00860A19">
        <w:rPr>
          <w:rFonts w:hint="eastAsia"/>
          <w:sz w:val="24"/>
          <w:szCs w:val="24"/>
        </w:rPr>
        <w:t>）</w:t>
      </w:r>
      <w:r w:rsidRPr="00860A19">
        <w:rPr>
          <w:rFonts w:hint="eastAsia"/>
          <w:sz w:val="24"/>
          <w:szCs w:val="24"/>
        </w:rPr>
        <w:t xml:space="preserve"> </w:t>
      </w:r>
      <w:r w:rsidRPr="00860A19">
        <w:rPr>
          <w:rFonts w:hint="eastAsia"/>
          <w:sz w:val="24"/>
          <w:szCs w:val="24"/>
        </w:rPr>
        <w:t>中信证券（浙江）有限责任公司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住所：浙江省杭州市解放东路</w:t>
      </w:r>
      <w:r w:rsidRPr="00860A19">
        <w:rPr>
          <w:rFonts w:hint="eastAsia"/>
          <w:sz w:val="24"/>
          <w:szCs w:val="24"/>
        </w:rPr>
        <w:t>29</w:t>
      </w:r>
      <w:r w:rsidRPr="00860A19">
        <w:rPr>
          <w:rFonts w:hint="eastAsia"/>
          <w:sz w:val="24"/>
          <w:szCs w:val="24"/>
        </w:rPr>
        <w:t>号</w:t>
      </w:r>
      <w:proofErr w:type="gramStart"/>
      <w:r w:rsidRPr="00860A19">
        <w:rPr>
          <w:rFonts w:hint="eastAsia"/>
          <w:sz w:val="24"/>
          <w:szCs w:val="24"/>
        </w:rPr>
        <w:t>迪凯</w:t>
      </w:r>
      <w:proofErr w:type="gramEnd"/>
      <w:r w:rsidRPr="00860A19">
        <w:rPr>
          <w:rFonts w:hint="eastAsia"/>
          <w:sz w:val="24"/>
          <w:szCs w:val="24"/>
        </w:rPr>
        <w:t>银座</w:t>
      </w:r>
      <w:r w:rsidRPr="00860A19">
        <w:rPr>
          <w:rFonts w:hint="eastAsia"/>
          <w:sz w:val="24"/>
          <w:szCs w:val="24"/>
        </w:rPr>
        <w:t>22</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办公地址：浙江省杭州市解放东路</w:t>
      </w:r>
      <w:r w:rsidRPr="00860A19">
        <w:rPr>
          <w:rFonts w:hint="eastAsia"/>
          <w:sz w:val="24"/>
          <w:szCs w:val="24"/>
        </w:rPr>
        <w:t>29</w:t>
      </w:r>
      <w:r w:rsidRPr="00860A19">
        <w:rPr>
          <w:rFonts w:hint="eastAsia"/>
          <w:sz w:val="24"/>
          <w:szCs w:val="24"/>
        </w:rPr>
        <w:t>号</w:t>
      </w:r>
      <w:proofErr w:type="gramStart"/>
      <w:r w:rsidRPr="00860A19">
        <w:rPr>
          <w:rFonts w:hint="eastAsia"/>
          <w:sz w:val="24"/>
          <w:szCs w:val="24"/>
        </w:rPr>
        <w:t>迪凯</w:t>
      </w:r>
      <w:proofErr w:type="gramEnd"/>
      <w:r w:rsidRPr="00860A19">
        <w:rPr>
          <w:rFonts w:hint="eastAsia"/>
          <w:sz w:val="24"/>
          <w:szCs w:val="24"/>
        </w:rPr>
        <w:t>银座</w:t>
      </w:r>
      <w:r w:rsidRPr="00860A19">
        <w:rPr>
          <w:rFonts w:hint="eastAsia"/>
          <w:sz w:val="24"/>
          <w:szCs w:val="24"/>
        </w:rPr>
        <w:t>22</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法定代表人：沈强</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0571</w:t>
      </w:r>
      <w:r w:rsidRPr="00860A19">
        <w:rPr>
          <w:rFonts w:hint="eastAsia"/>
          <w:sz w:val="24"/>
          <w:szCs w:val="24"/>
        </w:rPr>
        <w:t>）</w:t>
      </w:r>
      <w:r w:rsidRPr="00860A19">
        <w:rPr>
          <w:rFonts w:hint="eastAsia"/>
          <w:sz w:val="24"/>
          <w:szCs w:val="24"/>
        </w:rPr>
        <w:t>85776114</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0571</w:t>
      </w:r>
      <w:r w:rsidRPr="00860A19">
        <w:rPr>
          <w:rFonts w:hint="eastAsia"/>
          <w:sz w:val="24"/>
          <w:szCs w:val="24"/>
        </w:rPr>
        <w:t>）</w:t>
      </w:r>
      <w:r w:rsidRPr="00860A19">
        <w:rPr>
          <w:rFonts w:hint="eastAsia"/>
          <w:sz w:val="24"/>
          <w:szCs w:val="24"/>
        </w:rPr>
        <w:t>85783771</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联系人：李珊</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0571</w:t>
      </w:r>
      <w:r w:rsidRPr="00860A19">
        <w:rPr>
          <w:rFonts w:hint="eastAsia"/>
          <w:sz w:val="24"/>
          <w:szCs w:val="24"/>
        </w:rPr>
        <w:t>）</w:t>
      </w:r>
      <w:r w:rsidRPr="00860A19">
        <w:rPr>
          <w:rFonts w:hint="eastAsia"/>
          <w:sz w:val="24"/>
          <w:szCs w:val="24"/>
        </w:rPr>
        <w:t>95548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www.bigsun.com.cn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14</w:t>
      </w:r>
      <w:r w:rsidRPr="00860A19">
        <w:rPr>
          <w:rFonts w:hint="eastAsia"/>
          <w:sz w:val="24"/>
          <w:szCs w:val="24"/>
        </w:rPr>
        <w:t>）</w:t>
      </w:r>
      <w:r w:rsidRPr="00860A19">
        <w:rPr>
          <w:rFonts w:hint="eastAsia"/>
          <w:sz w:val="24"/>
          <w:szCs w:val="24"/>
        </w:rPr>
        <w:t xml:space="preserve"> </w:t>
      </w:r>
      <w:r w:rsidRPr="00860A19">
        <w:rPr>
          <w:rFonts w:hint="eastAsia"/>
          <w:sz w:val="24"/>
          <w:szCs w:val="24"/>
        </w:rPr>
        <w:t>中信证券（山东）有限责任公司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住所：青岛市崂山区苗岭路</w:t>
      </w:r>
      <w:r w:rsidRPr="00860A19">
        <w:rPr>
          <w:rFonts w:hint="eastAsia"/>
          <w:sz w:val="24"/>
          <w:szCs w:val="24"/>
        </w:rPr>
        <w:t>29</w:t>
      </w:r>
      <w:r w:rsidRPr="00860A19">
        <w:rPr>
          <w:rFonts w:hint="eastAsia"/>
          <w:sz w:val="24"/>
          <w:szCs w:val="24"/>
        </w:rPr>
        <w:t>号澳柯玛大厦</w:t>
      </w:r>
      <w:r w:rsidRPr="00860A19">
        <w:rPr>
          <w:rFonts w:hint="eastAsia"/>
          <w:sz w:val="24"/>
          <w:szCs w:val="24"/>
        </w:rPr>
        <w:t>15</w:t>
      </w:r>
      <w:r w:rsidRPr="00860A19">
        <w:rPr>
          <w:rFonts w:hint="eastAsia"/>
          <w:sz w:val="24"/>
          <w:szCs w:val="24"/>
        </w:rPr>
        <w:t>层（</w:t>
      </w:r>
      <w:r w:rsidRPr="00860A19">
        <w:rPr>
          <w:rFonts w:hint="eastAsia"/>
          <w:sz w:val="24"/>
          <w:szCs w:val="24"/>
        </w:rPr>
        <w:t>1507</w:t>
      </w:r>
      <w:r w:rsidRPr="00860A19">
        <w:rPr>
          <w:rFonts w:hint="eastAsia"/>
          <w:sz w:val="24"/>
          <w:szCs w:val="24"/>
        </w:rPr>
        <w:t>－</w:t>
      </w:r>
      <w:r w:rsidRPr="00860A19">
        <w:rPr>
          <w:rFonts w:hint="eastAsia"/>
          <w:sz w:val="24"/>
          <w:szCs w:val="24"/>
        </w:rPr>
        <w:t>1510</w:t>
      </w:r>
      <w:r w:rsidRPr="00860A19">
        <w:rPr>
          <w:rFonts w:hint="eastAsia"/>
          <w:sz w:val="24"/>
          <w:szCs w:val="24"/>
        </w:rPr>
        <w:t>室）</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办公地址：青岛市崂山区深圳路</w:t>
      </w:r>
      <w:r w:rsidRPr="00860A19">
        <w:rPr>
          <w:rFonts w:hint="eastAsia"/>
          <w:sz w:val="24"/>
          <w:szCs w:val="24"/>
        </w:rPr>
        <w:t>222</w:t>
      </w:r>
      <w:r w:rsidRPr="00860A19">
        <w:rPr>
          <w:rFonts w:hint="eastAsia"/>
          <w:sz w:val="24"/>
          <w:szCs w:val="24"/>
        </w:rPr>
        <w:t>号青岛国际金融广场</w:t>
      </w:r>
      <w:r w:rsidRPr="00860A19">
        <w:rPr>
          <w:rFonts w:hint="eastAsia"/>
          <w:sz w:val="24"/>
          <w:szCs w:val="24"/>
        </w:rPr>
        <w:t>1</w:t>
      </w:r>
      <w:r w:rsidRPr="00860A19">
        <w:rPr>
          <w:rFonts w:hint="eastAsia"/>
          <w:sz w:val="24"/>
          <w:szCs w:val="24"/>
        </w:rPr>
        <w:t>号楼第</w:t>
      </w:r>
      <w:r w:rsidRPr="00860A19">
        <w:rPr>
          <w:rFonts w:hint="eastAsia"/>
          <w:sz w:val="24"/>
          <w:szCs w:val="24"/>
        </w:rPr>
        <w:t>20</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法定代表人：杨宝林</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0532</w:t>
      </w:r>
      <w:r w:rsidRPr="00860A19">
        <w:rPr>
          <w:rFonts w:hint="eastAsia"/>
          <w:sz w:val="24"/>
          <w:szCs w:val="24"/>
        </w:rPr>
        <w:t>）</w:t>
      </w:r>
      <w:r w:rsidRPr="00860A19">
        <w:rPr>
          <w:rFonts w:hint="eastAsia"/>
          <w:sz w:val="24"/>
          <w:szCs w:val="24"/>
        </w:rPr>
        <w:t>85022326</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0532</w:t>
      </w:r>
      <w:r w:rsidRPr="00860A19">
        <w:rPr>
          <w:rFonts w:hint="eastAsia"/>
          <w:sz w:val="24"/>
          <w:szCs w:val="24"/>
        </w:rPr>
        <w:t>）</w:t>
      </w:r>
      <w:r w:rsidRPr="00860A19">
        <w:rPr>
          <w:rFonts w:hint="eastAsia"/>
          <w:sz w:val="24"/>
          <w:szCs w:val="24"/>
        </w:rPr>
        <w:t>85022605</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联系人：吴忠超</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0532</w:t>
      </w:r>
      <w:r w:rsidRPr="00860A19">
        <w:rPr>
          <w:rFonts w:hint="eastAsia"/>
          <w:sz w:val="24"/>
          <w:szCs w:val="24"/>
        </w:rPr>
        <w:t>）</w:t>
      </w:r>
      <w:r w:rsidRPr="00860A19">
        <w:rPr>
          <w:rFonts w:hint="eastAsia"/>
          <w:sz w:val="24"/>
          <w:szCs w:val="24"/>
        </w:rPr>
        <w:t>96577</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www.zxwt.com.cn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15</w:t>
      </w:r>
      <w:r w:rsidRPr="00860A19">
        <w:rPr>
          <w:rFonts w:hint="eastAsia"/>
          <w:sz w:val="24"/>
          <w:szCs w:val="24"/>
        </w:rPr>
        <w:t>）</w:t>
      </w:r>
      <w:r w:rsidRPr="00860A19">
        <w:rPr>
          <w:rFonts w:hint="eastAsia"/>
          <w:sz w:val="24"/>
          <w:szCs w:val="24"/>
        </w:rPr>
        <w:t xml:space="preserve"> </w:t>
      </w:r>
      <w:r w:rsidRPr="00860A19">
        <w:rPr>
          <w:rFonts w:hint="eastAsia"/>
          <w:sz w:val="24"/>
          <w:szCs w:val="24"/>
        </w:rPr>
        <w:t>宏</w:t>
      </w:r>
      <w:proofErr w:type="gramStart"/>
      <w:r w:rsidRPr="00860A19">
        <w:rPr>
          <w:rFonts w:hint="eastAsia"/>
          <w:sz w:val="24"/>
          <w:szCs w:val="24"/>
        </w:rPr>
        <w:t>源证券</w:t>
      </w:r>
      <w:proofErr w:type="gramEnd"/>
      <w:r w:rsidRPr="00860A19">
        <w:rPr>
          <w:rFonts w:hint="eastAsia"/>
          <w:sz w:val="24"/>
          <w:szCs w:val="24"/>
        </w:rPr>
        <w:t>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住所：新疆乌鲁木齐市建设路</w:t>
      </w:r>
      <w:r w:rsidRPr="00860A19">
        <w:rPr>
          <w:rFonts w:hint="eastAsia"/>
          <w:sz w:val="24"/>
          <w:szCs w:val="24"/>
        </w:rPr>
        <w:t>2</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办公地址：北京市西城区太平桥大街</w:t>
      </w:r>
      <w:r w:rsidRPr="00860A19">
        <w:rPr>
          <w:rFonts w:hint="eastAsia"/>
          <w:sz w:val="24"/>
          <w:szCs w:val="24"/>
        </w:rPr>
        <w:t>19</w:t>
      </w:r>
      <w:r w:rsidRPr="00860A19">
        <w:rPr>
          <w:rFonts w:hint="eastAsia"/>
          <w:sz w:val="24"/>
          <w:szCs w:val="24"/>
        </w:rPr>
        <w:t>号宏源证券</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法定代表人：冯戎</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88085858</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88085195</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联系人：李巍</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4008-000-562</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www.hysec.com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16</w:t>
      </w:r>
      <w:r w:rsidRPr="00860A19">
        <w:rPr>
          <w:rFonts w:hint="eastAsia"/>
          <w:sz w:val="24"/>
          <w:szCs w:val="24"/>
        </w:rPr>
        <w:t>）</w:t>
      </w:r>
      <w:r w:rsidRPr="00860A19">
        <w:rPr>
          <w:rFonts w:hint="eastAsia"/>
          <w:sz w:val="24"/>
          <w:szCs w:val="24"/>
        </w:rPr>
        <w:t xml:space="preserve"> </w:t>
      </w:r>
      <w:r w:rsidRPr="00860A19">
        <w:rPr>
          <w:rFonts w:hint="eastAsia"/>
          <w:sz w:val="24"/>
          <w:szCs w:val="24"/>
        </w:rPr>
        <w:t>齐鲁证券有限公司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住所：山东省济南市市中区经七路</w:t>
      </w:r>
      <w:r w:rsidRPr="00860A19">
        <w:rPr>
          <w:rFonts w:hint="eastAsia"/>
          <w:sz w:val="24"/>
          <w:szCs w:val="24"/>
        </w:rPr>
        <w:t>86</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办公地址：山东省济南市市中区经七路</w:t>
      </w:r>
      <w:r w:rsidRPr="00860A19">
        <w:rPr>
          <w:rFonts w:hint="eastAsia"/>
          <w:sz w:val="24"/>
          <w:szCs w:val="24"/>
        </w:rPr>
        <w:t>86</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法定代表人：李玮</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0531</w:t>
      </w:r>
      <w:r w:rsidRPr="00860A19">
        <w:rPr>
          <w:rFonts w:hint="eastAsia"/>
          <w:sz w:val="24"/>
          <w:szCs w:val="24"/>
        </w:rPr>
        <w:t>）</w:t>
      </w:r>
      <w:r w:rsidRPr="00860A19">
        <w:rPr>
          <w:rFonts w:hint="eastAsia"/>
          <w:sz w:val="24"/>
          <w:szCs w:val="24"/>
        </w:rPr>
        <w:t>68889155</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0531</w:t>
      </w:r>
      <w:r w:rsidRPr="00860A19">
        <w:rPr>
          <w:rFonts w:hint="eastAsia"/>
          <w:sz w:val="24"/>
          <w:szCs w:val="24"/>
        </w:rPr>
        <w:t>）</w:t>
      </w:r>
      <w:r w:rsidRPr="00860A19">
        <w:rPr>
          <w:rFonts w:hint="eastAsia"/>
          <w:sz w:val="24"/>
          <w:szCs w:val="24"/>
        </w:rPr>
        <w:t>68889752</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联系人：吴阳</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95538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www.qlzq.com.cn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17</w:t>
      </w:r>
      <w:r w:rsidRPr="00860A19">
        <w:rPr>
          <w:rFonts w:hint="eastAsia"/>
          <w:sz w:val="24"/>
          <w:szCs w:val="24"/>
        </w:rPr>
        <w:t>）</w:t>
      </w:r>
      <w:r w:rsidRPr="00860A19">
        <w:rPr>
          <w:rFonts w:hint="eastAsia"/>
          <w:sz w:val="24"/>
          <w:szCs w:val="24"/>
        </w:rPr>
        <w:t xml:space="preserve"> </w:t>
      </w:r>
      <w:r w:rsidRPr="00860A19">
        <w:rPr>
          <w:rFonts w:hint="eastAsia"/>
          <w:sz w:val="24"/>
          <w:szCs w:val="24"/>
        </w:rPr>
        <w:t>江海证券有限公司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住所：黑龙江省哈尔滨市香</w:t>
      </w:r>
      <w:proofErr w:type="gramStart"/>
      <w:r w:rsidRPr="00860A19">
        <w:rPr>
          <w:rFonts w:hint="eastAsia"/>
          <w:sz w:val="24"/>
          <w:szCs w:val="24"/>
        </w:rPr>
        <w:t>坊区赣水路</w:t>
      </w:r>
      <w:proofErr w:type="gramEnd"/>
      <w:r w:rsidRPr="00860A19">
        <w:rPr>
          <w:rFonts w:hint="eastAsia"/>
          <w:sz w:val="24"/>
          <w:szCs w:val="24"/>
        </w:rPr>
        <w:t>56</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法定代表人：孙名扬</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电话：（</w:t>
      </w:r>
      <w:r w:rsidRPr="00860A19">
        <w:rPr>
          <w:rFonts w:hint="eastAsia"/>
          <w:sz w:val="24"/>
          <w:szCs w:val="24"/>
        </w:rPr>
        <w:t>0451</w:t>
      </w:r>
      <w:r w:rsidRPr="00860A19">
        <w:rPr>
          <w:rFonts w:hint="eastAsia"/>
          <w:sz w:val="24"/>
          <w:szCs w:val="24"/>
        </w:rPr>
        <w:t>）</w:t>
      </w:r>
      <w:r w:rsidRPr="00860A19">
        <w:rPr>
          <w:rFonts w:hint="eastAsia"/>
          <w:sz w:val="24"/>
          <w:szCs w:val="24"/>
        </w:rPr>
        <w:t>85863696</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0451</w:t>
      </w:r>
      <w:r w:rsidRPr="00860A19">
        <w:rPr>
          <w:rFonts w:hint="eastAsia"/>
          <w:sz w:val="24"/>
          <w:szCs w:val="24"/>
        </w:rPr>
        <w:t>）</w:t>
      </w:r>
      <w:r w:rsidRPr="00860A19">
        <w:rPr>
          <w:rFonts w:hint="eastAsia"/>
          <w:sz w:val="24"/>
          <w:szCs w:val="24"/>
        </w:rPr>
        <w:t>82287211</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w:t>
      </w:r>
      <w:proofErr w:type="gramStart"/>
      <w:r w:rsidRPr="00860A19">
        <w:rPr>
          <w:rFonts w:hint="eastAsia"/>
          <w:sz w:val="24"/>
          <w:szCs w:val="24"/>
        </w:rPr>
        <w:t>张背北</w:t>
      </w:r>
      <w:proofErr w:type="gramEnd"/>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400-666-2288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www.jhzq.com.cn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18</w:t>
      </w:r>
      <w:r w:rsidRPr="00860A19">
        <w:rPr>
          <w:rFonts w:hint="eastAsia"/>
          <w:sz w:val="24"/>
          <w:szCs w:val="24"/>
        </w:rPr>
        <w:t>）</w:t>
      </w:r>
      <w:r w:rsidRPr="00860A19">
        <w:rPr>
          <w:rFonts w:hint="eastAsia"/>
          <w:sz w:val="24"/>
          <w:szCs w:val="24"/>
        </w:rPr>
        <w:t xml:space="preserve"> </w:t>
      </w:r>
      <w:r w:rsidRPr="00860A19">
        <w:rPr>
          <w:rFonts w:hint="eastAsia"/>
          <w:sz w:val="24"/>
          <w:szCs w:val="24"/>
        </w:rPr>
        <w:t>中国国际金融有限公司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住所：北京建国门外大街</w:t>
      </w:r>
      <w:r w:rsidRPr="00860A19">
        <w:rPr>
          <w:rFonts w:hint="eastAsia"/>
          <w:sz w:val="24"/>
          <w:szCs w:val="24"/>
        </w:rPr>
        <w:t>1</w:t>
      </w:r>
      <w:r w:rsidRPr="00860A19">
        <w:rPr>
          <w:rFonts w:hint="eastAsia"/>
          <w:sz w:val="24"/>
          <w:szCs w:val="24"/>
        </w:rPr>
        <w:t>号国贸大厦</w:t>
      </w:r>
      <w:r w:rsidRPr="00860A19">
        <w:rPr>
          <w:rFonts w:hint="eastAsia"/>
          <w:sz w:val="24"/>
          <w:szCs w:val="24"/>
        </w:rPr>
        <w:t>2</w:t>
      </w:r>
      <w:r w:rsidRPr="00860A19">
        <w:rPr>
          <w:rFonts w:hint="eastAsia"/>
          <w:sz w:val="24"/>
          <w:szCs w:val="24"/>
        </w:rPr>
        <w:t>座</w:t>
      </w:r>
      <w:r w:rsidRPr="00860A19">
        <w:rPr>
          <w:rFonts w:hint="eastAsia"/>
          <w:sz w:val="24"/>
          <w:szCs w:val="24"/>
        </w:rPr>
        <w:t>27</w:t>
      </w:r>
      <w:r w:rsidRPr="00860A19">
        <w:rPr>
          <w:rFonts w:hint="eastAsia"/>
          <w:sz w:val="24"/>
          <w:szCs w:val="24"/>
        </w:rPr>
        <w:t>层及</w:t>
      </w:r>
      <w:r w:rsidRPr="00860A19">
        <w:rPr>
          <w:rFonts w:hint="eastAsia"/>
          <w:sz w:val="24"/>
          <w:szCs w:val="24"/>
        </w:rPr>
        <w:t>28</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办公地址：北京建国门外大街</w:t>
      </w:r>
      <w:r w:rsidRPr="00860A19">
        <w:rPr>
          <w:rFonts w:hint="eastAsia"/>
          <w:sz w:val="24"/>
          <w:szCs w:val="24"/>
        </w:rPr>
        <w:t>1</w:t>
      </w:r>
      <w:r w:rsidRPr="00860A19">
        <w:rPr>
          <w:rFonts w:hint="eastAsia"/>
          <w:sz w:val="24"/>
          <w:szCs w:val="24"/>
        </w:rPr>
        <w:t>号国贸大厦</w:t>
      </w:r>
      <w:r w:rsidRPr="00860A19">
        <w:rPr>
          <w:rFonts w:hint="eastAsia"/>
          <w:sz w:val="24"/>
          <w:szCs w:val="24"/>
        </w:rPr>
        <w:t>2</w:t>
      </w:r>
      <w:r w:rsidRPr="00860A19">
        <w:rPr>
          <w:rFonts w:hint="eastAsia"/>
          <w:sz w:val="24"/>
          <w:szCs w:val="24"/>
        </w:rPr>
        <w:t>座</w:t>
      </w:r>
      <w:r w:rsidRPr="00860A19">
        <w:rPr>
          <w:rFonts w:hint="eastAsia"/>
          <w:sz w:val="24"/>
          <w:szCs w:val="24"/>
        </w:rPr>
        <w:t>27</w:t>
      </w:r>
      <w:r w:rsidRPr="00860A19">
        <w:rPr>
          <w:rFonts w:hint="eastAsia"/>
          <w:sz w:val="24"/>
          <w:szCs w:val="24"/>
        </w:rPr>
        <w:t>层及</w:t>
      </w:r>
      <w:r w:rsidRPr="00860A19">
        <w:rPr>
          <w:rFonts w:hint="eastAsia"/>
          <w:sz w:val="24"/>
          <w:szCs w:val="24"/>
        </w:rPr>
        <w:t>28</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法定代表人：金立群</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65051166</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65058065</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联系人：罗春蓉、武明明</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www.cicc.com.cn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19</w:t>
      </w:r>
      <w:r w:rsidRPr="00860A19">
        <w:rPr>
          <w:rFonts w:hint="eastAsia"/>
          <w:sz w:val="24"/>
          <w:szCs w:val="24"/>
        </w:rPr>
        <w:t>）</w:t>
      </w:r>
      <w:r w:rsidRPr="00860A19">
        <w:rPr>
          <w:rFonts w:hint="eastAsia"/>
          <w:sz w:val="24"/>
          <w:szCs w:val="24"/>
        </w:rPr>
        <w:t xml:space="preserve"> </w:t>
      </w:r>
      <w:r w:rsidRPr="00860A19">
        <w:rPr>
          <w:rFonts w:hint="eastAsia"/>
          <w:sz w:val="24"/>
          <w:szCs w:val="24"/>
        </w:rPr>
        <w:t>瑞银证券有限责任公司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住所：北京市西城区金融大街</w:t>
      </w:r>
      <w:r w:rsidRPr="00860A19">
        <w:rPr>
          <w:rFonts w:hint="eastAsia"/>
          <w:sz w:val="24"/>
          <w:szCs w:val="24"/>
        </w:rPr>
        <w:t>7</w:t>
      </w:r>
      <w:r w:rsidRPr="00860A19">
        <w:rPr>
          <w:rFonts w:hint="eastAsia"/>
          <w:sz w:val="24"/>
          <w:szCs w:val="24"/>
        </w:rPr>
        <w:t>号</w:t>
      </w:r>
      <w:proofErr w:type="gramStart"/>
      <w:r w:rsidRPr="00860A19">
        <w:rPr>
          <w:rFonts w:hint="eastAsia"/>
          <w:sz w:val="24"/>
          <w:szCs w:val="24"/>
        </w:rPr>
        <w:t>英蓝国际</w:t>
      </w:r>
      <w:proofErr w:type="gramEnd"/>
      <w:r w:rsidRPr="00860A19">
        <w:rPr>
          <w:rFonts w:hint="eastAsia"/>
          <w:sz w:val="24"/>
          <w:szCs w:val="24"/>
        </w:rPr>
        <w:t>金融中心</w:t>
      </w:r>
      <w:r w:rsidRPr="00860A19">
        <w:rPr>
          <w:rFonts w:hint="eastAsia"/>
          <w:sz w:val="24"/>
          <w:szCs w:val="24"/>
        </w:rPr>
        <w:t>12</w:t>
      </w:r>
      <w:r w:rsidRPr="00860A19">
        <w:rPr>
          <w:rFonts w:hint="eastAsia"/>
          <w:sz w:val="24"/>
          <w:szCs w:val="24"/>
        </w:rPr>
        <w:t>层、</w:t>
      </w:r>
      <w:r w:rsidRPr="00860A19">
        <w:rPr>
          <w:rFonts w:hint="eastAsia"/>
          <w:sz w:val="24"/>
          <w:szCs w:val="24"/>
        </w:rPr>
        <w:t>15</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办公地址：北京市西城区金融大街</w:t>
      </w:r>
      <w:r w:rsidRPr="00860A19">
        <w:rPr>
          <w:rFonts w:hint="eastAsia"/>
          <w:sz w:val="24"/>
          <w:szCs w:val="24"/>
        </w:rPr>
        <w:t>7</w:t>
      </w:r>
      <w:r w:rsidRPr="00860A19">
        <w:rPr>
          <w:rFonts w:hint="eastAsia"/>
          <w:sz w:val="24"/>
          <w:szCs w:val="24"/>
        </w:rPr>
        <w:t>号</w:t>
      </w:r>
      <w:proofErr w:type="gramStart"/>
      <w:r w:rsidRPr="00860A19">
        <w:rPr>
          <w:rFonts w:hint="eastAsia"/>
          <w:sz w:val="24"/>
          <w:szCs w:val="24"/>
        </w:rPr>
        <w:t>英蓝国际</w:t>
      </w:r>
      <w:proofErr w:type="gramEnd"/>
      <w:r w:rsidRPr="00860A19">
        <w:rPr>
          <w:rFonts w:hint="eastAsia"/>
          <w:sz w:val="24"/>
          <w:szCs w:val="24"/>
        </w:rPr>
        <w:t>金融中心</w:t>
      </w:r>
      <w:r w:rsidRPr="00860A19">
        <w:rPr>
          <w:rFonts w:hint="eastAsia"/>
          <w:sz w:val="24"/>
          <w:szCs w:val="24"/>
        </w:rPr>
        <w:t>12</w:t>
      </w:r>
      <w:r w:rsidRPr="00860A19">
        <w:rPr>
          <w:rFonts w:hint="eastAsia"/>
          <w:sz w:val="24"/>
          <w:szCs w:val="24"/>
        </w:rPr>
        <w:t>层、</w:t>
      </w:r>
      <w:r w:rsidRPr="00860A19">
        <w:rPr>
          <w:rFonts w:hint="eastAsia"/>
          <w:sz w:val="24"/>
          <w:szCs w:val="24"/>
        </w:rPr>
        <w:t>15</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法定代表人：程宜荪</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58328112</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58328740</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联系人：牟冲</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400-887-8827</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www.ubssecurities.com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20</w:t>
      </w:r>
      <w:r w:rsidRPr="00860A19">
        <w:rPr>
          <w:rFonts w:hint="eastAsia"/>
          <w:sz w:val="24"/>
          <w:szCs w:val="24"/>
        </w:rPr>
        <w:t>）</w:t>
      </w:r>
      <w:r w:rsidRPr="00860A19">
        <w:rPr>
          <w:rFonts w:hint="eastAsia"/>
          <w:sz w:val="24"/>
          <w:szCs w:val="24"/>
        </w:rPr>
        <w:t xml:space="preserve"> </w:t>
      </w:r>
      <w:r w:rsidRPr="00860A19">
        <w:rPr>
          <w:rFonts w:hint="eastAsia"/>
          <w:sz w:val="24"/>
          <w:szCs w:val="24"/>
        </w:rPr>
        <w:t>长城证券有限责任公司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住所：深圳市福田区深南大道</w:t>
      </w:r>
      <w:r w:rsidRPr="00860A19">
        <w:rPr>
          <w:rFonts w:hint="eastAsia"/>
          <w:sz w:val="24"/>
          <w:szCs w:val="24"/>
        </w:rPr>
        <w:t>6008</w:t>
      </w:r>
      <w:r w:rsidRPr="00860A19">
        <w:rPr>
          <w:rFonts w:hint="eastAsia"/>
          <w:sz w:val="24"/>
          <w:szCs w:val="24"/>
        </w:rPr>
        <w:t>号特区报业大厦</w:t>
      </w:r>
      <w:r w:rsidRPr="00860A19">
        <w:rPr>
          <w:rFonts w:hint="eastAsia"/>
          <w:sz w:val="24"/>
          <w:szCs w:val="24"/>
        </w:rPr>
        <w:t>14</w:t>
      </w:r>
      <w:r w:rsidRPr="00860A19">
        <w:rPr>
          <w:rFonts w:hint="eastAsia"/>
          <w:sz w:val="24"/>
          <w:szCs w:val="24"/>
        </w:rPr>
        <w:t>、</w:t>
      </w:r>
      <w:r w:rsidRPr="00860A19">
        <w:rPr>
          <w:rFonts w:hint="eastAsia"/>
          <w:sz w:val="24"/>
          <w:szCs w:val="24"/>
        </w:rPr>
        <w:t>16</w:t>
      </w:r>
      <w:r w:rsidRPr="00860A19">
        <w:rPr>
          <w:rFonts w:hint="eastAsia"/>
          <w:sz w:val="24"/>
          <w:szCs w:val="24"/>
        </w:rPr>
        <w:t>、</w:t>
      </w:r>
      <w:r w:rsidRPr="00860A19">
        <w:rPr>
          <w:rFonts w:hint="eastAsia"/>
          <w:sz w:val="24"/>
          <w:szCs w:val="24"/>
        </w:rPr>
        <w:t>17</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法定代表人：黄耀华</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83516289</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83516199</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联系人：匡婷</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客户服务电话：（</w:t>
      </w:r>
      <w:r w:rsidRPr="00860A19">
        <w:rPr>
          <w:rFonts w:hint="eastAsia"/>
          <w:sz w:val="24"/>
          <w:szCs w:val="24"/>
        </w:rPr>
        <w:t>0755</w:t>
      </w:r>
      <w:r w:rsidRPr="00860A19">
        <w:rPr>
          <w:rFonts w:hint="eastAsia"/>
          <w:sz w:val="24"/>
          <w:szCs w:val="24"/>
        </w:rPr>
        <w:t>）</w:t>
      </w:r>
      <w:r w:rsidRPr="00860A19">
        <w:rPr>
          <w:rFonts w:hint="eastAsia"/>
          <w:sz w:val="24"/>
          <w:szCs w:val="24"/>
        </w:rPr>
        <w:t>33680000</w:t>
      </w:r>
      <w:r w:rsidRPr="00860A19">
        <w:rPr>
          <w:rFonts w:hint="eastAsia"/>
          <w:sz w:val="24"/>
          <w:szCs w:val="24"/>
        </w:rPr>
        <w:t>，</w:t>
      </w:r>
      <w:r w:rsidRPr="00860A19">
        <w:rPr>
          <w:rFonts w:hint="eastAsia"/>
          <w:sz w:val="24"/>
          <w:szCs w:val="24"/>
        </w:rPr>
        <w:t>400-6666-888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www.cc168.com.cn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21</w:t>
      </w:r>
      <w:r w:rsidRPr="00860A19">
        <w:rPr>
          <w:rFonts w:hint="eastAsia"/>
          <w:sz w:val="24"/>
          <w:szCs w:val="24"/>
        </w:rPr>
        <w:t>）</w:t>
      </w:r>
      <w:r w:rsidRPr="00860A19">
        <w:rPr>
          <w:rFonts w:hint="eastAsia"/>
          <w:sz w:val="24"/>
          <w:szCs w:val="24"/>
        </w:rPr>
        <w:t xml:space="preserve"> </w:t>
      </w:r>
      <w:r w:rsidRPr="00860A19">
        <w:rPr>
          <w:rFonts w:hint="eastAsia"/>
          <w:sz w:val="24"/>
          <w:szCs w:val="24"/>
        </w:rPr>
        <w:t>国金证券股份有限公司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住所：成都市东城根上街</w:t>
      </w:r>
      <w:r w:rsidRPr="00860A19">
        <w:rPr>
          <w:rFonts w:hint="eastAsia"/>
          <w:sz w:val="24"/>
          <w:szCs w:val="24"/>
        </w:rPr>
        <w:t>95</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办公地址：成都市东城根上街</w:t>
      </w:r>
      <w:r w:rsidRPr="00860A19">
        <w:rPr>
          <w:rFonts w:hint="eastAsia"/>
          <w:sz w:val="24"/>
          <w:szCs w:val="24"/>
        </w:rPr>
        <w:t>95</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法定代表人：冉云</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028</w:t>
      </w:r>
      <w:r w:rsidRPr="00860A19">
        <w:rPr>
          <w:rFonts w:hint="eastAsia"/>
          <w:sz w:val="24"/>
          <w:szCs w:val="24"/>
        </w:rPr>
        <w:t>）</w:t>
      </w:r>
      <w:r w:rsidRPr="00860A19">
        <w:rPr>
          <w:rFonts w:hint="eastAsia"/>
          <w:sz w:val="24"/>
          <w:szCs w:val="24"/>
        </w:rPr>
        <w:t>86690126</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028</w:t>
      </w:r>
      <w:r w:rsidRPr="00860A19">
        <w:rPr>
          <w:rFonts w:hint="eastAsia"/>
          <w:sz w:val="24"/>
          <w:szCs w:val="24"/>
        </w:rPr>
        <w:t>）</w:t>
      </w:r>
      <w:r w:rsidRPr="00860A19">
        <w:rPr>
          <w:rFonts w:hint="eastAsia"/>
          <w:sz w:val="24"/>
          <w:szCs w:val="24"/>
        </w:rPr>
        <w:t>86690126</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联系人：金</w:t>
      </w:r>
      <w:proofErr w:type="gramStart"/>
      <w:r w:rsidRPr="00860A19">
        <w:rPr>
          <w:rFonts w:hint="eastAsia"/>
          <w:sz w:val="24"/>
          <w:szCs w:val="24"/>
        </w:rPr>
        <w:t>喆</w:t>
      </w:r>
      <w:proofErr w:type="gramEnd"/>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400-6600-109</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www.gjzq.com.cn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22</w:t>
      </w:r>
      <w:r w:rsidRPr="00860A19">
        <w:rPr>
          <w:rFonts w:hint="eastAsia"/>
          <w:sz w:val="24"/>
          <w:szCs w:val="24"/>
        </w:rPr>
        <w:t>）</w:t>
      </w:r>
      <w:r w:rsidRPr="00860A19">
        <w:rPr>
          <w:rFonts w:hint="eastAsia"/>
          <w:sz w:val="24"/>
          <w:szCs w:val="24"/>
        </w:rPr>
        <w:t xml:space="preserve"> </w:t>
      </w:r>
      <w:r w:rsidRPr="00860A19">
        <w:rPr>
          <w:rFonts w:hint="eastAsia"/>
          <w:sz w:val="24"/>
          <w:szCs w:val="24"/>
        </w:rPr>
        <w:t>信</w:t>
      </w:r>
      <w:proofErr w:type="gramStart"/>
      <w:r w:rsidRPr="00860A19">
        <w:rPr>
          <w:rFonts w:hint="eastAsia"/>
          <w:sz w:val="24"/>
          <w:szCs w:val="24"/>
        </w:rPr>
        <w:t>达证券</w:t>
      </w:r>
      <w:proofErr w:type="gramEnd"/>
      <w:r w:rsidRPr="00860A19">
        <w:rPr>
          <w:rFonts w:hint="eastAsia"/>
          <w:sz w:val="24"/>
          <w:szCs w:val="24"/>
        </w:rPr>
        <w:t>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住所：北京市西城区闹市口大街</w:t>
      </w:r>
      <w:r w:rsidRPr="00860A19">
        <w:rPr>
          <w:rFonts w:hint="eastAsia"/>
          <w:sz w:val="24"/>
          <w:szCs w:val="24"/>
        </w:rPr>
        <w:t>9</w:t>
      </w:r>
      <w:r w:rsidRPr="00860A19">
        <w:rPr>
          <w:rFonts w:hint="eastAsia"/>
          <w:sz w:val="24"/>
          <w:szCs w:val="24"/>
        </w:rPr>
        <w:t>号院</w:t>
      </w:r>
      <w:r w:rsidRPr="00860A19">
        <w:rPr>
          <w:rFonts w:hint="eastAsia"/>
          <w:sz w:val="24"/>
          <w:szCs w:val="24"/>
        </w:rPr>
        <w:t>1</w:t>
      </w:r>
      <w:r w:rsidRPr="00860A19">
        <w:rPr>
          <w:rFonts w:hint="eastAsia"/>
          <w:sz w:val="24"/>
          <w:szCs w:val="24"/>
        </w:rPr>
        <w:t>号楼信达金融中心</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办公地址：北京市西城区闹市口大街</w:t>
      </w:r>
      <w:r w:rsidRPr="00860A19">
        <w:rPr>
          <w:rFonts w:hint="eastAsia"/>
          <w:sz w:val="24"/>
          <w:szCs w:val="24"/>
        </w:rPr>
        <w:t>9</w:t>
      </w:r>
      <w:r w:rsidRPr="00860A19">
        <w:rPr>
          <w:rFonts w:hint="eastAsia"/>
          <w:sz w:val="24"/>
          <w:szCs w:val="24"/>
        </w:rPr>
        <w:t>号院</w:t>
      </w:r>
      <w:r w:rsidRPr="00860A19">
        <w:rPr>
          <w:rFonts w:hint="eastAsia"/>
          <w:sz w:val="24"/>
          <w:szCs w:val="24"/>
        </w:rPr>
        <w:t>1</w:t>
      </w:r>
      <w:r w:rsidRPr="00860A19">
        <w:rPr>
          <w:rFonts w:hint="eastAsia"/>
          <w:sz w:val="24"/>
          <w:szCs w:val="24"/>
        </w:rPr>
        <w:t>号楼信达金融中心</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法定代表人：高冠江</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63081000</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63080978</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联系人：唐静</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400-800-8899</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www.cindasc.com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23</w:t>
      </w:r>
      <w:r w:rsidRPr="00860A19">
        <w:rPr>
          <w:rFonts w:hint="eastAsia"/>
          <w:sz w:val="24"/>
          <w:szCs w:val="24"/>
        </w:rPr>
        <w:t>）</w:t>
      </w:r>
      <w:r w:rsidRPr="00860A19">
        <w:rPr>
          <w:rFonts w:hint="eastAsia"/>
          <w:sz w:val="24"/>
          <w:szCs w:val="24"/>
        </w:rPr>
        <w:t xml:space="preserve"> </w:t>
      </w:r>
      <w:r w:rsidRPr="00860A19">
        <w:rPr>
          <w:rFonts w:hint="eastAsia"/>
          <w:sz w:val="24"/>
          <w:szCs w:val="24"/>
        </w:rPr>
        <w:t>西南证券股份有限公司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住所：重庆市江北区桥北苑</w:t>
      </w:r>
      <w:r w:rsidRPr="00860A19">
        <w:rPr>
          <w:rFonts w:hint="eastAsia"/>
          <w:sz w:val="24"/>
          <w:szCs w:val="24"/>
        </w:rPr>
        <w:t>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办公地址：重庆市江北区桥北苑</w:t>
      </w:r>
      <w:r w:rsidRPr="00860A19">
        <w:rPr>
          <w:rFonts w:hint="eastAsia"/>
          <w:sz w:val="24"/>
          <w:szCs w:val="24"/>
        </w:rPr>
        <w:t>8</w:t>
      </w:r>
      <w:r w:rsidRPr="00860A19">
        <w:rPr>
          <w:rFonts w:hint="eastAsia"/>
          <w:sz w:val="24"/>
          <w:szCs w:val="24"/>
        </w:rPr>
        <w:t>号西南证券大厦</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法定代表人：余维佳</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023</w:t>
      </w:r>
      <w:r w:rsidRPr="00860A19">
        <w:rPr>
          <w:rFonts w:hint="eastAsia"/>
          <w:sz w:val="24"/>
          <w:szCs w:val="24"/>
        </w:rPr>
        <w:t>）</w:t>
      </w:r>
      <w:r w:rsidRPr="00860A19">
        <w:rPr>
          <w:rFonts w:hint="eastAsia"/>
          <w:sz w:val="24"/>
          <w:szCs w:val="24"/>
        </w:rPr>
        <w:t>63786141</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023</w:t>
      </w:r>
      <w:r w:rsidRPr="00860A19">
        <w:rPr>
          <w:rFonts w:hint="eastAsia"/>
          <w:sz w:val="24"/>
          <w:szCs w:val="24"/>
        </w:rPr>
        <w:t>）</w:t>
      </w:r>
      <w:r w:rsidRPr="00860A19">
        <w:rPr>
          <w:rFonts w:hint="eastAsia"/>
          <w:sz w:val="24"/>
          <w:szCs w:val="24"/>
        </w:rPr>
        <w:t>63786212</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联系人：张煜</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400-809-6096</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网址：</w:t>
      </w:r>
      <w:r w:rsidRPr="00860A19">
        <w:rPr>
          <w:rFonts w:hint="eastAsia"/>
          <w:sz w:val="24"/>
          <w:szCs w:val="24"/>
        </w:rPr>
        <w:t>www.swsc.com.cn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24</w:t>
      </w:r>
      <w:r w:rsidRPr="00860A19">
        <w:rPr>
          <w:rFonts w:hint="eastAsia"/>
          <w:sz w:val="24"/>
          <w:szCs w:val="24"/>
        </w:rPr>
        <w:t>）</w:t>
      </w:r>
      <w:r w:rsidRPr="00860A19">
        <w:rPr>
          <w:rFonts w:hint="eastAsia"/>
          <w:sz w:val="24"/>
          <w:szCs w:val="24"/>
        </w:rPr>
        <w:t xml:space="preserve"> </w:t>
      </w:r>
      <w:r w:rsidRPr="00860A19">
        <w:rPr>
          <w:rFonts w:hint="eastAsia"/>
          <w:sz w:val="24"/>
          <w:szCs w:val="24"/>
        </w:rPr>
        <w:t>中国中投证券有限责任公司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住所：深圳市福田区益田路与福中路交界处荣超商务中心</w:t>
      </w:r>
      <w:r w:rsidRPr="00860A19">
        <w:rPr>
          <w:rFonts w:hint="eastAsia"/>
          <w:sz w:val="24"/>
          <w:szCs w:val="24"/>
        </w:rPr>
        <w:t>A</w:t>
      </w:r>
      <w:r w:rsidRPr="00860A19">
        <w:rPr>
          <w:rFonts w:hint="eastAsia"/>
          <w:sz w:val="24"/>
          <w:szCs w:val="24"/>
        </w:rPr>
        <w:t>栋第</w:t>
      </w:r>
      <w:r w:rsidRPr="00860A19">
        <w:rPr>
          <w:rFonts w:hint="eastAsia"/>
          <w:sz w:val="24"/>
          <w:szCs w:val="24"/>
        </w:rPr>
        <w:t>18</w:t>
      </w:r>
      <w:r w:rsidRPr="00860A19">
        <w:rPr>
          <w:rFonts w:hint="eastAsia"/>
          <w:sz w:val="24"/>
          <w:szCs w:val="24"/>
        </w:rPr>
        <w:t>层</w:t>
      </w:r>
      <w:r w:rsidRPr="00860A19">
        <w:rPr>
          <w:rFonts w:hint="eastAsia"/>
          <w:sz w:val="24"/>
          <w:szCs w:val="24"/>
        </w:rPr>
        <w:t>-21</w:t>
      </w:r>
      <w:r w:rsidRPr="00860A19">
        <w:rPr>
          <w:rFonts w:hint="eastAsia"/>
          <w:sz w:val="24"/>
          <w:szCs w:val="24"/>
        </w:rPr>
        <w:t>层及第</w:t>
      </w:r>
      <w:r w:rsidRPr="00860A19">
        <w:rPr>
          <w:rFonts w:hint="eastAsia"/>
          <w:sz w:val="24"/>
          <w:szCs w:val="24"/>
        </w:rPr>
        <w:t>04</w:t>
      </w:r>
      <w:r w:rsidRPr="00860A19">
        <w:rPr>
          <w:rFonts w:hint="eastAsia"/>
          <w:sz w:val="24"/>
          <w:szCs w:val="24"/>
        </w:rPr>
        <w:t>层</w:t>
      </w:r>
      <w:r w:rsidRPr="00860A19">
        <w:rPr>
          <w:rFonts w:hint="eastAsia"/>
          <w:sz w:val="24"/>
          <w:szCs w:val="24"/>
        </w:rPr>
        <w:t>01.02.03.05.11.12.13.15.16.18.19.20.21.22.23</w:t>
      </w:r>
      <w:r w:rsidRPr="00860A19">
        <w:rPr>
          <w:rFonts w:hint="eastAsia"/>
          <w:sz w:val="24"/>
          <w:szCs w:val="24"/>
        </w:rPr>
        <w:t>单元</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办公地址：深圳市福田区益田路</w:t>
      </w:r>
      <w:r w:rsidRPr="00860A19">
        <w:rPr>
          <w:rFonts w:hint="eastAsia"/>
          <w:sz w:val="24"/>
          <w:szCs w:val="24"/>
        </w:rPr>
        <w:t>6003</w:t>
      </w:r>
      <w:r w:rsidRPr="00860A19">
        <w:rPr>
          <w:rFonts w:hint="eastAsia"/>
          <w:sz w:val="24"/>
          <w:szCs w:val="24"/>
        </w:rPr>
        <w:t>号荣超商务中心</w:t>
      </w:r>
      <w:r w:rsidRPr="00860A19">
        <w:rPr>
          <w:rFonts w:hint="eastAsia"/>
          <w:sz w:val="24"/>
          <w:szCs w:val="24"/>
        </w:rPr>
        <w:t>A</w:t>
      </w:r>
      <w:r w:rsidRPr="00860A19">
        <w:rPr>
          <w:rFonts w:hint="eastAsia"/>
          <w:sz w:val="24"/>
          <w:szCs w:val="24"/>
        </w:rPr>
        <w:t>栋第</w:t>
      </w:r>
      <w:r w:rsidRPr="00860A19">
        <w:rPr>
          <w:rFonts w:hint="eastAsia"/>
          <w:sz w:val="24"/>
          <w:szCs w:val="24"/>
        </w:rPr>
        <w:t>04</w:t>
      </w:r>
      <w:r w:rsidRPr="00860A19">
        <w:rPr>
          <w:rFonts w:hint="eastAsia"/>
          <w:sz w:val="24"/>
          <w:szCs w:val="24"/>
        </w:rPr>
        <w:t>、</w:t>
      </w:r>
      <w:r w:rsidRPr="00860A19">
        <w:rPr>
          <w:rFonts w:hint="eastAsia"/>
          <w:sz w:val="24"/>
          <w:szCs w:val="24"/>
        </w:rPr>
        <w:t>18</w:t>
      </w:r>
      <w:r w:rsidRPr="00860A19">
        <w:rPr>
          <w:rFonts w:hint="eastAsia"/>
          <w:sz w:val="24"/>
          <w:szCs w:val="24"/>
        </w:rPr>
        <w:t>层至</w:t>
      </w:r>
      <w:r w:rsidRPr="00860A19">
        <w:rPr>
          <w:rFonts w:hint="eastAsia"/>
          <w:sz w:val="24"/>
          <w:szCs w:val="24"/>
        </w:rPr>
        <w:t>21</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w:t>
      </w:r>
      <w:proofErr w:type="gramStart"/>
      <w:r w:rsidRPr="00860A19">
        <w:rPr>
          <w:rFonts w:hint="eastAsia"/>
          <w:sz w:val="24"/>
          <w:szCs w:val="24"/>
        </w:rPr>
        <w:t>龙增来</w:t>
      </w:r>
      <w:proofErr w:type="gramEnd"/>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82023442</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82026539</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联系人：刘毅</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400-600-8008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www.china-invs.cn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w:t>
      </w:r>
      <w:r w:rsidRPr="00860A19">
        <w:rPr>
          <w:rFonts w:hint="eastAsia"/>
          <w:sz w:val="24"/>
          <w:szCs w:val="24"/>
        </w:rPr>
        <w:t>5</w:t>
      </w:r>
      <w:r w:rsidRPr="00860A19">
        <w:rPr>
          <w:rFonts w:hint="eastAsia"/>
          <w:sz w:val="24"/>
          <w:szCs w:val="24"/>
        </w:rPr>
        <w:t>）</w:t>
      </w:r>
      <w:r w:rsidRPr="00860A19">
        <w:rPr>
          <w:rFonts w:hint="eastAsia"/>
          <w:sz w:val="24"/>
          <w:szCs w:val="24"/>
        </w:rPr>
        <w:t xml:space="preserve"> </w:t>
      </w:r>
      <w:proofErr w:type="gramStart"/>
      <w:r w:rsidRPr="00860A19">
        <w:rPr>
          <w:rFonts w:hint="eastAsia"/>
          <w:sz w:val="24"/>
          <w:szCs w:val="24"/>
        </w:rPr>
        <w:t>华融证券</w:t>
      </w:r>
      <w:proofErr w:type="gramEnd"/>
      <w:r w:rsidRPr="00860A19">
        <w:rPr>
          <w:rFonts w:hint="eastAsia"/>
          <w:sz w:val="24"/>
          <w:szCs w:val="24"/>
        </w:rPr>
        <w:t>股份有限公司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住所：北京市西城区金融大街</w:t>
      </w:r>
      <w:r w:rsidRPr="00860A19">
        <w:rPr>
          <w:rFonts w:hint="eastAsia"/>
          <w:sz w:val="24"/>
          <w:szCs w:val="24"/>
        </w:rPr>
        <w:t>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办公地址：北京市西城区金融大街</w:t>
      </w:r>
      <w:r w:rsidRPr="00860A19">
        <w:rPr>
          <w:rFonts w:hint="eastAsia"/>
          <w:sz w:val="24"/>
          <w:szCs w:val="24"/>
        </w:rPr>
        <w:t>8</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法定代表人：宋德清</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58568235</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58568062</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联系人：黄恒</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010</w:t>
      </w:r>
      <w:r w:rsidRPr="00860A19">
        <w:rPr>
          <w:rFonts w:hint="eastAsia"/>
          <w:sz w:val="24"/>
          <w:szCs w:val="24"/>
        </w:rPr>
        <w:t>）</w:t>
      </w:r>
      <w:r w:rsidRPr="00860A19">
        <w:rPr>
          <w:rFonts w:hint="eastAsia"/>
          <w:sz w:val="24"/>
          <w:szCs w:val="24"/>
        </w:rPr>
        <w:t>58568118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www.hrsec.com.cn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26</w:t>
      </w:r>
      <w:r w:rsidRPr="00860A19">
        <w:rPr>
          <w:rFonts w:hint="eastAsia"/>
          <w:sz w:val="24"/>
          <w:szCs w:val="24"/>
        </w:rPr>
        <w:t>）</w:t>
      </w:r>
      <w:r w:rsidRPr="00860A19">
        <w:rPr>
          <w:rFonts w:hint="eastAsia"/>
          <w:sz w:val="24"/>
          <w:szCs w:val="24"/>
        </w:rPr>
        <w:t xml:space="preserve"> </w:t>
      </w:r>
      <w:r w:rsidRPr="00860A19">
        <w:rPr>
          <w:rFonts w:hint="eastAsia"/>
          <w:sz w:val="24"/>
          <w:szCs w:val="24"/>
        </w:rPr>
        <w:t>天</w:t>
      </w:r>
      <w:proofErr w:type="gramStart"/>
      <w:r w:rsidRPr="00860A19">
        <w:rPr>
          <w:rFonts w:hint="eastAsia"/>
          <w:sz w:val="24"/>
          <w:szCs w:val="24"/>
        </w:rPr>
        <w:t>相投资</w:t>
      </w:r>
      <w:proofErr w:type="gramEnd"/>
      <w:r w:rsidRPr="00860A19">
        <w:rPr>
          <w:rFonts w:hint="eastAsia"/>
          <w:sz w:val="24"/>
          <w:szCs w:val="24"/>
        </w:rPr>
        <w:t>顾问有限公司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住所：北京市西城区金融街</w:t>
      </w:r>
      <w:r w:rsidRPr="00860A19">
        <w:rPr>
          <w:rFonts w:hint="eastAsia"/>
          <w:sz w:val="24"/>
          <w:szCs w:val="24"/>
        </w:rPr>
        <w:t>19</w:t>
      </w:r>
      <w:r w:rsidRPr="00860A19">
        <w:rPr>
          <w:rFonts w:hint="eastAsia"/>
          <w:sz w:val="24"/>
          <w:szCs w:val="24"/>
        </w:rPr>
        <w:t>号富凯大厦</w:t>
      </w:r>
      <w:r w:rsidRPr="00860A19">
        <w:rPr>
          <w:rFonts w:hint="eastAsia"/>
          <w:sz w:val="24"/>
          <w:szCs w:val="24"/>
        </w:rPr>
        <w:t>B</w:t>
      </w:r>
      <w:r w:rsidRPr="00860A19">
        <w:rPr>
          <w:rFonts w:hint="eastAsia"/>
          <w:sz w:val="24"/>
          <w:szCs w:val="24"/>
        </w:rPr>
        <w:t>座</w:t>
      </w:r>
      <w:r w:rsidRPr="00860A19">
        <w:rPr>
          <w:rFonts w:hint="eastAsia"/>
          <w:sz w:val="24"/>
          <w:szCs w:val="24"/>
        </w:rPr>
        <w:t>701</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办公地址：北京市西城区新街口外大街</w:t>
      </w:r>
      <w:r w:rsidRPr="00860A19">
        <w:rPr>
          <w:rFonts w:hint="eastAsia"/>
          <w:sz w:val="24"/>
          <w:szCs w:val="24"/>
        </w:rPr>
        <w:t>28</w:t>
      </w:r>
      <w:r w:rsidRPr="00860A19">
        <w:rPr>
          <w:rFonts w:hint="eastAsia"/>
          <w:sz w:val="24"/>
          <w:szCs w:val="24"/>
        </w:rPr>
        <w:t>号</w:t>
      </w:r>
      <w:r w:rsidRPr="00860A19">
        <w:rPr>
          <w:rFonts w:hint="eastAsia"/>
          <w:sz w:val="24"/>
          <w:szCs w:val="24"/>
        </w:rPr>
        <w:t>C</w:t>
      </w:r>
      <w:r w:rsidRPr="00860A19">
        <w:rPr>
          <w:rFonts w:hint="eastAsia"/>
          <w:sz w:val="24"/>
          <w:szCs w:val="24"/>
        </w:rPr>
        <w:t>座</w:t>
      </w:r>
      <w:r w:rsidRPr="00860A19">
        <w:rPr>
          <w:rFonts w:hint="eastAsia"/>
          <w:sz w:val="24"/>
          <w:szCs w:val="24"/>
        </w:rPr>
        <w:t>5</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法定代表人：林义相</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66045529</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66045518</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联系人：尹伶</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客户服务电话：（</w:t>
      </w:r>
      <w:r w:rsidRPr="00860A19">
        <w:rPr>
          <w:rFonts w:hint="eastAsia"/>
          <w:sz w:val="24"/>
          <w:szCs w:val="24"/>
        </w:rPr>
        <w:t>010</w:t>
      </w:r>
      <w:r w:rsidRPr="00860A19">
        <w:rPr>
          <w:rFonts w:hint="eastAsia"/>
          <w:sz w:val="24"/>
          <w:szCs w:val="24"/>
        </w:rPr>
        <w:t>）</w:t>
      </w:r>
      <w:r w:rsidRPr="00860A19">
        <w:rPr>
          <w:rFonts w:hint="eastAsia"/>
          <w:sz w:val="24"/>
          <w:szCs w:val="24"/>
        </w:rPr>
        <w:t>66045678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http://www.txsec.com</w:t>
      </w:r>
      <w:r w:rsidRPr="00860A19">
        <w:rPr>
          <w:rFonts w:hint="eastAsia"/>
          <w:sz w:val="24"/>
          <w:szCs w:val="24"/>
        </w:rPr>
        <w:t>，</w:t>
      </w:r>
      <w:r w:rsidRPr="00860A19">
        <w:rPr>
          <w:rFonts w:hint="eastAsia"/>
          <w:sz w:val="24"/>
          <w:szCs w:val="24"/>
        </w:rPr>
        <w:t>www.jjm.com.cn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27</w:t>
      </w:r>
      <w:r w:rsidRPr="00860A19">
        <w:rPr>
          <w:rFonts w:hint="eastAsia"/>
          <w:sz w:val="24"/>
          <w:szCs w:val="24"/>
        </w:rPr>
        <w:t>）</w:t>
      </w:r>
      <w:r w:rsidRPr="00860A19">
        <w:rPr>
          <w:rFonts w:hint="eastAsia"/>
          <w:sz w:val="24"/>
          <w:szCs w:val="24"/>
        </w:rPr>
        <w:t xml:space="preserve"> </w:t>
      </w:r>
      <w:r w:rsidRPr="00860A19">
        <w:rPr>
          <w:rFonts w:hint="eastAsia"/>
          <w:sz w:val="24"/>
          <w:szCs w:val="24"/>
        </w:rPr>
        <w:t>杭州数米基金销售有限公司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住所：杭州市余杭区仓前街道海</w:t>
      </w:r>
      <w:proofErr w:type="gramStart"/>
      <w:r w:rsidRPr="00860A19">
        <w:rPr>
          <w:rFonts w:hint="eastAsia"/>
          <w:sz w:val="24"/>
          <w:szCs w:val="24"/>
        </w:rPr>
        <w:t>曙</w:t>
      </w:r>
      <w:proofErr w:type="gramEnd"/>
      <w:r w:rsidRPr="00860A19">
        <w:rPr>
          <w:rFonts w:hint="eastAsia"/>
          <w:sz w:val="24"/>
          <w:szCs w:val="24"/>
        </w:rPr>
        <w:t>路东</w:t>
      </w:r>
      <w:r w:rsidRPr="00860A19">
        <w:rPr>
          <w:rFonts w:hint="eastAsia"/>
          <w:sz w:val="24"/>
          <w:szCs w:val="24"/>
        </w:rPr>
        <w:t>2</w:t>
      </w:r>
      <w:r w:rsidRPr="00860A19">
        <w:rPr>
          <w:rFonts w:hint="eastAsia"/>
          <w:sz w:val="24"/>
          <w:szCs w:val="24"/>
        </w:rPr>
        <w:t>号</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办公地址：浙江省杭州市滨江区江南大道</w:t>
      </w:r>
      <w:r w:rsidRPr="00860A19">
        <w:rPr>
          <w:rFonts w:hint="eastAsia"/>
          <w:sz w:val="24"/>
          <w:szCs w:val="24"/>
        </w:rPr>
        <w:t>3588</w:t>
      </w:r>
      <w:r w:rsidRPr="00860A19">
        <w:rPr>
          <w:rFonts w:hint="eastAsia"/>
          <w:sz w:val="24"/>
          <w:szCs w:val="24"/>
        </w:rPr>
        <w:t>号恒生大厦</w:t>
      </w:r>
      <w:r w:rsidRPr="00860A19">
        <w:rPr>
          <w:rFonts w:hint="eastAsia"/>
          <w:sz w:val="24"/>
          <w:szCs w:val="24"/>
        </w:rPr>
        <w:t>12</w:t>
      </w:r>
      <w:r w:rsidRPr="00860A19">
        <w:rPr>
          <w:rFonts w:hint="eastAsia"/>
          <w:sz w:val="24"/>
          <w:szCs w:val="24"/>
        </w:rPr>
        <w:t>楼</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法定代表人：陈柏青</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0571</w:t>
      </w:r>
      <w:r w:rsidRPr="00860A19">
        <w:rPr>
          <w:rFonts w:hint="eastAsia"/>
          <w:sz w:val="24"/>
          <w:szCs w:val="24"/>
        </w:rPr>
        <w:t>）</w:t>
      </w:r>
      <w:r w:rsidRPr="00860A19">
        <w:rPr>
          <w:rFonts w:hint="eastAsia"/>
          <w:sz w:val="24"/>
          <w:szCs w:val="24"/>
        </w:rPr>
        <w:t>28829790</w:t>
      </w:r>
      <w:r w:rsidRPr="00860A19">
        <w:rPr>
          <w:rFonts w:hint="eastAsia"/>
          <w:sz w:val="24"/>
          <w:szCs w:val="24"/>
        </w:rPr>
        <w:t>，（</w:t>
      </w:r>
      <w:r w:rsidRPr="00860A19">
        <w:rPr>
          <w:rFonts w:hint="eastAsia"/>
          <w:sz w:val="24"/>
          <w:szCs w:val="24"/>
        </w:rPr>
        <w:t>021</w:t>
      </w:r>
      <w:r w:rsidRPr="00860A19">
        <w:rPr>
          <w:rFonts w:hint="eastAsia"/>
          <w:sz w:val="24"/>
          <w:szCs w:val="24"/>
        </w:rPr>
        <w:t>）</w:t>
      </w:r>
      <w:r w:rsidRPr="00860A19">
        <w:rPr>
          <w:rFonts w:hint="eastAsia"/>
          <w:sz w:val="24"/>
          <w:szCs w:val="24"/>
        </w:rPr>
        <w:t>60897869</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0571</w:t>
      </w:r>
      <w:r w:rsidRPr="00860A19">
        <w:rPr>
          <w:rFonts w:hint="eastAsia"/>
          <w:sz w:val="24"/>
          <w:szCs w:val="24"/>
        </w:rPr>
        <w:t>）</w:t>
      </w:r>
      <w:r w:rsidRPr="00860A19">
        <w:rPr>
          <w:rFonts w:hint="eastAsia"/>
          <w:sz w:val="24"/>
          <w:szCs w:val="24"/>
        </w:rPr>
        <w:t>26698533</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联系人：周</w:t>
      </w:r>
      <w:proofErr w:type="gramStart"/>
      <w:r w:rsidRPr="00860A19">
        <w:rPr>
          <w:rFonts w:hint="eastAsia"/>
          <w:sz w:val="24"/>
          <w:szCs w:val="24"/>
        </w:rPr>
        <w:t>嬿</w:t>
      </w:r>
      <w:proofErr w:type="gramEnd"/>
      <w:r w:rsidRPr="00860A19">
        <w:rPr>
          <w:rFonts w:hint="eastAsia"/>
          <w:sz w:val="24"/>
          <w:szCs w:val="24"/>
        </w:rPr>
        <w:t>旻</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4000-766-123</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www.fund123.cn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28</w:t>
      </w:r>
      <w:r w:rsidRPr="00860A19">
        <w:rPr>
          <w:rFonts w:hint="eastAsia"/>
          <w:sz w:val="24"/>
          <w:szCs w:val="24"/>
        </w:rPr>
        <w:t>）</w:t>
      </w:r>
      <w:r w:rsidRPr="00860A19">
        <w:rPr>
          <w:rFonts w:hint="eastAsia"/>
          <w:sz w:val="24"/>
          <w:szCs w:val="24"/>
        </w:rPr>
        <w:t xml:space="preserve"> </w:t>
      </w:r>
      <w:r w:rsidRPr="00860A19">
        <w:rPr>
          <w:rFonts w:hint="eastAsia"/>
          <w:sz w:val="24"/>
          <w:szCs w:val="24"/>
        </w:rPr>
        <w:t>深圳</w:t>
      </w:r>
      <w:proofErr w:type="gramStart"/>
      <w:r w:rsidRPr="00860A19">
        <w:rPr>
          <w:rFonts w:hint="eastAsia"/>
          <w:sz w:val="24"/>
          <w:szCs w:val="24"/>
        </w:rPr>
        <w:t>众禄基金</w:t>
      </w:r>
      <w:proofErr w:type="gramEnd"/>
      <w:r w:rsidRPr="00860A19">
        <w:rPr>
          <w:rFonts w:hint="eastAsia"/>
          <w:sz w:val="24"/>
          <w:szCs w:val="24"/>
        </w:rPr>
        <w:t>销售有限公司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住所：深圳市罗湖区深南东路</w:t>
      </w:r>
      <w:r w:rsidRPr="00860A19">
        <w:rPr>
          <w:rFonts w:hint="eastAsia"/>
          <w:sz w:val="24"/>
          <w:szCs w:val="24"/>
        </w:rPr>
        <w:t>5047</w:t>
      </w:r>
      <w:r w:rsidRPr="00860A19">
        <w:rPr>
          <w:rFonts w:hint="eastAsia"/>
          <w:sz w:val="24"/>
          <w:szCs w:val="24"/>
        </w:rPr>
        <w:t>号发展银行大厦</w:t>
      </w:r>
      <w:r w:rsidRPr="00860A19">
        <w:rPr>
          <w:rFonts w:hint="eastAsia"/>
          <w:sz w:val="24"/>
          <w:szCs w:val="24"/>
        </w:rPr>
        <w:t>25</w:t>
      </w:r>
      <w:r w:rsidRPr="00860A19">
        <w:rPr>
          <w:rFonts w:hint="eastAsia"/>
          <w:sz w:val="24"/>
          <w:szCs w:val="24"/>
        </w:rPr>
        <w:t>楼</w:t>
      </w:r>
      <w:r w:rsidRPr="00860A19">
        <w:rPr>
          <w:rFonts w:hint="eastAsia"/>
          <w:sz w:val="24"/>
          <w:szCs w:val="24"/>
        </w:rPr>
        <w:t>I</w:t>
      </w:r>
      <w:r w:rsidRPr="00860A19">
        <w:rPr>
          <w:rFonts w:hint="eastAsia"/>
          <w:sz w:val="24"/>
          <w:szCs w:val="24"/>
        </w:rPr>
        <w:t>、</w:t>
      </w:r>
      <w:r w:rsidRPr="00860A19">
        <w:rPr>
          <w:rFonts w:hint="eastAsia"/>
          <w:sz w:val="24"/>
          <w:szCs w:val="24"/>
        </w:rPr>
        <w:t>J</w:t>
      </w:r>
      <w:r w:rsidRPr="00860A19">
        <w:rPr>
          <w:rFonts w:hint="eastAsia"/>
          <w:sz w:val="24"/>
          <w:szCs w:val="24"/>
        </w:rPr>
        <w:t>单元</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办公地址：深圳市罗湖区深南东路</w:t>
      </w:r>
      <w:r w:rsidRPr="00860A19">
        <w:rPr>
          <w:rFonts w:hint="eastAsia"/>
          <w:sz w:val="24"/>
          <w:szCs w:val="24"/>
        </w:rPr>
        <w:t>5047</w:t>
      </w:r>
      <w:r w:rsidRPr="00860A19">
        <w:rPr>
          <w:rFonts w:hint="eastAsia"/>
          <w:sz w:val="24"/>
          <w:szCs w:val="24"/>
        </w:rPr>
        <w:t>号发展银行大厦</w:t>
      </w:r>
      <w:r w:rsidRPr="00860A19">
        <w:rPr>
          <w:rFonts w:hint="eastAsia"/>
          <w:sz w:val="24"/>
          <w:szCs w:val="24"/>
        </w:rPr>
        <w:t>25</w:t>
      </w:r>
      <w:r w:rsidRPr="00860A19">
        <w:rPr>
          <w:rFonts w:hint="eastAsia"/>
          <w:sz w:val="24"/>
          <w:szCs w:val="24"/>
        </w:rPr>
        <w:t>楼</w:t>
      </w:r>
      <w:r w:rsidRPr="00860A19">
        <w:rPr>
          <w:rFonts w:hint="eastAsia"/>
          <w:sz w:val="24"/>
          <w:szCs w:val="24"/>
        </w:rPr>
        <w:t>I</w:t>
      </w:r>
      <w:r w:rsidRPr="00860A19">
        <w:rPr>
          <w:rFonts w:hint="eastAsia"/>
          <w:sz w:val="24"/>
          <w:szCs w:val="24"/>
        </w:rPr>
        <w:t>、</w:t>
      </w:r>
      <w:r w:rsidRPr="00860A19">
        <w:rPr>
          <w:rFonts w:hint="eastAsia"/>
          <w:sz w:val="24"/>
          <w:szCs w:val="24"/>
        </w:rPr>
        <w:t>J</w:t>
      </w:r>
      <w:r w:rsidRPr="00860A19">
        <w:rPr>
          <w:rFonts w:hint="eastAsia"/>
          <w:sz w:val="24"/>
          <w:szCs w:val="24"/>
        </w:rPr>
        <w:t>单元</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法定代表人：薛峰</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33227953</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82080798</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联系人：汤素娅</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4006-788-887</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www.zlfund.cn</w:t>
      </w:r>
      <w:r w:rsidRPr="00860A19">
        <w:rPr>
          <w:rFonts w:hint="eastAsia"/>
          <w:sz w:val="24"/>
          <w:szCs w:val="24"/>
        </w:rPr>
        <w:t>，</w:t>
      </w:r>
      <w:r w:rsidRPr="00860A19">
        <w:rPr>
          <w:rFonts w:hint="eastAsia"/>
          <w:sz w:val="24"/>
          <w:szCs w:val="24"/>
        </w:rPr>
        <w:t>www.jjmmw.com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29</w:t>
      </w:r>
      <w:r w:rsidRPr="00860A19">
        <w:rPr>
          <w:rFonts w:hint="eastAsia"/>
          <w:sz w:val="24"/>
          <w:szCs w:val="24"/>
        </w:rPr>
        <w:t>）</w:t>
      </w:r>
      <w:r w:rsidRPr="00860A19">
        <w:rPr>
          <w:rFonts w:hint="eastAsia"/>
          <w:sz w:val="24"/>
          <w:szCs w:val="24"/>
        </w:rPr>
        <w:t xml:space="preserve"> </w:t>
      </w:r>
      <w:r w:rsidRPr="00860A19">
        <w:rPr>
          <w:rFonts w:hint="eastAsia"/>
          <w:sz w:val="24"/>
          <w:szCs w:val="24"/>
        </w:rPr>
        <w:t>上海长</w:t>
      </w:r>
      <w:proofErr w:type="gramStart"/>
      <w:r w:rsidRPr="00860A19">
        <w:rPr>
          <w:rFonts w:hint="eastAsia"/>
          <w:sz w:val="24"/>
          <w:szCs w:val="24"/>
        </w:rPr>
        <w:t>量基金</w:t>
      </w:r>
      <w:proofErr w:type="gramEnd"/>
      <w:r w:rsidRPr="00860A19">
        <w:rPr>
          <w:rFonts w:hint="eastAsia"/>
          <w:sz w:val="24"/>
          <w:szCs w:val="24"/>
        </w:rPr>
        <w:t>销售投资顾问有限公司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住所：上海市浦东新区高翔路</w:t>
      </w:r>
      <w:r w:rsidRPr="00860A19">
        <w:rPr>
          <w:rFonts w:hint="eastAsia"/>
          <w:sz w:val="24"/>
          <w:szCs w:val="24"/>
        </w:rPr>
        <w:t>526</w:t>
      </w:r>
      <w:r w:rsidRPr="00860A19">
        <w:rPr>
          <w:rFonts w:hint="eastAsia"/>
          <w:sz w:val="24"/>
          <w:szCs w:val="24"/>
        </w:rPr>
        <w:t>号</w:t>
      </w:r>
      <w:r w:rsidRPr="00860A19">
        <w:rPr>
          <w:rFonts w:hint="eastAsia"/>
          <w:sz w:val="24"/>
          <w:szCs w:val="24"/>
        </w:rPr>
        <w:t>2</w:t>
      </w:r>
      <w:r w:rsidRPr="00860A19">
        <w:rPr>
          <w:rFonts w:hint="eastAsia"/>
          <w:sz w:val="24"/>
          <w:szCs w:val="24"/>
        </w:rPr>
        <w:t>幢</w:t>
      </w:r>
      <w:r w:rsidRPr="00860A19">
        <w:rPr>
          <w:rFonts w:hint="eastAsia"/>
          <w:sz w:val="24"/>
          <w:szCs w:val="24"/>
        </w:rPr>
        <w:t>220</w:t>
      </w:r>
      <w:r w:rsidRPr="00860A19">
        <w:rPr>
          <w:rFonts w:hint="eastAsia"/>
          <w:sz w:val="24"/>
          <w:szCs w:val="24"/>
        </w:rPr>
        <w:t>室</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办公地址：上海市浦东新区浦东大道</w:t>
      </w:r>
      <w:r w:rsidRPr="00860A19">
        <w:rPr>
          <w:rFonts w:hint="eastAsia"/>
          <w:sz w:val="24"/>
          <w:szCs w:val="24"/>
        </w:rPr>
        <w:t>555</w:t>
      </w:r>
      <w:r w:rsidRPr="00860A19">
        <w:rPr>
          <w:rFonts w:hint="eastAsia"/>
          <w:sz w:val="24"/>
          <w:szCs w:val="24"/>
        </w:rPr>
        <w:t>号裕</w:t>
      </w:r>
      <w:proofErr w:type="gramStart"/>
      <w:r w:rsidRPr="00860A19">
        <w:rPr>
          <w:rFonts w:hint="eastAsia"/>
          <w:sz w:val="24"/>
          <w:szCs w:val="24"/>
        </w:rPr>
        <w:t>景国际</w:t>
      </w:r>
      <w:proofErr w:type="gramEnd"/>
      <w:r w:rsidRPr="00860A19">
        <w:rPr>
          <w:rFonts w:hint="eastAsia"/>
          <w:sz w:val="24"/>
          <w:szCs w:val="24"/>
        </w:rPr>
        <w:t>B</w:t>
      </w:r>
      <w:r w:rsidRPr="00860A19">
        <w:rPr>
          <w:rFonts w:hint="eastAsia"/>
          <w:sz w:val="24"/>
          <w:szCs w:val="24"/>
        </w:rPr>
        <w:t>座</w:t>
      </w:r>
      <w:r w:rsidRPr="00860A19">
        <w:rPr>
          <w:rFonts w:hint="eastAsia"/>
          <w:sz w:val="24"/>
          <w:szCs w:val="24"/>
        </w:rPr>
        <w:t>16</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法定代表人：张跃伟</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20691835</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 xml:space="preserve">20691861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联系人：单丙烨</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400-089-1289 </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网址：</w:t>
      </w:r>
      <w:r w:rsidRPr="00860A19">
        <w:rPr>
          <w:rFonts w:hint="eastAsia"/>
          <w:sz w:val="24"/>
          <w:szCs w:val="24"/>
        </w:rPr>
        <w:t>www.erichfund.com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30</w:t>
      </w:r>
      <w:r w:rsidRPr="00860A19">
        <w:rPr>
          <w:rFonts w:hint="eastAsia"/>
          <w:sz w:val="24"/>
          <w:szCs w:val="24"/>
        </w:rPr>
        <w:t>）上海好买基金销售有限公司</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住所：上海市虹口区场中路</w:t>
      </w:r>
      <w:r w:rsidRPr="00860A19">
        <w:rPr>
          <w:rFonts w:hint="eastAsia"/>
          <w:sz w:val="24"/>
          <w:szCs w:val="24"/>
        </w:rPr>
        <w:t>685</w:t>
      </w:r>
      <w:r w:rsidRPr="00860A19">
        <w:rPr>
          <w:rFonts w:hint="eastAsia"/>
          <w:sz w:val="24"/>
          <w:szCs w:val="24"/>
        </w:rPr>
        <w:t>弄</w:t>
      </w:r>
      <w:r w:rsidRPr="00860A19">
        <w:rPr>
          <w:rFonts w:hint="eastAsia"/>
          <w:sz w:val="24"/>
          <w:szCs w:val="24"/>
        </w:rPr>
        <w:t>37</w:t>
      </w:r>
      <w:r w:rsidRPr="00860A19">
        <w:rPr>
          <w:rFonts w:hint="eastAsia"/>
          <w:sz w:val="24"/>
          <w:szCs w:val="24"/>
        </w:rPr>
        <w:t>号</w:t>
      </w:r>
      <w:r w:rsidRPr="00860A19">
        <w:rPr>
          <w:rFonts w:hint="eastAsia"/>
          <w:sz w:val="24"/>
          <w:szCs w:val="24"/>
        </w:rPr>
        <w:t>4</w:t>
      </w:r>
      <w:r w:rsidRPr="00860A19">
        <w:rPr>
          <w:rFonts w:hint="eastAsia"/>
          <w:sz w:val="24"/>
          <w:szCs w:val="24"/>
        </w:rPr>
        <w:t>号楼</w:t>
      </w:r>
      <w:r w:rsidRPr="00860A19">
        <w:rPr>
          <w:rFonts w:hint="eastAsia"/>
          <w:sz w:val="24"/>
          <w:szCs w:val="24"/>
        </w:rPr>
        <w:t>449</w:t>
      </w:r>
      <w:r w:rsidRPr="00860A19">
        <w:rPr>
          <w:rFonts w:hint="eastAsia"/>
          <w:sz w:val="24"/>
          <w:szCs w:val="24"/>
        </w:rPr>
        <w:t>室</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办公地址：上海市浦东新区浦东南路</w:t>
      </w:r>
      <w:r w:rsidRPr="00860A19">
        <w:rPr>
          <w:rFonts w:hint="eastAsia"/>
          <w:sz w:val="24"/>
          <w:szCs w:val="24"/>
        </w:rPr>
        <w:t>1118</w:t>
      </w:r>
      <w:r w:rsidRPr="00860A19">
        <w:rPr>
          <w:rFonts w:hint="eastAsia"/>
          <w:sz w:val="24"/>
          <w:szCs w:val="24"/>
        </w:rPr>
        <w:t>号鄂尔多斯国际大厦</w:t>
      </w:r>
      <w:r w:rsidRPr="00860A19">
        <w:rPr>
          <w:rFonts w:hint="eastAsia"/>
          <w:sz w:val="24"/>
          <w:szCs w:val="24"/>
        </w:rPr>
        <w:t>903-906</w:t>
      </w:r>
      <w:r w:rsidRPr="00860A19">
        <w:rPr>
          <w:rFonts w:hint="eastAsia"/>
          <w:sz w:val="24"/>
          <w:szCs w:val="24"/>
        </w:rPr>
        <w:t>室</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法定代表人：杨文斌</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 xml:space="preserve">68596916 </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联系人：薛年</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400-700-9665 </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www.ehowbuy.com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31</w:t>
      </w:r>
      <w:r w:rsidRPr="00860A19">
        <w:rPr>
          <w:rFonts w:hint="eastAsia"/>
          <w:sz w:val="24"/>
          <w:szCs w:val="24"/>
        </w:rPr>
        <w:t>）诺亚正行</w:t>
      </w:r>
      <w:r w:rsidRPr="00860A19">
        <w:rPr>
          <w:rFonts w:hint="eastAsia"/>
          <w:sz w:val="24"/>
          <w:szCs w:val="24"/>
        </w:rPr>
        <w:t>(</w:t>
      </w:r>
      <w:r w:rsidRPr="00860A19">
        <w:rPr>
          <w:rFonts w:hint="eastAsia"/>
          <w:sz w:val="24"/>
          <w:szCs w:val="24"/>
        </w:rPr>
        <w:t>上海</w:t>
      </w:r>
      <w:r w:rsidRPr="00860A19">
        <w:rPr>
          <w:rFonts w:hint="eastAsia"/>
          <w:sz w:val="24"/>
          <w:szCs w:val="24"/>
        </w:rPr>
        <w:t>)</w:t>
      </w:r>
      <w:r w:rsidRPr="00860A19">
        <w:rPr>
          <w:rFonts w:hint="eastAsia"/>
          <w:sz w:val="24"/>
          <w:szCs w:val="24"/>
        </w:rPr>
        <w:t>基金销售投资顾问有限公司</w:t>
      </w:r>
    </w:p>
    <w:p w:rsidR="002B182D" w:rsidRPr="00860A19" w:rsidRDefault="002B182D" w:rsidP="002B182D">
      <w:pPr>
        <w:spacing w:line="360" w:lineRule="auto"/>
        <w:ind w:firstLineChars="200" w:firstLine="480"/>
        <w:rPr>
          <w:sz w:val="24"/>
          <w:szCs w:val="24"/>
        </w:rPr>
      </w:pPr>
      <w:r w:rsidRPr="00860A19">
        <w:rPr>
          <w:rFonts w:hint="eastAsia"/>
          <w:sz w:val="24"/>
          <w:szCs w:val="24"/>
        </w:rPr>
        <w:t>住所：上海市虹口区飞虹路</w:t>
      </w:r>
      <w:r w:rsidRPr="00860A19">
        <w:rPr>
          <w:rFonts w:hint="eastAsia"/>
          <w:sz w:val="24"/>
          <w:szCs w:val="24"/>
        </w:rPr>
        <w:t>360</w:t>
      </w:r>
      <w:r w:rsidRPr="00860A19">
        <w:rPr>
          <w:rFonts w:hint="eastAsia"/>
          <w:sz w:val="24"/>
          <w:szCs w:val="24"/>
        </w:rPr>
        <w:t>弄</w:t>
      </w:r>
      <w:r w:rsidRPr="00860A19">
        <w:rPr>
          <w:rFonts w:hint="eastAsia"/>
          <w:sz w:val="24"/>
          <w:szCs w:val="24"/>
        </w:rPr>
        <w:t>9</w:t>
      </w:r>
      <w:r w:rsidRPr="00860A19">
        <w:rPr>
          <w:rFonts w:hint="eastAsia"/>
          <w:sz w:val="24"/>
          <w:szCs w:val="24"/>
        </w:rPr>
        <w:t>号</w:t>
      </w:r>
      <w:r w:rsidRPr="00860A19">
        <w:rPr>
          <w:rFonts w:hint="eastAsia"/>
          <w:sz w:val="24"/>
          <w:szCs w:val="24"/>
        </w:rPr>
        <w:t>3724</w:t>
      </w:r>
      <w:r w:rsidRPr="00860A19">
        <w:rPr>
          <w:rFonts w:hint="eastAsia"/>
          <w:sz w:val="24"/>
          <w:szCs w:val="24"/>
        </w:rPr>
        <w:t>室</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办公地址：上海杨浦区秦皇岛路</w:t>
      </w:r>
      <w:r w:rsidRPr="00860A19">
        <w:rPr>
          <w:rFonts w:hint="eastAsia"/>
          <w:sz w:val="24"/>
          <w:szCs w:val="24"/>
        </w:rPr>
        <w:t>32</w:t>
      </w:r>
      <w:r w:rsidRPr="00860A19">
        <w:rPr>
          <w:rFonts w:hint="eastAsia"/>
          <w:sz w:val="24"/>
          <w:szCs w:val="24"/>
        </w:rPr>
        <w:t>号</w:t>
      </w:r>
      <w:r w:rsidRPr="00860A19">
        <w:rPr>
          <w:rFonts w:hint="eastAsia"/>
          <w:sz w:val="24"/>
          <w:szCs w:val="24"/>
        </w:rPr>
        <w:t>C</w:t>
      </w:r>
      <w:r w:rsidRPr="00860A19">
        <w:rPr>
          <w:rFonts w:hint="eastAsia"/>
          <w:sz w:val="24"/>
          <w:szCs w:val="24"/>
        </w:rPr>
        <w:t>栋</w:t>
      </w:r>
      <w:r w:rsidRPr="00860A19">
        <w:rPr>
          <w:rFonts w:hint="eastAsia"/>
          <w:sz w:val="24"/>
          <w:szCs w:val="24"/>
        </w:rPr>
        <w:t xml:space="preserve"> 2</w:t>
      </w:r>
      <w:r w:rsidRPr="00860A19">
        <w:rPr>
          <w:rFonts w:hint="eastAsia"/>
          <w:sz w:val="24"/>
          <w:szCs w:val="24"/>
        </w:rPr>
        <w:t>楼</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法定代表人：汪静波</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38600735</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38509777</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联系人：方成</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400-821-5399</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www.noah-fund.com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32</w:t>
      </w:r>
      <w:r w:rsidRPr="00860A19">
        <w:rPr>
          <w:rFonts w:hint="eastAsia"/>
          <w:sz w:val="24"/>
          <w:szCs w:val="24"/>
        </w:rPr>
        <w:t>）和讯信息科技有限公司</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住所：北京市朝阳区朝外大街</w:t>
      </w:r>
      <w:proofErr w:type="gramStart"/>
      <w:r w:rsidRPr="00860A19">
        <w:rPr>
          <w:rFonts w:hint="eastAsia"/>
          <w:sz w:val="24"/>
          <w:szCs w:val="24"/>
        </w:rPr>
        <w:t>22</w:t>
      </w:r>
      <w:r w:rsidRPr="00860A19">
        <w:rPr>
          <w:rFonts w:hint="eastAsia"/>
          <w:sz w:val="24"/>
          <w:szCs w:val="24"/>
        </w:rPr>
        <w:t>号泛利大厦</w:t>
      </w:r>
      <w:proofErr w:type="gramEnd"/>
      <w:r w:rsidRPr="00860A19">
        <w:rPr>
          <w:rFonts w:hint="eastAsia"/>
          <w:sz w:val="24"/>
          <w:szCs w:val="24"/>
        </w:rPr>
        <w:t>10</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办公地址：北京市朝阳区朝外大街</w:t>
      </w:r>
      <w:proofErr w:type="gramStart"/>
      <w:r w:rsidRPr="00860A19">
        <w:rPr>
          <w:rFonts w:hint="eastAsia"/>
          <w:sz w:val="24"/>
          <w:szCs w:val="24"/>
        </w:rPr>
        <w:t>22</w:t>
      </w:r>
      <w:r w:rsidRPr="00860A19">
        <w:rPr>
          <w:rFonts w:hint="eastAsia"/>
          <w:sz w:val="24"/>
          <w:szCs w:val="24"/>
        </w:rPr>
        <w:t>号泛利大厦</w:t>
      </w:r>
      <w:proofErr w:type="gramEnd"/>
      <w:r w:rsidRPr="00860A19">
        <w:rPr>
          <w:rFonts w:hint="eastAsia"/>
          <w:sz w:val="24"/>
          <w:szCs w:val="24"/>
        </w:rPr>
        <w:t>10</w:t>
      </w:r>
      <w:r w:rsidRPr="00860A19">
        <w:rPr>
          <w:rFonts w:hint="eastAsia"/>
          <w:sz w:val="24"/>
          <w:szCs w:val="24"/>
        </w:rPr>
        <w:t>层</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法定代表人：王莉</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20835789</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20835879</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联系人：周轶</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4009200022</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http://licaike.hexun.com/</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33</w:t>
      </w:r>
      <w:r w:rsidRPr="00860A19">
        <w:rPr>
          <w:rFonts w:hint="eastAsia"/>
          <w:sz w:val="24"/>
          <w:szCs w:val="24"/>
        </w:rPr>
        <w:t>）上海天天基金销售有限公司</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lastRenderedPageBreak/>
        <w:t>住所：上海市徐汇区龙田路</w:t>
      </w:r>
      <w:r w:rsidRPr="00860A19">
        <w:rPr>
          <w:rFonts w:hint="eastAsia"/>
          <w:sz w:val="24"/>
          <w:szCs w:val="24"/>
        </w:rPr>
        <w:t>190</w:t>
      </w:r>
      <w:r w:rsidRPr="00860A19">
        <w:rPr>
          <w:rFonts w:hint="eastAsia"/>
          <w:sz w:val="24"/>
          <w:szCs w:val="24"/>
        </w:rPr>
        <w:t>号</w:t>
      </w:r>
      <w:r w:rsidRPr="00860A19">
        <w:rPr>
          <w:rFonts w:hint="eastAsia"/>
          <w:sz w:val="24"/>
          <w:szCs w:val="24"/>
        </w:rPr>
        <w:t>2</w:t>
      </w:r>
      <w:r w:rsidRPr="00860A19">
        <w:rPr>
          <w:rFonts w:hint="eastAsia"/>
          <w:sz w:val="24"/>
          <w:szCs w:val="24"/>
        </w:rPr>
        <w:t>号楼</w:t>
      </w:r>
      <w:r w:rsidRPr="00860A19">
        <w:rPr>
          <w:rFonts w:hint="eastAsia"/>
          <w:sz w:val="24"/>
          <w:szCs w:val="24"/>
        </w:rPr>
        <w:t>2</w:t>
      </w:r>
      <w:r w:rsidRPr="00860A19">
        <w:rPr>
          <w:rFonts w:hint="eastAsia"/>
          <w:sz w:val="24"/>
          <w:szCs w:val="24"/>
        </w:rPr>
        <w:t>层</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办公地址：上海市徐汇区龙田路</w:t>
      </w:r>
      <w:r w:rsidRPr="00860A19">
        <w:rPr>
          <w:rFonts w:hint="eastAsia"/>
          <w:sz w:val="24"/>
          <w:szCs w:val="24"/>
        </w:rPr>
        <w:t>195</w:t>
      </w:r>
      <w:r w:rsidRPr="00860A19">
        <w:rPr>
          <w:rFonts w:hint="eastAsia"/>
          <w:sz w:val="24"/>
          <w:szCs w:val="24"/>
        </w:rPr>
        <w:t>号</w:t>
      </w:r>
      <w:r w:rsidRPr="00860A19">
        <w:rPr>
          <w:rFonts w:hint="eastAsia"/>
          <w:sz w:val="24"/>
          <w:szCs w:val="24"/>
        </w:rPr>
        <w:t>3C</w:t>
      </w:r>
      <w:r w:rsidRPr="00860A19">
        <w:rPr>
          <w:rFonts w:hint="eastAsia"/>
          <w:sz w:val="24"/>
          <w:szCs w:val="24"/>
        </w:rPr>
        <w:t>座</w:t>
      </w:r>
      <w:r w:rsidRPr="00860A19">
        <w:rPr>
          <w:rFonts w:hint="eastAsia"/>
          <w:sz w:val="24"/>
          <w:szCs w:val="24"/>
        </w:rPr>
        <w:t>10</w:t>
      </w:r>
      <w:r w:rsidRPr="00860A19">
        <w:rPr>
          <w:rFonts w:hint="eastAsia"/>
          <w:sz w:val="24"/>
          <w:szCs w:val="24"/>
        </w:rPr>
        <w:t>楼</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法定代表人：其实</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54509998</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64385308</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联系人：潘世友</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400-1818-188</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www.1234567.com.cn</w:t>
      </w:r>
    </w:p>
    <w:p w:rsidR="002B182D" w:rsidRPr="00860A19" w:rsidRDefault="002B182D" w:rsidP="002B182D">
      <w:pPr>
        <w:spacing w:line="360" w:lineRule="auto"/>
        <w:ind w:firstLineChars="200" w:firstLine="480"/>
        <w:rPr>
          <w:sz w:val="24"/>
          <w:szCs w:val="24"/>
        </w:rPr>
      </w:pPr>
      <w:r w:rsidRPr="00860A19">
        <w:rPr>
          <w:rFonts w:hint="eastAsia"/>
          <w:sz w:val="24"/>
          <w:szCs w:val="24"/>
        </w:rPr>
        <w:t>（</w:t>
      </w:r>
      <w:r>
        <w:rPr>
          <w:rFonts w:hint="eastAsia"/>
          <w:sz w:val="24"/>
          <w:szCs w:val="24"/>
        </w:rPr>
        <w:t>34</w:t>
      </w:r>
      <w:r w:rsidRPr="00860A19">
        <w:rPr>
          <w:rFonts w:hint="eastAsia"/>
          <w:sz w:val="24"/>
          <w:szCs w:val="24"/>
        </w:rPr>
        <w:t>）北京钱景财富投资管理有限公司</w:t>
      </w:r>
      <w:r w:rsidRPr="00860A19">
        <w:rPr>
          <w:rFonts w:hint="eastAsia"/>
          <w:sz w:val="24"/>
          <w:szCs w:val="24"/>
        </w:rPr>
        <w:t xml:space="preserve"> </w:t>
      </w:r>
    </w:p>
    <w:p w:rsidR="002B182D" w:rsidRPr="00860A19" w:rsidRDefault="002B182D" w:rsidP="002B182D">
      <w:pPr>
        <w:spacing w:line="360" w:lineRule="auto"/>
        <w:ind w:firstLineChars="200" w:firstLine="480"/>
        <w:rPr>
          <w:sz w:val="24"/>
          <w:szCs w:val="24"/>
        </w:rPr>
      </w:pPr>
      <w:r w:rsidRPr="00860A19">
        <w:rPr>
          <w:rFonts w:hint="eastAsia"/>
          <w:sz w:val="24"/>
          <w:szCs w:val="24"/>
        </w:rPr>
        <w:t>住所：北京市海淀区丹棱街</w:t>
      </w:r>
      <w:r w:rsidRPr="00860A19">
        <w:rPr>
          <w:rFonts w:hint="eastAsia"/>
          <w:sz w:val="24"/>
          <w:szCs w:val="24"/>
        </w:rPr>
        <w:t>6</w:t>
      </w:r>
      <w:r w:rsidRPr="00860A19">
        <w:rPr>
          <w:rFonts w:hint="eastAsia"/>
          <w:sz w:val="24"/>
          <w:szCs w:val="24"/>
        </w:rPr>
        <w:t>幢</w:t>
      </w:r>
      <w:r w:rsidRPr="00860A19">
        <w:rPr>
          <w:rFonts w:hint="eastAsia"/>
          <w:sz w:val="24"/>
          <w:szCs w:val="24"/>
        </w:rPr>
        <w:t>1</w:t>
      </w:r>
      <w:r w:rsidRPr="00860A19">
        <w:rPr>
          <w:rFonts w:hint="eastAsia"/>
          <w:sz w:val="24"/>
          <w:szCs w:val="24"/>
        </w:rPr>
        <w:t>号</w:t>
      </w:r>
      <w:r w:rsidRPr="00860A19">
        <w:rPr>
          <w:rFonts w:hint="eastAsia"/>
          <w:sz w:val="24"/>
          <w:szCs w:val="24"/>
        </w:rPr>
        <w:t>9</w:t>
      </w:r>
      <w:r w:rsidRPr="00860A19">
        <w:rPr>
          <w:rFonts w:hint="eastAsia"/>
          <w:sz w:val="24"/>
          <w:szCs w:val="24"/>
        </w:rPr>
        <w:t>层</w:t>
      </w:r>
      <w:r w:rsidRPr="00860A19">
        <w:rPr>
          <w:rFonts w:hint="eastAsia"/>
          <w:sz w:val="24"/>
          <w:szCs w:val="24"/>
        </w:rPr>
        <w:t>1008-1012</w:t>
      </w:r>
    </w:p>
    <w:p w:rsidR="002B182D" w:rsidRPr="00860A19" w:rsidRDefault="002B182D" w:rsidP="002B182D">
      <w:pPr>
        <w:spacing w:line="360" w:lineRule="auto"/>
        <w:ind w:firstLineChars="200" w:firstLine="480"/>
        <w:rPr>
          <w:sz w:val="24"/>
          <w:szCs w:val="24"/>
        </w:rPr>
      </w:pPr>
      <w:r w:rsidRPr="00860A19">
        <w:rPr>
          <w:rFonts w:hint="eastAsia"/>
          <w:sz w:val="24"/>
          <w:szCs w:val="24"/>
        </w:rPr>
        <w:t>办公地址：北京市海淀区丹棱街</w:t>
      </w:r>
      <w:r w:rsidRPr="00860A19">
        <w:rPr>
          <w:rFonts w:hint="eastAsia"/>
          <w:sz w:val="24"/>
          <w:szCs w:val="24"/>
        </w:rPr>
        <w:t>6</w:t>
      </w:r>
      <w:r w:rsidRPr="00860A19">
        <w:rPr>
          <w:rFonts w:hint="eastAsia"/>
          <w:sz w:val="24"/>
          <w:szCs w:val="24"/>
        </w:rPr>
        <w:t>幢</w:t>
      </w:r>
      <w:r w:rsidRPr="00860A19">
        <w:rPr>
          <w:rFonts w:hint="eastAsia"/>
          <w:sz w:val="24"/>
          <w:szCs w:val="24"/>
        </w:rPr>
        <w:t>1</w:t>
      </w:r>
      <w:r w:rsidRPr="00860A19">
        <w:rPr>
          <w:rFonts w:hint="eastAsia"/>
          <w:sz w:val="24"/>
          <w:szCs w:val="24"/>
        </w:rPr>
        <w:t>号</w:t>
      </w:r>
      <w:r w:rsidRPr="00860A19">
        <w:rPr>
          <w:rFonts w:hint="eastAsia"/>
          <w:sz w:val="24"/>
          <w:szCs w:val="24"/>
        </w:rPr>
        <w:t>9</w:t>
      </w:r>
      <w:r w:rsidRPr="00860A19">
        <w:rPr>
          <w:rFonts w:hint="eastAsia"/>
          <w:sz w:val="24"/>
          <w:szCs w:val="24"/>
        </w:rPr>
        <w:t>层</w:t>
      </w:r>
      <w:r w:rsidRPr="00860A19">
        <w:rPr>
          <w:rFonts w:hint="eastAsia"/>
          <w:sz w:val="24"/>
          <w:szCs w:val="24"/>
        </w:rPr>
        <w:t>1008-1012</w:t>
      </w:r>
    </w:p>
    <w:p w:rsidR="002B182D" w:rsidRPr="00860A19" w:rsidRDefault="002B182D" w:rsidP="002B182D">
      <w:pPr>
        <w:spacing w:line="360" w:lineRule="auto"/>
        <w:ind w:firstLineChars="200" w:firstLine="480"/>
        <w:rPr>
          <w:sz w:val="24"/>
          <w:szCs w:val="24"/>
        </w:rPr>
      </w:pPr>
      <w:r w:rsidRPr="00860A19">
        <w:rPr>
          <w:rFonts w:hint="eastAsia"/>
          <w:sz w:val="24"/>
          <w:szCs w:val="24"/>
        </w:rPr>
        <w:t>法定代表人：赵荣春</w:t>
      </w:r>
    </w:p>
    <w:p w:rsidR="002B182D" w:rsidRPr="00860A19" w:rsidRDefault="002B182D" w:rsidP="002B182D">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57418829</w:t>
      </w:r>
    </w:p>
    <w:p w:rsidR="002B182D" w:rsidRPr="00860A19" w:rsidRDefault="002B182D" w:rsidP="002B182D">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57569671</w:t>
      </w:r>
    </w:p>
    <w:p w:rsidR="002B182D" w:rsidRPr="00860A19" w:rsidRDefault="002B182D" w:rsidP="002B182D">
      <w:pPr>
        <w:spacing w:line="360" w:lineRule="auto"/>
        <w:ind w:firstLineChars="200" w:firstLine="480"/>
        <w:rPr>
          <w:sz w:val="24"/>
          <w:szCs w:val="24"/>
        </w:rPr>
      </w:pPr>
      <w:r w:rsidRPr="00860A19">
        <w:rPr>
          <w:rFonts w:hint="eastAsia"/>
          <w:sz w:val="24"/>
          <w:szCs w:val="24"/>
        </w:rPr>
        <w:t>联系人：</w:t>
      </w:r>
      <w:r w:rsidRPr="00860A19">
        <w:rPr>
          <w:rFonts w:hint="eastAsia"/>
          <w:sz w:val="24"/>
          <w:szCs w:val="24"/>
        </w:rPr>
        <w:t xml:space="preserve"> </w:t>
      </w:r>
      <w:r w:rsidRPr="00860A19">
        <w:rPr>
          <w:rFonts w:hint="eastAsia"/>
          <w:sz w:val="24"/>
          <w:szCs w:val="24"/>
        </w:rPr>
        <w:t>魏争</w:t>
      </w:r>
    </w:p>
    <w:p w:rsidR="002B182D" w:rsidRPr="00860A19" w:rsidRDefault="002B182D" w:rsidP="002B182D">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 400-678-5095</w:t>
      </w:r>
    </w:p>
    <w:p w:rsidR="002B182D" w:rsidRPr="00860A19" w:rsidRDefault="002B182D" w:rsidP="002B182D">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www.niuji.net</w:t>
      </w:r>
    </w:p>
    <w:p w:rsidR="00B67D8A" w:rsidRDefault="00B67D8A">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rsidR="00B67D8A" w:rsidRDefault="00B67D8A">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rsidR="00B67D8A" w:rsidRDefault="00B67D8A">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rsidR="00B67D8A" w:rsidRDefault="00B67D8A">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rsidR="00B67D8A" w:rsidRDefault="00B67D8A">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rsidR="00B67D8A" w:rsidRDefault="00B67D8A">
      <w:pPr>
        <w:adjustRightInd w:val="0"/>
        <w:snapToGrid w:val="0"/>
        <w:spacing w:line="360" w:lineRule="auto"/>
        <w:ind w:firstLineChars="200" w:firstLine="480"/>
        <w:rPr>
          <w:kern w:val="0"/>
          <w:sz w:val="24"/>
        </w:rPr>
      </w:pPr>
      <w:r>
        <w:rPr>
          <w:kern w:val="0"/>
          <w:sz w:val="24"/>
        </w:rPr>
        <w:t>法定代表人：</w:t>
      </w:r>
      <w:r w:rsidR="00B6063D">
        <w:rPr>
          <w:rFonts w:hint="eastAsia"/>
          <w:kern w:val="0"/>
          <w:sz w:val="24"/>
        </w:rPr>
        <w:t>周明</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rsidR="00B67D8A" w:rsidRDefault="00B67D8A">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rsidR="00B67D8A" w:rsidRDefault="00B67D8A">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rsidR="00B67D8A" w:rsidRDefault="00B67D8A">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rsidR="00B67D8A" w:rsidRDefault="00B67D8A">
      <w:pPr>
        <w:widowControl/>
        <w:adjustRightInd w:val="0"/>
        <w:snapToGrid w:val="0"/>
        <w:spacing w:line="360" w:lineRule="auto"/>
        <w:ind w:firstLineChars="200" w:firstLine="480"/>
        <w:outlineLvl w:val="1"/>
        <w:rPr>
          <w:kern w:val="0"/>
          <w:sz w:val="24"/>
        </w:rPr>
      </w:pPr>
      <w:r>
        <w:rPr>
          <w:kern w:val="0"/>
          <w:sz w:val="24"/>
        </w:rPr>
        <w:lastRenderedPageBreak/>
        <w:t>名称：上海市通力律师事务所</w:t>
      </w:r>
      <w:r>
        <w:rPr>
          <w:kern w:val="0"/>
          <w:sz w:val="24"/>
        </w:rPr>
        <w:t xml:space="preserve"> </w:t>
      </w:r>
    </w:p>
    <w:p w:rsidR="00B67D8A" w:rsidRDefault="00B67D8A">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rsidR="00B67D8A" w:rsidRDefault="00B67D8A">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rsidR="00B67D8A" w:rsidRDefault="00B67D8A">
      <w:pPr>
        <w:widowControl/>
        <w:adjustRightInd w:val="0"/>
        <w:snapToGrid w:val="0"/>
        <w:spacing w:line="360" w:lineRule="auto"/>
        <w:ind w:firstLineChars="200" w:firstLine="480"/>
        <w:outlineLvl w:val="1"/>
        <w:rPr>
          <w:kern w:val="0"/>
          <w:sz w:val="24"/>
        </w:rPr>
      </w:pPr>
      <w:r>
        <w:rPr>
          <w:kern w:val="0"/>
          <w:sz w:val="24"/>
        </w:rPr>
        <w:t>负责人：</w:t>
      </w:r>
      <w:r w:rsidR="000C620D">
        <w:rPr>
          <w:rFonts w:hint="eastAsia"/>
          <w:kern w:val="0"/>
          <w:sz w:val="24"/>
        </w:rPr>
        <w:t>俞卫锋</w:t>
      </w:r>
    </w:p>
    <w:p w:rsidR="00B67D8A" w:rsidRDefault="00B67D8A">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rsidR="00B67D8A" w:rsidRDefault="00B67D8A">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rsidR="00B67D8A" w:rsidRDefault="00B67D8A">
      <w:pPr>
        <w:widowControl/>
        <w:adjustRightInd w:val="0"/>
        <w:snapToGrid w:val="0"/>
        <w:spacing w:line="360" w:lineRule="auto"/>
        <w:ind w:firstLineChars="200" w:firstLine="480"/>
        <w:outlineLvl w:val="1"/>
        <w:rPr>
          <w:kern w:val="0"/>
          <w:sz w:val="24"/>
        </w:rPr>
      </w:pPr>
      <w:r>
        <w:rPr>
          <w:kern w:val="0"/>
          <w:sz w:val="24"/>
        </w:rPr>
        <w:t>联系人：黎明</w:t>
      </w:r>
    </w:p>
    <w:p w:rsidR="00B67D8A" w:rsidRDefault="00B67D8A">
      <w:pPr>
        <w:adjustRightInd w:val="0"/>
        <w:snapToGrid w:val="0"/>
        <w:spacing w:line="360" w:lineRule="auto"/>
        <w:ind w:firstLineChars="200" w:firstLine="480"/>
        <w:rPr>
          <w:kern w:val="0"/>
          <w:sz w:val="24"/>
        </w:rPr>
      </w:pPr>
      <w:r>
        <w:rPr>
          <w:kern w:val="0"/>
          <w:sz w:val="24"/>
        </w:rPr>
        <w:t>经办律师：吕红、黎明</w:t>
      </w:r>
    </w:p>
    <w:p w:rsidR="00B67D8A" w:rsidRDefault="00B67D8A">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rsidR="00B67D8A" w:rsidRDefault="00B67D8A">
      <w:pPr>
        <w:widowControl/>
        <w:adjustRightInd w:val="0"/>
        <w:snapToGrid w:val="0"/>
        <w:spacing w:line="360" w:lineRule="auto"/>
        <w:ind w:firstLineChars="200" w:firstLine="480"/>
        <w:outlineLvl w:val="1"/>
        <w:rPr>
          <w:kern w:val="0"/>
          <w:sz w:val="24"/>
        </w:rPr>
      </w:pPr>
      <w:r>
        <w:rPr>
          <w:kern w:val="0"/>
          <w:sz w:val="24"/>
        </w:rPr>
        <w:t>名称：</w:t>
      </w:r>
      <w:r>
        <w:rPr>
          <w:rFonts w:hAnsi="宋体" w:hint="eastAsia"/>
          <w:kern w:val="0"/>
          <w:sz w:val="24"/>
        </w:rPr>
        <w:t>普华永道中天会计师事务所（特殊普通合伙）</w:t>
      </w:r>
    </w:p>
    <w:p w:rsidR="00B67D8A" w:rsidRDefault="00B67D8A">
      <w:pPr>
        <w:widowControl/>
        <w:adjustRightInd w:val="0"/>
        <w:snapToGrid w:val="0"/>
        <w:spacing w:line="360" w:lineRule="auto"/>
        <w:ind w:firstLineChars="200" w:firstLine="480"/>
        <w:outlineLvl w:val="1"/>
        <w:rPr>
          <w:kern w:val="0"/>
          <w:sz w:val="24"/>
        </w:rPr>
      </w:pPr>
      <w:r>
        <w:rPr>
          <w:kern w:val="0"/>
          <w:sz w:val="24"/>
        </w:rPr>
        <w:t>住所：上海市浦东新区陆家嘴环路</w:t>
      </w:r>
      <w:r>
        <w:rPr>
          <w:kern w:val="0"/>
          <w:sz w:val="24"/>
        </w:rPr>
        <w:t>1318</w:t>
      </w:r>
      <w:r>
        <w:rPr>
          <w:kern w:val="0"/>
          <w:sz w:val="24"/>
        </w:rPr>
        <w:t>号</w:t>
      </w:r>
      <w:proofErr w:type="gramStart"/>
      <w:r>
        <w:rPr>
          <w:kern w:val="0"/>
          <w:sz w:val="24"/>
        </w:rPr>
        <w:t>星展银行</w:t>
      </w:r>
      <w:proofErr w:type="gramEnd"/>
      <w:r>
        <w:rPr>
          <w:kern w:val="0"/>
          <w:sz w:val="24"/>
        </w:rPr>
        <w:t>大厦</w:t>
      </w:r>
      <w:r>
        <w:rPr>
          <w:kern w:val="0"/>
          <w:sz w:val="24"/>
        </w:rPr>
        <w:t>6</w:t>
      </w:r>
      <w:r>
        <w:rPr>
          <w:kern w:val="0"/>
          <w:sz w:val="24"/>
        </w:rPr>
        <w:t>楼</w:t>
      </w:r>
    </w:p>
    <w:p w:rsidR="00B67D8A" w:rsidRDefault="00B67D8A">
      <w:pPr>
        <w:widowControl/>
        <w:adjustRightInd w:val="0"/>
        <w:snapToGrid w:val="0"/>
        <w:spacing w:line="360" w:lineRule="auto"/>
        <w:ind w:firstLineChars="200" w:firstLine="480"/>
        <w:outlineLvl w:val="1"/>
        <w:rPr>
          <w:kern w:val="0"/>
          <w:sz w:val="24"/>
        </w:rPr>
      </w:pPr>
      <w:r>
        <w:rPr>
          <w:kern w:val="0"/>
          <w:sz w:val="24"/>
        </w:rPr>
        <w:t>办公地址：上海市湖滨路</w:t>
      </w:r>
      <w:r>
        <w:rPr>
          <w:kern w:val="0"/>
          <w:sz w:val="24"/>
        </w:rPr>
        <w:t>202</w:t>
      </w:r>
      <w:r>
        <w:rPr>
          <w:kern w:val="0"/>
          <w:sz w:val="24"/>
        </w:rPr>
        <w:t>号普华永道中心</w:t>
      </w:r>
      <w:r>
        <w:rPr>
          <w:kern w:val="0"/>
          <w:sz w:val="24"/>
        </w:rPr>
        <w:t>11</w:t>
      </w:r>
      <w:r>
        <w:rPr>
          <w:kern w:val="0"/>
          <w:sz w:val="24"/>
        </w:rPr>
        <w:t>楼</w:t>
      </w:r>
    </w:p>
    <w:p w:rsidR="00B67D8A" w:rsidRDefault="00791ACF">
      <w:pPr>
        <w:widowControl/>
        <w:adjustRightInd w:val="0"/>
        <w:snapToGrid w:val="0"/>
        <w:spacing w:line="360" w:lineRule="auto"/>
        <w:ind w:firstLineChars="200" w:firstLine="480"/>
        <w:outlineLvl w:val="1"/>
        <w:rPr>
          <w:kern w:val="0"/>
          <w:sz w:val="24"/>
        </w:rPr>
      </w:pPr>
      <w:r>
        <w:rPr>
          <w:rFonts w:hint="eastAsia"/>
          <w:kern w:val="0"/>
          <w:sz w:val="24"/>
        </w:rPr>
        <w:t>首席合伙人</w:t>
      </w:r>
      <w:r w:rsidR="00B67D8A">
        <w:rPr>
          <w:kern w:val="0"/>
          <w:sz w:val="24"/>
        </w:rPr>
        <w:t>：杨绍信</w:t>
      </w:r>
    </w:p>
    <w:p w:rsidR="00B67D8A" w:rsidRDefault="00B67D8A">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23238888</w:t>
      </w:r>
    </w:p>
    <w:p w:rsidR="00B67D8A" w:rsidRDefault="00B67D8A">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rFonts w:hint="eastAsia"/>
          <w:kern w:val="0"/>
          <w:sz w:val="24"/>
        </w:rPr>
        <w:t>23</w:t>
      </w:r>
      <w:r>
        <w:rPr>
          <w:kern w:val="0"/>
          <w:sz w:val="24"/>
        </w:rPr>
        <w:t>238800</w:t>
      </w:r>
    </w:p>
    <w:p w:rsidR="00B67D8A" w:rsidRDefault="00B67D8A">
      <w:pPr>
        <w:widowControl/>
        <w:adjustRightInd w:val="0"/>
        <w:snapToGrid w:val="0"/>
        <w:spacing w:line="360" w:lineRule="auto"/>
        <w:ind w:firstLineChars="200" w:firstLine="480"/>
        <w:outlineLvl w:val="1"/>
        <w:rPr>
          <w:kern w:val="0"/>
          <w:sz w:val="24"/>
        </w:rPr>
      </w:pPr>
      <w:r>
        <w:rPr>
          <w:kern w:val="0"/>
          <w:sz w:val="24"/>
        </w:rPr>
        <w:t>联系人：</w:t>
      </w:r>
      <w:r>
        <w:rPr>
          <w:rFonts w:ascii="宋体" w:hAnsi="宋体" w:cs="宋体" w:hint="eastAsia"/>
          <w:kern w:val="0"/>
          <w:sz w:val="24"/>
        </w:rPr>
        <w:t>沈兆杰</w:t>
      </w:r>
    </w:p>
    <w:p w:rsidR="00B67D8A" w:rsidRDefault="00B67D8A">
      <w:pPr>
        <w:adjustRightInd w:val="0"/>
        <w:snapToGrid w:val="0"/>
        <w:spacing w:line="360" w:lineRule="auto"/>
        <w:ind w:firstLineChars="200" w:firstLine="480"/>
        <w:rPr>
          <w:kern w:val="0"/>
          <w:sz w:val="24"/>
        </w:rPr>
      </w:pPr>
      <w:r>
        <w:rPr>
          <w:kern w:val="0"/>
          <w:sz w:val="24"/>
        </w:rPr>
        <w:t>经办注册会计师：汪棣、</w:t>
      </w:r>
      <w:r>
        <w:rPr>
          <w:rFonts w:ascii="宋体" w:hAnsi="宋体" w:cs="宋体" w:hint="eastAsia"/>
          <w:kern w:val="0"/>
          <w:sz w:val="24"/>
        </w:rPr>
        <w:t>沈兆杰</w:t>
      </w:r>
    </w:p>
    <w:p w:rsidR="00B67D8A" w:rsidRDefault="00B67D8A">
      <w:pPr>
        <w:adjustRightInd w:val="0"/>
        <w:snapToGrid w:val="0"/>
        <w:spacing w:line="360" w:lineRule="auto"/>
        <w:ind w:firstLine="200"/>
        <w:rPr>
          <w:rFonts w:ascii="宋体" w:hAnsi="宋体"/>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15" w:name="_Toc382321317"/>
      <w:r>
        <w:rPr>
          <w:rFonts w:ascii="宋体" w:hAnsi="宋体" w:hint="eastAsia"/>
          <w:b/>
          <w:kern w:val="0"/>
          <w:sz w:val="30"/>
        </w:rPr>
        <w:t>六、基金的募集</w:t>
      </w:r>
      <w:bookmarkEnd w:id="15"/>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本基金由基金管理人依照《基金法》、《运作办法》、基金合同及其他有关规定，并经中国证监会证监许可</w:t>
      </w:r>
      <w:r>
        <w:rPr>
          <w:kern w:val="0"/>
          <w:sz w:val="24"/>
          <w:szCs w:val="24"/>
        </w:rPr>
        <w:t>[20</w:t>
      </w:r>
      <w:r>
        <w:rPr>
          <w:rFonts w:hint="eastAsia"/>
          <w:kern w:val="0"/>
          <w:sz w:val="24"/>
          <w:szCs w:val="24"/>
        </w:rPr>
        <w:t>13</w:t>
      </w:r>
      <w:r>
        <w:rPr>
          <w:kern w:val="0"/>
          <w:sz w:val="24"/>
          <w:szCs w:val="24"/>
        </w:rPr>
        <w:t>]</w:t>
      </w:r>
      <w:r>
        <w:rPr>
          <w:rFonts w:hint="eastAsia"/>
          <w:kern w:val="0"/>
          <w:sz w:val="24"/>
          <w:szCs w:val="24"/>
        </w:rPr>
        <w:t>753</w:t>
      </w:r>
      <w:r>
        <w:rPr>
          <w:rFonts w:hAnsi="宋体"/>
          <w:kern w:val="0"/>
          <w:sz w:val="24"/>
          <w:szCs w:val="24"/>
        </w:rPr>
        <w:t>号文核准募集发售。</w:t>
      </w:r>
      <w:r>
        <w:rPr>
          <w:kern w:val="0"/>
          <w:sz w:val="24"/>
          <w:szCs w:val="24"/>
        </w:rPr>
        <w:t xml:space="preserve"> </w:t>
      </w:r>
    </w:p>
    <w:p w:rsidR="00B67D8A" w:rsidRDefault="00B67D8A">
      <w:pPr>
        <w:widowControl/>
        <w:spacing w:line="360" w:lineRule="auto"/>
        <w:ind w:firstLineChars="200" w:firstLine="480"/>
        <w:rPr>
          <w:kern w:val="0"/>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Pr>
          <w:rFonts w:hint="eastAsia"/>
          <w:kern w:val="0"/>
          <w:sz w:val="24"/>
        </w:rPr>
        <w:t>本基金为契约型开放式混合型基金。基金存续期间为不定期。</w:t>
      </w:r>
    </w:p>
    <w:p w:rsidR="00B67D8A" w:rsidRDefault="00B67D8A">
      <w:pPr>
        <w:widowControl/>
        <w:spacing w:line="360" w:lineRule="auto"/>
        <w:ind w:firstLineChars="200" w:firstLine="480"/>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rsidR="00B67D8A" w:rsidRDefault="00B67D8A">
      <w:pPr>
        <w:widowControl/>
        <w:spacing w:line="360" w:lineRule="auto"/>
        <w:ind w:firstLineChars="200" w:firstLine="480"/>
        <w:rPr>
          <w:kern w:val="0"/>
          <w:sz w:val="24"/>
        </w:rPr>
      </w:pPr>
      <w:r>
        <w:rPr>
          <w:rFonts w:hint="eastAsia"/>
          <w:kern w:val="0"/>
          <w:sz w:val="24"/>
        </w:rPr>
        <w:t>本基金自</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7</w:t>
      </w:r>
      <w:r>
        <w:rPr>
          <w:rFonts w:hint="eastAsia"/>
          <w:color w:val="000000"/>
          <w:sz w:val="24"/>
        </w:rPr>
        <w:t>日</w:t>
      </w:r>
      <w:r>
        <w:rPr>
          <w:rFonts w:hint="eastAsia"/>
          <w:kern w:val="0"/>
          <w:sz w:val="24"/>
        </w:rPr>
        <w:t>至</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30</w:t>
      </w:r>
      <w:r>
        <w:rPr>
          <w:rFonts w:hint="eastAsia"/>
          <w:color w:val="000000"/>
          <w:sz w:val="24"/>
        </w:rPr>
        <w:t>日</w:t>
      </w:r>
      <w:r>
        <w:rPr>
          <w:rFonts w:hint="eastAsia"/>
          <w:kern w:val="0"/>
          <w:sz w:val="24"/>
        </w:rPr>
        <w:t>进行发售。本基金设立募集期共募集</w:t>
      </w:r>
      <w:r>
        <w:rPr>
          <w:rFonts w:hint="eastAsia"/>
          <w:sz w:val="24"/>
        </w:rPr>
        <w:t>642,313,653.44</w:t>
      </w:r>
      <w:r>
        <w:rPr>
          <w:rFonts w:hint="eastAsia"/>
          <w:kern w:val="0"/>
          <w:sz w:val="24"/>
        </w:rPr>
        <w:t>份基金份额，有效认购户数为</w:t>
      </w:r>
      <w:r>
        <w:rPr>
          <w:rFonts w:hint="eastAsia"/>
          <w:sz w:val="24"/>
        </w:rPr>
        <w:t>7,039</w:t>
      </w:r>
      <w:r>
        <w:rPr>
          <w:rFonts w:hint="eastAsia"/>
          <w:kern w:val="0"/>
          <w:sz w:val="24"/>
        </w:rPr>
        <w:t>户。</w:t>
      </w:r>
      <w:r>
        <w:rPr>
          <w:kern w:val="0"/>
          <w:sz w:val="24"/>
        </w:rPr>
        <w:t xml:space="preserve"> </w:t>
      </w:r>
    </w:p>
    <w:p w:rsidR="00B67D8A" w:rsidRDefault="00B67D8A">
      <w:pPr>
        <w:adjustRightInd w:val="0"/>
        <w:snapToGrid w:val="0"/>
        <w:spacing w:line="360" w:lineRule="auto"/>
        <w:ind w:firstLineChars="200" w:firstLine="480"/>
        <w:rPr>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22" w:name="_Toc382321318"/>
      <w:r>
        <w:rPr>
          <w:rFonts w:ascii="宋体" w:hAnsi="宋体" w:hint="eastAsia"/>
          <w:b/>
          <w:kern w:val="0"/>
          <w:sz w:val="30"/>
        </w:rPr>
        <w:lastRenderedPageBreak/>
        <w:t>七、基金合同的生效</w:t>
      </w:r>
      <w:bookmarkEnd w:id="22"/>
    </w:p>
    <w:p w:rsidR="00B67D8A" w:rsidRDefault="00B67D8A">
      <w:pPr>
        <w:spacing w:line="360" w:lineRule="auto"/>
        <w:ind w:firstLineChars="200" w:firstLine="480"/>
        <w:rPr>
          <w:rFonts w:ascii="宋体" w:hAnsi="宋体"/>
          <w:kern w:val="0"/>
          <w:sz w:val="24"/>
        </w:rPr>
      </w:pPr>
      <w:bookmarkStart w:id="23" w:name="_Hlt88901074"/>
      <w:bookmarkStart w:id="24" w:name="_Toc341170041"/>
      <w:bookmarkStart w:id="25" w:name="_Toc343850437"/>
      <w:bookmarkStart w:id="26" w:name="_Toc343852995"/>
      <w:bookmarkStart w:id="27" w:name="_Toc15118260"/>
      <w:bookmarkStart w:id="28" w:name="_Toc57530272"/>
      <w:bookmarkStart w:id="29" w:name="_Toc79392603"/>
      <w:bookmarkStart w:id="30" w:name="_Toc311810235"/>
      <w:bookmarkStart w:id="31" w:name="_Toc109537386"/>
      <w:bookmarkEnd w:id="21"/>
      <w:bookmarkEnd w:id="23"/>
      <w:r>
        <w:rPr>
          <w:rFonts w:ascii="宋体" w:hAnsi="宋体" w:hint="eastAsia"/>
          <w:kern w:val="0"/>
          <w:sz w:val="24"/>
        </w:rPr>
        <w:t>根据有关规定，本基金满足基金合同生效条件，基金合同已于2013年9月4日正式生效。自基金合同生效之日起，本基金管理人正式开始管理本基金。</w:t>
      </w:r>
    </w:p>
    <w:p w:rsidR="00B67D8A" w:rsidRDefault="00B67D8A">
      <w:pPr>
        <w:spacing w:line="360" w:lineRule="auto"/>
        <w:ind w:firstLineChars="200" w:firstLine="480"/>
        <w:rPr>
          <w:rFonts w:hAnsi="宋体"/>
          <w:sz w:val="24"/>
        </w:rPr>
      </w:pPr>
      <w:r>
        <w:rPr>
          <w:rFonts w:hAnsi="宋体"/>
          <w:sz w:val="24"/>
        </w:rPr>
        <w:t>基金合同生效后，基金份额持有人数量不满</w:t>
      </w:r>
      <w:r>
        <w:rPr>
          <w:rFonts w:hAnsi="宋体"/>
          <w:sz w:val="24"/>
        </w:rPr>
        <w:t>200</w:t>
      </w:r>
      <w:r>
        <w:rPr>
          <w:rFonts w:hAnsi="宋体"/>
          <w:sz w:val="24"/>
        </w:rPr>
        <w:t>人或者基金资产净值低于</w:t>
      </w:r>
      <w:r>
        <w:rPr>
          <w:rFonts w:hAnsi="宋体"/>
          <w:sz w:val="24"/>
        </w:rPr>
        <w:t>5000</w:t>
      </w:r>
      <w:r>
        <w:rPr>
          <w:rFonts w:hAnsi="宋体"/>
          <w:sz w:val="24"/>
        </w:rPr>
        <w:t>万元的，基金管理人应当及时报告中国证监会；连续</w:t>
      </w:r>
      <w:r>
        <w:rPr>
          <w:rFonts w:hAnsi="宋体"/>
          <w:sz w:val="24"/>
        </w:rPr>
        <w:t>20</w:t>
      </w:r>
      <w:r>
        <w:rPr>
          <w:rFonts w:hAnsi="宋体"/>
          <w:sz w:val="24"/>
        </w:rPr>
        <w:t>个工作日出现前述情形的，基金管理人应当向中国证监会说明原因并报送解决方案。</w:t>
      </w:r>
      <w:bookmarkEnd w:id="24"/>
      <w:bookmarkEnd w:id="25"/>
      <w:bookmarkEnd w:id="26"/>
    </w:p>
    <w:p w:rsidR="00B67D8A" w:rsidRDefault="00B67D8A">
      <w:pPr>
        <w:spacing w:line="360" w:lineRule="auto"/>
        <w:ind w:firstLineChars="200" w:firstLine="480"/>
        <w:rPr>
          <w:rFonts w:hAnsi="宋体"/>
          <w:sz w:val="24"/>
        </w:rPr>
      </w:pPr>
      <w:bookmarkStart w:id="32" w:name="_Toc341170042"/>
      <w:bookmarkStart w:id="33" w:name="_Toc343850438"/>
      <w:bookmarkStart w:id="34" w:name="_Toc343852996"/>
      <w:r>
        <w:rPr>
          <w:rFonts w:hAnsi="宋体"/>
          <w:sz w:val="24"/>
        </w:rPr>
        <w:t>法律法规另有规定时，从其规定。</w:t>
      </w:r>
      <w:bookmarkEnd w:id="32"/>
      <w:bookmarkEnd w:id="33"/>
      <w:bookmarkEnd w:id="34"/>
    </w:p>
    <w:bookmarkEnd w:id="27"/>
    <w:bookmarkEnd w:id="28"/>
    <w:bookmarkEnd w:id="29"/>
    <w:bookmarkEnd w:id="30"/>
    <w:p w:rsidR="00B67D8A" w:rsidRDefault="00B67D8A">
      <w:pPr>
        <w:widowControl/>
        <w:adjustRightInd w:val="0"/>
        <w:snapToGrid w:val="0"/>
        <w:spacing w:line="360" w:lineRule="auto"/>
        <w:ind w:firstLineChars="200" w:firstLine="482"/>
        <w:outlineLvl w:val="0"/>
        <w:rPr>
          <w:b/>
          <w:kern w:val="0"/>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35" w:name="_Toc382321319"/>
      <w:r>
        <w:rPr>
          <w:rFonts w:ascii="宋体" w:hAnsi="宋体" w:hint="eastAsia"/>
          <w:b/>
          <w:kern w:val="0"/>
          <w:sz w:val="30"/>
        </w:rPr>
        <w:t>八、基金份额的申购与赎回</w:t>
      </w:r>
      <w:bookmarkEnd w:id="31"/>
      <w:bookmarkEnd w:id="35"/>
    </w:p>
    <w:p w:rsidR="00B67D8A" w:rsidRDefault="00B67D8A">
      <w:pPr>
        <w:widowControl/>
        <w:adjustRightInd w:val="0"/>
        <w:snapToGrid w:val="0"/>
        <w:spacing w:line="360" w:lineRule="auto"/>
        <w:ind w:firstLineChars="200" w:firstLine="480"/>
        <w:outlineLvl w:val="1"/>
        <w:rPr>
          <w:b/>
          <w:kern w:val="0"/>
          <w:sz w:val="24"/>
          <w:szCs w:val="24"/>
        </w:rPr>
      </w:pPr>
      <w:r>
        <w:rPr>
          <w:rFonts w:hAnsi="宋体"/>
          <w:bCs/>
          <w:sz w:val="24"/>
          <w:szCs w:val="24"/>
        </w:rPr>
        <w:t>由投资者主动申请办理的申购、赎回等业务适用本部分的约定。本基金定期支付发起的自动赎回适用本招募说明书第九部分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的约定。</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（一）申购和赎回的场所</w:t>
      </w:r>
      <w:r>
        <w:rPr>
          <w:b/>
          <w:kern w:val="0"/>
          <w:sz w:val="24"/>
          <w:szCs w:val="24"/>
        </w:rPr>
        <w:t xml:space="preserve"> </w:t>
      </w:r>
    </w:p>
    <w:p w:rsidR="00B67D8A" w:rsidRDefault="00B67D8A">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rsidR="00B67D8A" w:rsidRDefault="00B67D8A">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本基金直销机构为本公司以及本公司的网上直销交易平台。</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名称：交银施罗德基金管理有限公司</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住所：上海市浦东</w:t>
      </w:r>
      <w:proofErr w:type="gramStart"/>
      <w:r>
        <w:rPr>
          <w:rFonts w:hAnsi="宋体"/>
          <w:kern w:val="0"/>
          <w:sz w:val="24"/>
          <w:szCs w:val="24"/>
        </w:rPr>
        <w:t>新区银</w:t>
      </w:r>
      <w:proofErr w:type="gramEnd"/>
      <w:r>
        <w:rPr>
          <w:rFonts w:hAnsi="宋体"/>
          <w:kern w:val="0"/>
          <w:sz w:val="24"/>
          <w:szCs w:val="24"/>
        </w:rPr>
        <w:t>城中路</w:t>
      </w:r>
      <w:r>
        <w:rPr>
          <w:kern w:val="0"/>
          <w:sz w:val="24"/>
          <w:szCs w:val="24"/>
        </w:rPr>
        <w:t>188</w:t>
      </w:r>
      <w:r>
        <w:rPr>
          <w:rFonts w:hAnsi="宋体"/>
          <w:kern w:val="0"/>
          <w:sz w:val="24"/>
          <w:szCs w:val="24"/>
        </w:rPr>
        <w:t>号交通银行大楼二层（裙）</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办公地址：</w:t>
      </w:r>
      <w:r w:rsidR="000C620D" w:rsidRPr="001734F7">
        <w:rPr>
          <w:rFonts w:ascii="宋体" w:hAnsi="宋体" w:cs="宋体" w:hint="eastAsia"/>
          <w:kern w:val="0"/>
          <w:sz w:val="24"/>
        </w:rPr>
        <w:t>上海浦东</w:t>
      </w:r>
      <w:proofErr w:type="gramStart"/>
      <w:r w:rsidR="000C620D" w:rsidRPr="001734F7">
        <w:rPr>
          <w:rFonts w:ascii="宋体" w:hAnsi="宋体" w:cs="宋体" w:hint="eastAsia"/>
          <w:kern w:val="0"/>
          <w:sz w:val="24"/>
        </w:rPr>
        <w:t>新区世纪</w:t>
      </w:r>
      <w:proofErr w:type="gramEnd"/>
      <w:r w:rsidR="000C620D" w:rsidRPr="001734F7">
        <w:rPr>
          <w:rFonts w:ascii="宋体" w:hAnsi="宋体" w:cs="宋体" w:hint="eastAsia"/>
          <w:kern w:val="0"/>
          <w:sz w:val="24"/>
        </w:rPr>
        <w:t>大道8号国</w:t>
      </w:r>
      <w:proofErr w:type="gramStart"/>
      <w:r w:rsidR="000C620D" w:rsidRPr="001734F7">
        <w:rPr>
          <w:rFonts w:ascii="宋体" w:hAnsi="宋体" w:cs="宋体" w:hint="eastAsia"/>
          <w:kern w:val="0"/>
          <w:sz w:val="24"/>
        </w:rPr>
        <w:t>金中心</w:t>
      </w:r>
      <w:proofErr w:type="gramEnd"/>
      <w:r w:rsidR="000C620D" w:rsidRPr="001734F7">
        <w:rPr>
          <w:rFonts w:ascii="宋体" w:hAnsi="宋体" w:cs="宋体" w:hint="eastAsia"/>
          <w:kern w:val="0"/>
          <w:sz w:val="24"/>
        </w:rPr>
        <w:t>二期21-22楼</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电话：（</w:t>
      </w:r>
      <w:r>
        <w:rPr>
          <w:sz w:val="24"/>
          <w:szCs w:val="24"/>
        </w:rPr>
        <w:t>021</w:t>
      </w:r>
      <w:r>
        <w:rPr>
          <w:rFonts w:hAnsi="宋体"/>
          <w:sz w:val="24"/>
          <w:szCs w:val="24"/>
        </w:rPr>
        <w:t>）</w:t>
      </w:r>
      <w:r>
        <w:rPr>
          <w:sz w:val="24"/>
          <w:szCs w:val="24"/>
        </w:rPr>
        <w:t>61055027</w:t>
      </w:r>
    </w:p>
    <w:p w:rsidR="00B67D8A" w:rsidRDefault="00B67D8A">
      <w:pPr>
        <w:widowControl/>
        <w:adjustRightInd w:val="0"/>
        <w:snapToGrid w:val="0"/>
        <w:spacing w:line="360" w:lineRule="auto"/>
        <w:ind w:firstLineChars="200" w:firstLine="480"/>
        <w:rPr>
          <w:sz w:val="24"/>
          <w:szCs w:val="24"/>
        </w:rPr>
      </w:pPr>
      <w:r>
        <w:rPr>
          <w:rFonts w:hAnsi="宋体"/>
          <w:sz w:val="24"/>
          <w:szCs w:val="24"/>
        </w:rPr>
        <w:t>传真</w:t>
      </w:r>
      <w:r>
        <w:rPr>
          <w:rFonts w:hAnsi="宋体"/>
          <w:kern w:val="0"/>
          <w:sz w:val="24"/>
          <w:szCs w:val="24"/>
        </w:rPr>
        <w:t>：</w:t>
      </w:r>
      <w:r>
        <w:rPr>
          <w:rFonts w:hAnsi="宋体"/>
          <w:sz w:val="24"/>
          <w:szCs w:val="24"/>
        </w:rPr>
        <w:t>（</w:t>
      </w:r>
      <w:r>
        <w:rPr>
          <w:sz w:val="24"/>
          <w:szCs w:val="24"/>
        </w:rPr>
        <w:t>021</w:t>
      </w:r>
      <w:r>
        <w:rPr>
          <w:rFonts w:hAnsi="宋体"/>
          <w:sz w:val="24"/>
          <w:szCs w:val="24"/>
        </w:rPr>
        <w:t>）</w:t>
      </w:r>
      <w:r>
        <w:rPr>
          <w:sz w:val="24"/>
          <w:szCs w:val="24"/>
        </w:rPr>
        <w:t>61055054</w:t>
      </w:r>
    </w:p>
    <w:p w:rsidR="00B67D8A" w:rsidRDefault="00B67D8A">
      <w:pPr>
        <w:widowControl/>
        <w:adjustRightInd w:val="0"/>
        <w:snapToGrid w:val="0"/>
        <w:spacing w:line="360" w:lineRule="auto"/>
        <w:ind w:firstLineChars="200" w:firstLine="480"/>
        <w:rPr>
          <w:sz w:val="24"/>
          <w:szCs w:val="24"/>
        </w:rPr>
      </w:pPr>
      <w:r>
        <w:rPr>
          <w:rFonts w:hAnsi="宋体"/>
          <w:kern w:val="0"/>
          <w:sz w:val="24"/>
          <w:szCs w:val="24"/>
        </w:rPr>
        <w:t>联系人：</w:t>
      </w:r>
      <w:r>
        <w:rPr>
          <w:rFonts w:hAnsi="宋体"/>
          <w:sz w:val="24"/>
          <w:szCs w:val="24"/>
        </w:rPr>
        <w:t>许野</w:t>
      </w:r>
    </w:p>
    <w:p w:rsidR="00B67D8A" w:rsidRDefault="00B67D8A">
      <w:pPr>
        <w:widowControl/>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B67D8A" w:rsidRDefault="00B67D8A">
      <w:pPr>
        <w:pStyle w:val="a0"/>
        <w:autoSpaceDE w:val="0"/>
        <w:autoSpaceDN w:val="0"/>
        <w:adjustRightInd w:val="0"/>
        <w:snapToGrid w:val="0"/>
        <w:spacing w:line="360" w:lineRule="auto"/>
        <w:ind w:firstLine="480"/>
        <w:rPr>
          <w:sz w:val="24"/>
          <w:szCs w:val="24"/>
        </w:rPr>
      </w:pPr>
      <w:r>
        <w:rPr>
          <w:rFonts w:hAnsi="宋体"/>
          <w:sz w:val="24"/>
          <w:szCs w:val="24"/>
        </w:rPr>
        <w:t>网址：</w:t>
      </w:r>
      <w:r w:rsidRPr="009948E9">
        <w:rPr>
          <w:rStyle w:val="a7"/>
          <w:color w:val="auto"/>
          <w:sz w:val="24"/>
          <w:szCs w:val="24"/>
          <w:u w:val="none"/>
        </w:rPr>
        <w:t>www.fund</w:t>
      </w:r>
      <w:r w:rsidRPr="009948E9">
        <w:rPr>
          <w:rStyle w:val="a7"/>
          <w:rFonts w:hint="eastAsia"/>
          <w:color w:val="auto"/>
          <w:sz w:val="24"/>
          <w:szCs w:val="24"/>
          <w:u w:val="none"/>
        </w:rPr>
        <w:t>001</w:t>
      </w:r>
      <w:r w:rsidRPr="009948E9">
        <w:rPr>
          <w:rStyle w:val="a7"/>
          <w:color w:val="auto"/>
          <w:sz w:val="24"/>
          <w:szCs w:val="24"/>
          <w:u w:val="none"/>
        </w:rPr>
        <w:t>.com</w:t>
      </w:r>
      <w:r>
        <w:rPr>
          <w:rStyle w:val="a7"/>
          <w:rFonts w:hAnsi="宋体"/>
          <w:color w:val="auto"/>
          <w:sz w:val="24"/>
          <w:szCs w:val="24"/>
          <w:u w:val="none"/>
        </w:rPr>
        <w:t>，</w:t>
      </w:r>
      <w:hyperlink r:id="rId10" w:history="1">
        <w:r>
          <w:rPr>
            <w:rStyle w:val="a7"/>
            <w:color w:val="auto"/>
            <w:sz w:val="24"/>
            <w:szCs w:val="24"/>
            <w:u w:val="none"/>
          </w:rPr>
          <w:t>www.bocomschroder.com</w:t>
        </w:r>
      </w:hyperlink>
    </w:p>
    <w:p w:rsidR="00B67D8A" w:rsidRDefault="00B67D8A">
      <w:pPr>
        <w:pStyle w:val="a0"/>
        <w:autoSpaceDE w:val="0"/>
        <w:autoSpaceDN w:val="0"/>
        <w:adjustRightInd w:val="0"/>
        <w:snapToGrid w:val="0"/>
        <w:spacing w:line="360" w:lineRule="auto"/>
        <w:ind w:firstLine="480"/>
        <w:rPr>
          <w:rStyle w:val="a7"/>
          <w:color w:val="auto"/>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bookmarkStart w:id="36" w:name="_GoBack"/>
      <w:r w:rsidRPr="00025B2C">
        <w:rPr>
          <w:rStyle w:val="a7"/>
          <w:color w:val="auto"/>
          <w:sz w:val="24"/>
          <w:szCs w:val="24"/>
          <w:u w:val="none"/>
        </w:rPr>
        <w:t>www.fund</w:t>
      </w:r>
      <w:r w:rsidRPr="00025B2C">
        <w:rPr>
          <w:rStyle w:val="a7"/>
          <w:rFonts w:hint="eastAsia"/>
          <w:color w:val="auto"/>
          <w:sz w:val="24"/>
          <w:szCs w:val="24"/>
          <w:u w:val="none"/>
        </w:rPr>
        <w:t>001</w:t>
      </w:r>
      <w:r w:rsidRPr="00025B2C">
        <w:rPr>
          <w:rStyle w:val="a7"/>
          <w:color w:val="auto"/>
          <w:sz w:val="24"/>
          <w:szCs w:val="24"/>
          <w:u w:val="none"/>
        </w:rPr>
        <w:t>.com</w:t>
      </w:r>
      <w:bookmarkEnd w:id="36"/>
      <w:r>
        <w:rPr>
          <w:rStyle w:val="a7"/>
          <w:rFonts w:hAnsi="宋体"/>
          <w:color w:val="auto"/>
          <w:sz w:val="24"/>
          <w:szCs w:val="24"/>
          <w:u w:val="none"/>
        </w:rPr>
        <w:t>，</w:t>
      </w:r>
      <w:hyperlink r:id="rId11" w:history="1">
        <w:r>
          <w:rPr>
            <w:rStyle w:val="a7"/>
            <w:color w:val="auto"/>
            <w:sz w:val="24"/>
            <w:szCs w:val="24"/>
            <w:u w:val="none"/>
          </w:rPr>
          <w:t>www.bocomschroder.com</w:t>
        </w:r>
      </w:hyperlink>
    </w:p>
    <w:p w:rsidR="00B67D8A" w:rsidRDefault="00B67D8A">
      <w:pPr>
        <w:pStyle w:val="a0"/>
        <w:autoSpaceDE w:val="0"/>
        <w:autoSpaceDN w:val="0"/>
        <w:adjustRightInd w:val="0"/>
        <w:snapToGrid w:val="0"/>
        <w:spacing w:line="360" w:lineRule="auto"/>
        <w:ind w:firstLine="480"/>
        <w:rPr>
          <w:kern w:val="0"/>
          <w:sz w:val="24"/>
          <w:szCs w:val="24"/>
        </w:rPr>
      </w:pPr>
      <w:r>
        <w:rPr>
          <w:kern w:val="0"/>
          <w:sz w:val="24"/>
          <w:szCs w:val="24"/>
        </w:rPr>
        <w:lastRenderedPageBreak/>
        <w:t>2</w:t>
      </w:r>
      <w:r>
        <w:rPr>
          <w:rFonts w:hAnsi="宋体"/>
          <w:kern w:val="0"/>
          <w:sz w:val="24"/>
          <w:szCs w:val="24"/>
        </w:rPr>
        <w:t>、代销机构</w:t>
      </w:r>
    </w:p>
    <w:p w:rsidR="00B67D8A" w:rsidRDefault="00B67D8A">
      <w:pPr>
        <w:adjustRightInd w:val="0"/>
        <w:snapToGrid w:val="0"/>
        <w:spacing w:line="360" w:lineRule="auto"/>
        <w:ind w:firstLineChars="200" w:firstLine="480"/>
        <w:rPr>
          <w:kern w:val="0"/>
          <w:sz w:val="24"/>
          <w:szCs w:val="24"/>
        </w:rPr>
      </w:pPr>
      <w:r>
        <w:rPr>
          <w:rFonts w:hAnsi="宋体"/>
          <w:kern w:val="0"/>
          <w:sz w:val="24"/>
          <w:szCs w:val="24"/>
        </w:rPr>
        <w:t>本基金的代销机构参见本招募说明书</w:t>
      </w:r>
      <w:r>
        <w:rPr>
          <w:rFonts w:hint="eastAsia"/>
          <w:kern w:val="0"/>
          <w:sz w:val="24"/>
          <w:szCs w:val="24"/>
        </w:rPr>
        <w:t>“</w:t>
      </w:r>
      <w:r>
        <w:rPr>
          <w:rFonts w:hAnsi="宋体"/>
          <w:kern w:val="0"/>
          <w:sz w:val="24"/>
          <w:szCs w:val="24"/>
        </w:rPr>
        <w:t>五、相关服务机构</w:t>
      </w:r>
      <w:r>
        <w:rPr>
          <w:rFonts w:hint="eastAsia"/>
          <w:kern w:val="0"/>
          <w:sz w:val="24"/>
          <w:szCs w:val="24"/>
        </w:rPr>
        <w:t>”</w:t>
      </w:r>
      <w:r>
        <w:rPr>
          <w:rFonts w:hAnsi="宋体"/>
          <w:kern w:val="0"/>
          <w:sz w:val="24"/>
          <w:szCs w:val="24"/>
        </w:rPr>
        <w:t>章节或拨打本公司客户服务电话进行咨询。</w:t>
      </w:r>
    </w:p>
    <w:p w:rsidR="00B67D8A" w:rsidRDefault="00B67D8A">
      <w:pPr>
        <w:adjustRightInd w:val="0"/>
        <w:snapToGrid w:val="0"/>
        <w:spacing w:line="360" w:lineRule="auto"/>
        <w:ind w:firstLineChars="200" w:firstLine="480"/>
        <w:rPr>
          <w:sz w:val="24"/>
          <w:szCs w:val="24"/>
        </w:rPr>
      </w:pPr>
      <w:r>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rsidR="00B67D8A" w:rsidRDefault="00B67D8A">
      <w:pPr>
        <w:adjustRightInd w:val="0"/>
        <w:snapToGrid w:val="0"/>
        <w:spacing w:line="360" w:lineRule="auto"/>
        <w:ind w:firstLineChars="200" w:firstLine="480"/>
        <w:rPr>
          <w:kern w:val="0"/>
          <w:sz w:val="24"/>
          <w:szCs w:val="24"/>
        </w:rPr>
      </w:pPr>
      <w:proofErr w:type="gramStart"/>
      <w:r>
        <w:rPr>
          <w:rFonts w:hAnsi="宋体"/>
          <w:sz w:val="24"/>
          <w:szCs w:val="24"/>
        </w:rPr>
        <w:t>若基金</w:t>
      </w:r>
      <w:proofErr w:type="gramEnd"/>
      <w:r>
        <w:rPr>
          <w:rFonts w:hAnsi="宋体"/>
          <w:sz w:val="24"/>
          <w:szCs w:val="24"/>
        </w:rPr>
        <w:t>管理人或其指定的代销机构开通电话、传真或网上等交易方式，投资人可以通过上述方式进行申购与赎回。</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（二）申购和赎回的开放日及时间</w:t>
      </w:r>
      <w:r>
        <w:rPr>
          <w:b/>
          <w:kern w:val="0"/>
          <w:sz w:val="24"/>
          <w:szCs w:val="24"/>
        </w:rPr>
        <w:t xml:space="preserve"> </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、开放日及开放时间</w:t>
      </w:r>
    </w:p>
    <w:p w:rsidR="00B67D8A" w:rsidRDefault="00B67D8A">
      <w:pPr>
        <w:adjustRightInd w:val="0"/>
        <w:snapToGrid w:val="0"/>
        <w:spacing w:line="360" w:lineRule="auto"/>
        <w:ind w:firstLineChars="200" w:firstLine="480"/>
        <w:rPr>
          <w:bCs/>
          <w:sz w:val="24"/>
          <w:szCs w:val="24"/>
        </w:rPr>
      </w:pPr>
      <w:r>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67D8A" w:rsidRDefault="00B67D8A">
      <w:pPr>
        <w:adjustRightInd w:val="0"/>
        <w:snapToGrid w:val="0"/>
        <w:spacing w:line="360" w:lineRule="auto"/>
        <w:ind w:firstLineChars="200" w:firstLine="480"/>
        <w:rPr>
          <w:bCs/>
          <w:sz w:val="24"/>
          <w:szCs w:val="24"/>
        </w:rPr>
      </w:pPr>
      <w:r>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、申购</w:t>
      </w:r>
      <w:r>
        <w:rPr>
          <w:rFonts w:hAnsi="宋体" w:hint="eastAsia"/>
          <w:bCs/>
          <w:sz w:val="24"/>
          <w:szCs w:val="24"/>
        </w:rPr>
        <w:t>的</w:t>
      </w:r>
      <w:r>
        <w:rPr>
          <w:rFonts w:hAnsi="宋体"/>
          <w:bCs/>
          <w:sz w:val="24"/>
          <w:szCs w:val="24"/>
        </w:rPr>
        <w:t>开始日及业务办理时间</w:t>
      </w:r>
    </w:p>
    <w:p w:rsidR="00B67D8A" w:rsidRDefault="00B67D8A">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日起开放申购业务。</w:t>
      </w:r>
    </w:p>
    <w:p w:rsidR="00B67D8A" w:rsidRDefault="00B67D8A">
      <w:pPr>
        <w:widowControl/>
        <w:spacing w:line="360" w:lineRule="auto"/>
        <w:ind w:firstLineChars="200" w:firstLine="480"/>
        <w:rPr>
          <w:kern w:val="0"/>
          <w:sz w:val="24"/>
        </w:rPr>
      </w:pPr>
      <w:r>
        <w:rPr>
          <w:rFonts w:hint="eastAsia"/>
          <w:kern w:val="0"/>
          <w:sz w:val="24"/>
        </w:rPr>
        <w:t>3</w:t>
      </w:r>
      <w:r>
        <w:rPr>
          <w:rFonts w:hint="eastAsia"/>
          <w:kern w:val="0"/>
          <w:sz w:val="24"/>
        </w:rPr>
        <w:t>、赎回的开始日及业务办理时间</w:t>
      </w:r>
    </w:p>
    <w:p w:rsidR="00B67D8A" w:rsidRDefault="00B67D8A">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日起开放赎回业务。</w:t>
      </w:r>
    </w:p>
    <w:p w:rsidR="00B67D8A" w:rsidRDefault="00B67D8A">
      <w:pPr>
        <w:widowControl/>
        <w:adjustRightInd w:val="0"/>
        <w:snapToGrid w:val="0"/>
        <w:spacing w:line="360" w:lineRule="auto"/>
        <w:ind w:firstLineChars="200" w:firstLine="480"/>
        <w:rPr>
          <w:kern w:val="0"/>
          <w:sz w:val="24"/>
          <w:szCs w:val="24"/>
        </w:rPr>
      </w:pPr>
      <w:r>
        <w:rPr>
          <w:rFonts w:hAnsi="宋体"/>
          <w:bCs/>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Ansi="宋体"/>
          <w:bCs/>
          <w:sz w:val="24"/>
          <w:szCs w:val="24"/>
        </w:rPr>
        <w:t>且登记</w:t>
      </w:r>
      <w:proofErr w:type="gramEnd"/>
      <w:r>
        <w:rPr>
          <w:rFonts w:hAnsi="宋体"/>
          <w:bCs/>
          <w:sz w:val="24"/>
          <w:szCs w:val="24"/>
        </w:rPr>
        <w:t>机构确认接受的，其基金份额申购、赎回价格为下一开放日基金份额申购、赎回的价格。</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（三）申购与赎回的原则</w:t>
      </w:r>
      <w:r>
        <w:rPr>
          <w:b/>
          <w:kern w:val="0"/>
          <w:sz w:val="24"/>
          <w:szCs w:val="24"/>
        </w:rPr>
        <w:t xml:space="preserve"> </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w:t>
      </w:r>
      <w:r>
        <w:rPr>
          <w:sz w:val="24"/>
          <w:szCs w:val="24"/>
        </w:rPr>
        <w:t>“</w:t>
      </w:r>
      <w:r>
        <w:rPr>
          <w:rFonts w:hAnsi="宋体"/>
          <w:sz w:val="24"/>
          <w:szCs w:val="24"/>
        </w:rPr>
        <w:t>未知价</w:t>
      </w:r>
      <w:r>
        <w:rPr>
          <w:sz w:val="24"/>
          <w:szCs w:val="24"/>
        </w:rPr>
        <w:t>”</w:t>
      </w:r>
      <w:r>
        <w:rPr>
          <w:rFonts w:hAnsi="宋体"/>
          <w:sz w:val="24"/>
          <w:szCs w:val="24"/>
        </w:rPr>
        <w:t>原则，即申购、赎回价格以申请当日收市后计算的基金份额净值为基准进行计算；</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w:t>
      </w:r>
      <w:r>
        <w:rPr>
          <w:sz w:val="24"/>
          <w:szCs w:val="24"/>
        </w:rPr>
        <w:t>“</w:t>
      </w:r>
      <w:r>
        <w:rPr>
          <w:rFonts w:hAnsi="宋体"/>
          <w:sz w:val="24"/>
          <w:szCs w:val="24"/>
        </w:rPr>
        <w:t>金额申购、份额赎回</w:t>
      </w:r>
      <w:r>
        <w:rPr>
          <w:sz w:val="24"/>
          <w:szCs w:val="24"/>
        </w:rPr>
        <w:t>”</w:t>
      </w:r>
      <w:r>
        <w:rPr>
          <w:rFonts w:hAnsi="宋体"/>
          <w:sz w:val="24"/>
          <w:szCs w:val="24"/>
        </w:rPr>
        <w:t>原则，即申购以金额申请，赎回以份额申请；</w:t>
      </w:r>
    </w:p>
    <w:p w:rsidR="00B67D8A" w:rsidRDefault="00B67D8A">
      <w:pPr>
        <w:adjustRightInd w:val="0"/>
        <w:snapToGrid w:val="0"/>
        <w:spacing w:line="360" w:lineRule="auto"/>
        <w:ind w:firstLineChars="200" w:firstLine="480"/>
        <w:rPr>
          <w:sz w:val="24"/>
          <w:szCs w:val="24"/>
        </w:rPr>
      </w:pPr>
      <w:r>
        <w:rPr>
          <w:bCs/>
          <w:sz w:val="24"/>
          <w:szCs w:val="24"/>
        </w:rPr>
        <w:lastRenderedPageBreak/>
        <w:t>3</w:t>
      </w:r>
      <w:r>
        <w:rPr>
          <w:rFonts w:hAnsi="宋体"/>
          <w:bCs/>
          <w:sz w:val="24"/>
          <w:szCs w:val="24"/>
        </w:rPr>
        <w:t>、当日的申购与赎回申请可以在基金管理人规定的时间以内撤销，但申请经登记机构正式受理的不得撤销；</w:t>
      </w:r>
    </w:p>
    <w:p w:rsidR="00B67D8A" w:rsidRDefault="00B67D8A">
      <w:pPr>
        <w:adjustRightInd w:val="0"/>
        <w:snapToGrid w:val="0"/>
        <w:spacing w:line="360" w:lineRule="auto"/>
        <w:ind w:firstLineChars="200" w:firstLine="480"/>
        <w:rPr>
          <w:sz w:val="24"/>
          <w:szCs w:val="24"/>
        </w:rPr>
      </w:pPr>
      <w:r>
        <w:rPr>
          <w:sz w:val="24"/>
          <w:szCs w:val="24"/>
        </w:rPr>
        <w:t>4</w:t>
      </w:r>
      <w:r>
        <w:rPr>
          <w:rFonts w:hAnsi="宋体"/>
          <w:sz w:val="24"/>
          <w:szCs w:val="24"/>
        </w:rPr>
        <w:t>、</w:t>
      </w:r>
      <w:r>
        <w:rPr>
          <w:rFonts w:hAnsi="宋体"/>
          <w:bCs/>
          <w:sz w:val="24"/>
          <w:szCs w:val="24"/>
        </w:rPr>
        <w:t>基金份额持有人赎回时，除指定赎回外，基金管理人按</w:t>
      </w:r>
      <w:r>
        <w:rPr>
          <w:bCs/>
          <w:sz w:val="24"/>
          <w:szCs w:val="24"/>
        </w:rPr>
        <w:t>“</w:t>
      </w:r>
      <w:r>
        <w:rPr>
          <w:rFonts w:hAnsi="宋体"/>
          <w:bCs/>
          <w:sz w:val="24"/>
          <w:szCs w:val="24"/>
        </w:rPr>
        <w:t>先进先出</w:t>
      </w:r>
      <w:r>
        <w:rPr>
          <w:bCs/>
          <w:sz w:val="24"/>
          <w:szCs w:val="24"/>
        </w:rPr>
        <w:t>”</w:t>
      </w:r>
      <w:r>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B67D8A" w:rsidRDefault="00B67D8A">
      <w:pPr>
        <w:widowControl/>
        <w:adjustRightInd w:val="0"/>
        <w:snapToGrid w:val="0"/>
        <w:spacing w:line="360" w:lineRule="auto"/>
        <w:ind w:firstLineChars="200" w:firstLine="480"/>
        <w:rPr>
          <w:kern w:val="0"/>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直销机构首次申购的最低金额为单笔</w:t>
      </w:r>
      <w:r>
        <w:rPr>
          <w:kern w:val="0"/>
          <w:sz w:val="24"/>
          <w:szCs w:val="24"/>
        </w:rPr>
        <w:t>100,000</w:t>
      </w:r>
      <w:r>
        <w:rPr>
          <w:rFonts w:hAnsi="宋体"/>
          <w:kern w:val="0"/>
          <w:sz w:val="24"/>
          <w:szCs w:val="24"/>
        </w:rPr>
        <w:t>元，追加申购的最低金额为单笔</w:t>
      </w:r>
      <w:r>
        <w:rPr>
          <w:kern w:val="0"/>
          <w:sz w:val="24"/>
          <w:szCs w:val="24"/>
        </w:rPr>
        <w:t>10,000</w:t>
      </w:r>
      <w:r>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Pr>
          <w:kern w:val="0"/>
          <w:sz w:val="24"/>
          <w:szCs w:val="24"/>
        </w:rPr>
        <w:t xml:space="preserve">1,000 </w:t>
      </w:r>
      <w:r>
        <w:rPr>
          <w:rFonts w:hAnsi="宋体"/>
          <w:kern w:val="0"/>
          <w:sz w:val="24"/>
          <w:szCs w:val="24"/>
        </w:rPr>
        <w:t>元。本基金直销</w:t>
      </w:r>
      <w:r>
        <w:rPr>
          <w:rFonts w:hAnsi="宋体" w:hint="eastAsia"/>
          <w:kern w:val="0"/>
          <w:sz w:val="24"/>
          <w:szCs w:val="24"/>
        </w:rPr>
        <w:t>机构</w:t>
      </w:r>
      <w:r>
        <w:rPr>
          <w:rFonts w:hAnsi="宋体"/>
          <w:kern w:val="0"/>
          <w:sz w:val="24"/>
          <w:szCs w:val="24"/>
        </w:rPr>
        <w:t>单笔申购最低金额可由基金管理人酌情调整。各代销机构接受申购申请的最低金额为单笔</w:t>
      </w:r>
      <w:r>
        <w:rPr>
          <w:kern w:val="0"/>
          <w:sz w:val="24"/>
          <w:szCs w:val="24"/>
        </w:rPr>
        <w:t>1,000</w:t>
      </w:r>
      <w:r>
        <w:rPr>
          <w:rFonts w:hAnsi="宋体"/>
          <w:kern w:val="0"/>
          <w:sz w:val="24"/>
          <w:szCs w:val="24"/>
        </w:rPr>
        <w:t>元，如果代销机构业务规则规定的最低单笔申购金额高于</w:t>
      </w:r>
      <w:r>
        <w:rPr>
          <w:kern w:val="0"/>
          <w:sz w:val="24"/>
          <w:szCs w:val="24"/>
        </w:rPr>
        <w:t>1,000</w:t>
      </w:r>
      <w:r>
        <w:rPr>
          <w:rFonts w:hAnsi="宋体"/>
          <w:kern w:val="0"/>
          <w:sz w:val="24"/>
          <w:szCs w:val="24"/>
        </w:rPr>
        <w:t>元，以代销机构的规定为准。</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 xml:space="preserve">50 </w:t>
      </w:r>
      <w:r>
        <w:rPr>
          <w:rFonts w:hAnsi="宋体"/>
          <w:kern w:val="0"/>
          <w:sz w:val="24"/>
          <w:szCs w:val="24"/>
        </w:rPr>
        <w:t>份基金份额。</w:t>
      </w:r>
    </w:p>
    <w:p w:rsidR="00B67D8A" w:rsidRDefault="00B67D8A">
      <w:pPr>
        <w:widowControl/>
        <w:adjustRightInd w:val="0"/>
        <w:snapToGrid w:val="0"/>
        <w:spacing w:line="360" w:lineRule="auto"/>
        <w:ind w:firstLineChars="200" w:firstLine="480"/>
        <w:rPr>
          <w:kern w:val="0"/>
          <w:sz w:val="24"/>
          <w:szCs w:val="24"/>
        </w:rPr>
      </w:pPr>
      <w:bookmarkStart w:id="37" w:name="OLE_LINK6"/>
      <w:r>
        <w:rPr>
          <w:kern w:val="0"/>
          <w:sz w:val="24"/>
          <w:szCs w:val="24"/>
        </w:rPr>
        <w:t>3</w:t>
      </w:r>
      <w:r>
        <w:rPr>
          <w:rFonts w:hAnsi="宋体"/>
          <w:kern w:val="0"/>
          <w:sz w:val="24"/>
          <w:szCs w:val="24"/>
        </w:rPr>
        <w:t>、最低保留余额的限制</w:t>
      </w:r>
    </w:p>
    <w:p w:rsidR="00B67D8A" w:rsidRDefault="00B67D8A">
      <w:pPr>
        <w:widowControl/>
        <w:adjustRightInd w:val="0"/>
        <w:snapToGrid w:val="0"/>
        <w:spacing w:line="360" w:lineRule="auto"/>
        <w:ind w:firstLineChars="200" w:firstLine="480"/>
        <w:rPr>
          <w:kern w:val="0"/>
          <w:sz w:val="24"/>
          <w:szCs w:val="24"/>
        </w:rPr>
      </w:pPr>
      <w:r>
        <w:rPr>
          <w:rFonts w:hAnsi="宋体"/>
          <w:sz w:val="24"/>
          <w:szCs w:val="24"/>
        </w:rPr>
        <w:t>每个工作日投资人在单个交易账户保留的本基金份额余额少于</w:t>
      </w:r>
      <w:r>
        <w:rPr>
          <w:sz w:val="24"/>
          <w:szCs w:val="24"/>
        </w:rPr>
        <w:t>50</w:t>
      </w:r>
      <w:r>
        <w:rPr>
          <w:rFonts w:hAnsi="宋体"/>
          <w:sz w:val="24"/>
          <w:szCs w:val="24"/>
        </w:rPr>
        <w:t>份时，若当日该账户同时有份额减少类业务（如赎回、转换出、定期支付</w:t>
      </w:r>
      <w:r>
        <w:rPr>
          <w:rFonts w:hAnsi="宋体"/>
          <w:bCs/>
          <w:sz w:val="24"/>
          <w:szCs w:val="24"/>
        </w:rPr>
        <w:t>发起的自动赎回</w:t>
      </w:r>
      <w:r>
        <w:rPr>
          <w:rFonts w:hAnsi="宋体"/>
          <w:sz w:val="24"/>
          <w:szCs w:val="24"/>
        </w:rPr>
        <w:t>等）被确认，</w:t>
      </w:r>
      <w:proofErr w:type="gramStart"/>
      <w:r>
        <w:rPr>
          <w:rFonts w:hAnsi="宋体"/>
          <w:sz w:val="24"/>
          <w:szCs w:val="24"/>
        </w:rPr>
        <w:t>则基金</w:t>
      </w:r>
      <w:proofErr w:type="gramEnd"/>
      <w:r>
        <w:rPr>
          <w:rFonts w:hAnsi="宋体"/>
          <w:sz w:val="24"/>
          <w:szCs w:val="24"/>
        </w:rPr>
        <w:t>管理人有权将投资人在该账户保留的本基金份额一次性全部赎回。</w:t>
      </w:r>
      <w:bookmarkEnd w:id="37"/>
    </w:p>
    <w:p w:rsidR="00B67D8A" w:rsidRDefault="00B67D8A">
      <w:pPr>
        <w:widowControl/>
        <w:adjustRightInd w:val="0"/>
        <w:snapToGrid w:val="0"/>
        <w:spacing w:line="360" w:lineRule="auto"/>
        <w:ind w:firstLineChars="200" w:firstLine="480"/>
        <w:rPr>
          <w:rFonts w:hAnsi="宋体"/>
          <w:kern w:val="0"/>
          <w:sz w:val="24"/>
          <w:szCs w:val="24"/>
        </w:rPr>
      </w:pPr>
      <w:r>
        <w:rPr>
          <w:kern w:val="0"/>
          <w:sz w:val="24"/>
          <w:szCs w:val="24"/>
        </w:rPr>
        <w:t>4</w:t>
      </w:r>
      <w:r>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Pr>
          <w:rFonts w:hAnsi="宋体"/>
          <w:bCs/>
          <w:sz w:val="24"/>
          <w:szCs w:val="24"/>
        </w:rPr>
        <w:t>并报中国证监会备案</w:t>
      </w:r>
      <w:r>
        <w:rPr>
          <w:rFonts w:hAnsi="宋体"/>
          <w:kern w:val="0"/>
          <w:sz w:val="24"/>
          <w:szCs w:val="24"/>
        </w:rPr>
        <w:t>。</w:t>
      </w:r>
    </w:p>
    <w:p w:rsidR="00383DE2" w:rsidRPr="0005149B" w:rsidRDefault="00383DE2">
      <w:pPr>
        <w:widowControl/>
        <w:adjustRightInd w:val="0"/>
        <w:snapToGrid w:val="0"/>
        <w:spacing w:line="360" w:lineRule="auto"/>
        <w:ind w:firstLineChars="200" w:firstLine="480"/>
        <w:rPr>
          <w:kern w:val="0"/>
          <w:sz w:val="24"/>
          <w:szCs w:val="24"/>
        </w:rPr>
      </w:pPr>
      <w:r w:rsidRPr="00B718A9">
        <w:rPr>
          <w:rFonts w:hint="eastAsia"/>
          <w:kern w:val="0"/>
          <w:sz w:val="24"/>
          <w:szCs w:val="24"/>
        </w:rPr>
        <w:t>5</w:t>
      </w:r>
      <w:r w:rsidRPr="00B718A9">
        <w:rPr>
          <w:rFonts w:hint="eastAsia"/>
          <w:kern w:val="0"/>
          <w:sz w:val="24"/>
          <w:szCs w:val="24"/>
        </w:rPr>
        <w:t>、本基金当月进行定期支付，当月自动赎回用以定期支付的基金份额从当月定期支付基准日（</w:t>
      </w:r>
      <w:r w:rsidRPr="00B718A9">
        <w:rPr>
          <w:rFonts w:hint="eastAsia"/>
          <w:kern w:val="0"/>
          <w:sz w:val="24"/>
          <w:szCs w:val="24"/>
        </w:rPr>
        <w:t>T</w:t>
      </w:r>
      <w:r w:rsidRPr="00B718A9">
        <w:rPr>
          <w:rFonts w:hint="eastAsia"/>
          <w:kern w:val="0"/>
          <w:sz w:val="24"/>
          <w:szCs w:val="24"/>
        </w:rPr>
        <w:t>日）的下一工作日起（含该日）从投资人的基金交易账户中扣减，</w:t>
      </w:r>
      <w:r w:rsidRPr="00B718A9">
        <w:rPr>
          <w:rFonts w:hint="eastAsia"/>
          <w:kern w:val="0"/>
          <w:sz w:val="24"/>
          <w:szCs w:val="24"/>
        </w:rPr>
        <w:lastRenderedPageBreak/>
        <w:t>基金交易账户中扣减后的基金份额余额自</w:t>
      </w:r>
      <w:r w:rsidRPr="00B718A9">
        <w:rPr>
          <w:rFonts w:hint="eastAsia"/>
          <w:kern w:val="0"/>
          <w:sz w:val="24"/>
          <w:szCs w:val="24"/>
        </w:rPr>
        <w:t>T+2</w:t>
      </w:r>
      <w:r w:rsidRPr="00B718A9">
        <w:rPr>
          <w:rFonts w:hint="eastAsia"/>
          <w:kern w:val="0"/>
          <w:sz w:val="24"/>
          <w:szCs w:val="24"/>
        </w:rPr>
        <w:t>日起（含该日）方可查询，可能会导致基金份额持有人在定期支付基准日（</w:t>
      </w:r>
      <w:r w:rsidRPr="00B718A9">
        <w:rPr>
          <w:rFonts w:hint="eastAsia"/>
          <w:kern w:val="0"/>
          <w:sz w:val="24"/>
          <w:szCs w:val="24"/>
        </w:rPr>
        <w:t>T</w:t>
      </w:r>
      <w:r w:rsidRPr="00B718A9">
        <w:rPr>
          <w:rFonts w:hint="eastAsia"/>
          <w:kern w:val="0"/>
          <w:sz w:val="24"/>
          <w:szCs w:val="24"/>
        </w:rPr>
        <w:t>日）的下一工作日（</w:t>
      </w:r>
      <w:r w:rsidRPr="00B718A9">
        <w:rPr>
          <w:rFonts w:hint="eastAsia"/>
          <w:kern w:val="0"/>
          <w:sz w:val="24"/>
          <w:szCs w:val="24"/>
        </w:rPr>
        <w:t>T+1</w:t>
      </w:r>
      <w:r w:rsidRPr="00B718A9">
        <w:rPr>
          <w:rFonts w:hint="eastAsia"/>
          <w:kern w:val="0"/>
          <w:sz w:val="24"/>
          <w:szCs w:val="24"/>
        </w:rPr>
        <w:t>日）提交的赎回或转换出申请因提交申请的份额余额大于实际的份额余额而被确认失败。对于发生基金份额持有人在</w:t>
      </w:r>
      <w:r w:rsidRPr="00B718A9">
        <w:rPr>
          <w:rFonts w:hint="eastAsia"/>
          <w:kern w:val="0"/>
          <w:sz w:val="24"/>
          <w:szCs w:val="24"/>
        </w:rPr>
        <w:t>T+1</w:t>
      </w:r>
      <w:r w:rsidRPr="00B718A9">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（五）申购和赎回的程序</w:t>
      </w:r>
      <w:r>
        <w:rPr>
          <w:b/>
          <w:kern w:val="0"/>
          <w:sz w:val="24"/>
          <w:szCs w:val="24"/>
        </w:rPr>
        <w:t xml:space="preserve"> </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rsidR="00B67D8A" w:rsidRDefault="00B67D8A">
      <w:pPr>
        <w:adjustRightInd w:val="0"/>
        <w:snapToGrid w:val="0"/>
        <w:spacing w:line="360" w:lineRule="auto"/>
        <w:ind w:firstLineChars="200" w:firstLine="480"/>
        <w:rPr>
          <w:kern w:val="0"/>
          <w:sz w:val="24"/>
          <w:szCs w:val="24"/>
        </w:rPr>
      </w:pPr>
      <w:r>
        <w:rPr>
          <w:rFonts w:hAnsi="宋体"/>
          <w:sz w:val="24"/>
          <w:szCs w:val="24"/>
        </w:rPr>
        <w:t>投资人必须根据销售机构规定的程序，在开放日的具体业务办理时间内提出申购或赎回的申请。</w:t>
      </w:r>
      <w:r>
        <w:rPr>
          <w:rFonts w:hAnsi="宋体"/>
          <w:bCs/>
          <w:sz w:val="24"/>
          <w:szCs w:val="24"/>
        </w:rPr>
        <w:t>投资人在提交申购申请时须按销售机构规定的方式备足申购资金，投资人在提交赎回申请时须持有足够的基金份额余额，否则所提交的申购、赎回申请无效。</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、申购和赎回申请的确认</w:t>
      </w:r>
    </w:p>
    <w:p w:rsidR="00B67D8A" w:rsidRDefault="00B67D8A">
      <w:pPr>
        <w:adjustRightInd w:val="0"/>
        <w:snapToGrid w:val="0"/>
        <w:spacing w:line="360" w:lineRule="auto"/>
        <w:ind w:firstLineChars="200" w:firstLine="480"/>
        <w:rPr>
          <w:bCs/>
          <w:sz w:val="24"/>
          <w:szCs w:val="24"/>
        </w:rPr>
      </w:pPr>
      <w:r>
        <w:rPr>
          <w:rFonts w:hAnsi="宋体"/>
          <w:bCs/>
          <w:sz w:val="24"/>
          <w:szCs w:val="24"/>
        </w:rPr>
        <w:t>基金管理人应以交易时间结束前受理有效申购和赎回申请的当天作为申购或赎回申请日（</w:t>
      </w:r>
      <w:r>
        <w:rPr>
          <w:bCs/>
          <w:sz w:val="24"/>
          <w:szCs w:val="24"/>
        </w:rPr>
        <w:t>T</w:t>
      </w:r>
      <w:r>
        <w:rPr>
          <w:rFonts w:hAnsi="宋体"/>
          <w:bCs/>
          <w:sz w:val="24"/>
          <w:szCs w:val="24"/>
        </w:rPr>
        <w:t>日），在正常情况下，本基金登记机构在</w:t>
      </w:r>
      <w:r>
        <w:rPr>
          <w:bCs/>
          <w:sz w:val="24"/>
          <w:szCs w:val="24"/>
        </w:rPr>
        <w:t>T+1</w:t>
      </w:r>
      <w:r>
        <w:rPr>
          <w:rFonts w:hAnsi="宋体"/>
          <w:bCs/>
          <w:sz w:val="24"/>
          <w:szCs w:val="24"/>
        </w:rPr>
        <w:t>日（包括该日）内对该交易的有效性进行确认。</w:t>
      </w:r>
      <w:r>
        <w:rPr>
          <w:bCs/>
          <w:sz w:val="24"/>
          <w:szCs w:val="24"/>
        </w:rPr>
        <w:t>T</w:t>
      </w:r>
      <w:r>
        <w:rPr>
          <w:rFonts w:hAnsi="宋体"/>
          <w:bCs/>
          <w:sz w:val="24"/>
          <w:szCs w:val="24"/>
        </w:rPr>
        <w:t>日提交的有效申请，投资人可在</w:t>
      </w:r>
      <w:r>
        <w:rPr>
          <w:bCs/>
          <w:sz w:val="24"/>
          <w:szCs w:val="24"/>
        </w:rPr>
        <w:t>T+2</w:t>
      </w:r>
      <w:r>
        <w:rPr>
          <w:rFonts w:hAnsi="宋体"/>
          <w:bCs/>
          <w:sz w:val="24"/>
          <w:szCs w:val="24"/>
        </w:rPr>
        <w:t>日后（包括该日）到销售网点柜台或以销售机构规定的其他方式查询申请的确认情况。若申购不成功，则申购款项退还给投资人。</w:t>
      </w:r>
    </w:p>
    <w:p w:rsidR="00B67D8A" w:rsidRDefault="00B67D8A">
      <w:pPr>
        <w:adjustRightInd w:val="0"/>
        <w:snapToGrid w:val="0"/>
        <w:spacing w:line="360" w:lineRule="auto"/>
        <w:ind w:firstLineChars="200" w:firstLine="480"/>
        <w:rPr>
          <w:sz w:val="24"/>
          <w:szCs w:val="24"/>
        </w:rPr>
      </w:pPr>
      <w:r>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rsidR="00B67D8A" w:rsidRDefault="00B67D8A">
      <w:pPr>
        <w:adjustRightInd w:val="0"/>
        <w:snapToGrid w:val="0"/>
        <w:spacing w:line="360" w:lineRule="auto"/>
        <w:ind w:firstLineChars="200" w:firstLine="480"/>
        <w:rPr>
          <w:bCs/>
          <w:sz w:val="24"/>
          <w:szCs w:val="24"/>
        </w:rPr>
      </w:pPr>
      <w:r>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、申购和赎回的款项支付</w:t>
      </w:r>
    </w:p>
    <w:p w:rsidR="00B67D8A" w:rsidRDefault="00B67D8A">
      <w:pPr>
        <w:adjustRightInd w:val="0"/>
        <w:snapToGrid w:val="0"/>
        <w:spacing w:line="360" w:lineRule="auto"/>
        <w:ind w:firstLineChars="200" w:firstLine="480"/>
        <w:rPr>
          <w:bCs/>
          <w:sz w:val="24"/>
          <w:szCs w:val="24"/>
        </w:rPr>
      </w:pPr>
      <w:r>
        <w:rPr>
          <w:rFonts w:hAnsi="宋体"/>
          <w:bCs/>
          <w:sz w:val="24"/>
          <w:szCs w:val="24"/>
          <w:lang w:val="zh-CN"/>
        </w:rPr>
        <w:t>投资人申购基金份额时，必须全额交付申购款项，若申购资金在规定时间内未全额到账则申购不成功。</w:t>
      </w:r>
    </w:p>
    <w:p w:rsidR="00B67D8A" w:rsidRDefault="00B67D8A">
      <w:pPr>
        <w:adjustRightInd w:val="0"/>
        <w:snapToGrid w:val="0"/>
        <w:spacing w:line="360" w:lineRule="auto"/>
        <w:ind w:firstLineChars="200" w:firstLine="480"/>
        <w:rPr>
          <w:bCs/>
          <w:sz w:val="24"/>
          <w:szCs w:val="24"/>
        </w:rPr>
      </w:pPr>
      <w:r>
        <w:rPr>
          <w:rFonts w:hAnsi="宋体"/>
          <w:bCs/>
          <w:sz w:val="24"/>
          <w:szCs w:val="24"/>
        </w:rPr>
        <w:lastRenderedPageBreak/>
        <w:t>投资人赎回申请成功后，基金管理人将在</w:t>
      </w:r>
      <w:r>
        <w:rPr>
          <w:bCs/>
          <w:sz w:val="24"/>
          <w:szCs w:val="24"/>
        </w:rPr>
        <w:t>T</w:t>
      </w:r>
      <w:r>
        <w:rPr>
          <w:rFonts w:hAnsi="宋体"/>
          <w:bCs/>
          <w:sz w:val="24"/>
          <w:szCs w:val="24"/>
        </w:rPr>
        <w:t>＋</w:t>
      </w:r>
      <w:r>
        <w:rPr>
          <w:bCs/>
          <w:sz w:val="24"/>
          <w:szCs w:val="24"/>
        </w:rPr>
        <w:t>7</w:t>
      </w:r>
      <w:r>
        <w:rPr>
          <w:rFonts w:hAnsi="宋体"/>
          <w:bCs/>
          <w:sz w:val="24"/>
          <w:szCs w:val="24"/>
        </w:rPr>
        <w:t>日（包括该日）内支付赎回款项。在发生巨额赎回时，款项的支付办法参照本基金合同有关条款处理。</w:t>
      </w:r>
    </w:p>
    <w:p w:rsidR="00B67D8A" w:rsidRDefault="00B67D8A">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、申购和赎回的注册登记</w:t>
      </w:r>
    </w:p>
    <w:p w:rsidR="00B67D8A" w:rsidRDefault="00B67D8A">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日为投资人增加权益并办理注册登记手续，投资人自</w:t>
      </w:r>
      <w:r>
        <w:rPr>
          <w:sz w:val="24"/>
          <w:szCs w:val="24"/>
        </w:rPr>
        <w:t>T</w:t>
      </w:r>
      <w:r>
        <w:rPr>
          <w:rFonts w:hAnsi="宋体"/>
          <w:sz w:val="24"/>
          <w:szCs w:val="24"/>
        </w:rPr>
        <w:t>＋</w:t>
      </w:r>
      <w:r>
        <w:rPr>
          <w:sz w:val="24"/>
          <w:szCs w:val="24"/>
        </w:rPr>
        <w:t>2</w:t>
      </w:r>
      <w:r>
        <w:rPr>
          <w:rFonts w:hAnsi="宋体"/>
          <w:sz w:val="24"/>
          <w:szCs w:val="24"/>
        </w:rPr>
        <w:t>日起（包括该日）有权赎回该部分基金份额。投资人应及时查询有关申请的确认情况。</w:t>
      </w:r>
    </w:p>
    <w:p w:rsidR="00B67D8A" w:rsidRDefault="00B67D8A">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日为投资人扣除权益并办理相应的注册登记手续。</w:t>
      </w:r>
    </w:p>
    <w:p w:rsidR="00B67D8A" w:rsidRDefault="00B67D8A">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）基金管理人可在法律法规允许的范围内，对上述注册登记办理时间进行调整，并于开始实施前按照《信息披露办法》的有关规定在指定媒体上公告并报中国证监会备案。</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、申购费用</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rsidR="00B67D8A" w:rsidRDefault="00B67D8A">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67D8A">
        <w:trPr>
          <w:cantSplit/>
          <w:trHeight w:val="132"/>
        </w:trPr>
        <w:tc>
          <w:tcPr>
            <w:tcW w:w="2491" w:type="dxa"/>
            <w:vMerge w:val="restart"/>
            <w:shd w:val="clear" w:color="auto" w:fill="auto"/>
            <w:vAlign w:val="center"/>
          </w:tcPr>
          <w:p w:rsidR="00B67D8A" w:rsidRDefault="00B67D8A">
            <w:pPr>
              <w:jc w:val="center"/>
              <w:rPr>
                <w:sz w:val="24"/>
              </w:rPr>
            </w:pPr>
            <w:r>
              <w:rPr>
                <w:sz w:val="24"/>
              </w:rPr>
              <w:t>申购费率</w:t>
            </w:r>
          </w:p>
        </w:tc>
        <w:tc>
          <w:tcPr>
            <w:tcW w:w="3260" w:type="dxa"/>
            <w:shd w:val="clear" w:color="auto" w:fill="FFFFFF"/>
            <w:vAlign w:val="center"/>
          </w:tcPr>
          <w:p w:rsidR="00B67D8A" w:rsidRDefault="00B67D8A">
            <w:pPr>
              <w:jc w:val="center"/>
              <w:rPr>
                <w:b/>
                <w:sz w:val="24"/>
              </w:rPr>
            </w:pPr>
            <w:r>
              <w:rPr>
                <w:b/>
                <w:sz w:val="24"/>
              </w:rPr>
              <w:t>申购金额（含申购费）</w:t>
            </w:r>
          </w:p>
        </w:tc>
        <w:tc>
          <w:tcPr>
            <w:tcW w:w="2043" w:type="dxa"/>
            <w:shd w:val="clear" w:color="auto" w:fill="FFFFFF"/>
            <w:vAlign w:val="center"/>
          </w:tcPr>
          <w:p w:rsidR="00B67D8A" w:rsidRDefault="00B67D8A">
            <w:pPr>
              <w:jc w:val="center"/>
              <w:rPr>
                <w:b/>
                <w:sz w:val="24"/>
              </w:rPr>
            </w:pPr>
            <w:r>
              <w:rPr>
                <w:b/>
                <w:sz w:val="24"/>
              </w:rPr>
              <w:t>申购费率</w:t>
            </w:r>
          </w:p>
        </w:tc>
      </w:tr>
      <w:tr w:rsidR="00B67D8A">
        <w:trPr>
          <w:cantSplit/>
          <w:trHeight w:val="131"/>
        </w:trPr>
        <w:tc>
          <w:tcPr>
            <w:tcW w:w="2491" w:type="dxa"/>
            <w:vMerge/>
          </w:tcPr>
          <w:p w:rsidR="00B67D8A" w:rsidRDefault="00B67D8A">
            <w:pPr>
              <w:rPr>
                <w:sz w:val="24"/>
              </w:rPr>
            </w:pPr>
          </w:p>
        </w:tc>
        <w:tc>
          <w:tcPr>
            <w:tcW w:w="3260" w:type="dxa"/>
          </w:tcPr>
          <w:p w:rsidR="00B67D8A" w:rsidRDefault="00B67D8A">
            <w:pPr>
              <w:rPr>
                <w:sz w:val="24"/>
              </w:rPr>
            </w:pPr>
            <w:r>
              <w:rPr>
                <w:sz w:val="24"/>
              </w:rPr>
              <w:t>50</w:t>
            </w:r>
            <w:r>
              <w:rPr>
                <w:rFonts w:hAnsi="宋体"/>
                <w:sz w:val="24"/>
              </w:rPr>
              <w:t>万元以下</w:t>
            </w:r>
          </w:p>
        </w:tc>
        <w:tc>
          <w:tcPr>
            <w:tcW w:w="2043" w:type="dxa"/>
          </w:tcPr>
          <w:p w:rsidR="00B67D8A" w:rsidRDefault="00B67D8A">
            <w:pPr>
              <w:jc w:val="center"/>
              <w:rPr>
                <w:sz w:val="24"/>
              </w:rPr>
            </w:pPr>
            <w:r>
              <w:rPr>
                <w:sz w:val="24"/>
              </w:rPr>
              <w:t>1.5%</w:t>
            </w:r>
          </w:p>
        </w:tc>
      </w:tr>
      <w:tr w:rsidR="00B67D8A">
        <w:trPr>
          <w:cantSplit/>
          <w:trHeight w:val="131"/>
        </w:trPr>
        <w:tc>
          <w:tcPr>
            <w:tcW w:w="2491" w:type="dxa"/>
            <w:vMerge/>
          </w:tcPr>
          <w:p w:rsidR="00B67D8A" w:rsidRDefault="00B67D8A">
            <w:pPr>
              <w:rPr>
                <w:sz w:val="24"/>
              </w:rPr>
            </w:pPr>
          </w:p>
        </w:tc>
        <w:tc>
          <w:tcPr>
            <w:tcW w:w="3260" w:type="dxa"/>
          </w:tcPr>
          <w:p w:rsidR="00B67D8A" w:rsidRDefault="00B67D8A">
            <w:pPr>
              <w:rPr>
                <w:sz w:val="24"/>
              </w:rPr>
            </w:pPr>
            <w:r>
              <w:rPr>
                <w:sz w:val="24"/>
              </w:rPr>
              <w:t>50</w:t>
            </w:r>
            <w:r>
              <w:rPr>
                <w:rFonts w:hAnsi="宋体"/>
                <w:sz w:val="24"/>
              </w:rPr>
              <w:t>万元（含）至</w:t>
            </w:r>
            <w:r>
              <w:rPr>
                <w:sz w:val="24"/>
              </w:rPr>
              <w:t>100</w:t>
            </w:r>
            <w:r>
              <w:rPr>
                <w:rFonts w:hAnsi="宋体"/>
                <w:sz w:val="24"/>
              </w:rPr>
              <w:t>万元</w:t>
            </w:r>
          </w:p>
        </w:tc>
        <w:tc>
          <w:tcPr>
            <w:tcW w:w="2043" w:type="dxa"/>
          </w:tcPr>
          <w:p w:rsidR="00B67D8A" w:rsidRDefault="00B67D8A">
            <w:pPr>
              <w:jc w:val="center"/>
              <w:rPr>
                <w:sz w:val="24"/>
              </w:rPr>
            </w:pPr>
            <w:r>
              <w:rPr>
                <w:sz w:val="24"/>
              </w:rPr>
              <w:t>1.2%</w:t>
            </w:r>
          </w:p>
        </w:tc>
      </w:tr>
      <w:tr w:rsidR="00B67D8A">
        <w:trPr>
          <w:cantSplit/>
          <w:trHeight w:val="131"/>
        </w:trPr>
        <w:tc>
          <w:tcPr>
            <w:tcW w:w="2491" w:type="dxa"/>
            <w:vMerge/>
          </w:tcPr>
          <w:p w:rsidR="00B67D8A" w:rsidRDefault="00B67D8A">
            <w:pPr>
              <w:rPr>
                <w:sz w:val="24"/>
              </w:rPr>
            </w:pPr>
          </w:p>
        </w:tc>
        <w:tc>
          <w:tcPr>
            <w:tcW w:w="3260" w:type="dxa"/>
          </w:tcPr>
          <w:p w:rsidR="00B67D8A" w:rsidRDefault="00B67D8A">
            <w:pPr>
              <w:rPr>
                <w:sz w:val="24"/>
              </w:rPr>
            </w:pPr>
            <w:r>
              <w:rPr>
                <w:sz w:val="24"/>
              </w:rPr>
              <w:t>100</w:t>
            </w:r>
            <w:r>
              <w:rPr>
                <w:rFonts w:hAnsi="宋体"/>
                <w:sz w:val="24"/>
              </w:rPr>
              <w:t>万元（含）至</w:t>
            </w:r>
            <w:r>
              <w:rPr>
                <w:sz w:val="24"/>
              </w:rPr>
              <w:t>200</w:t>
            </w:r>
            <w:r>
              <w:rPr>
                <w:rFonts w:hAnsi="宋体"/>
                <w:sz w:val="24"/>
              </w:rPr>
              <w:t>万元</w:t>
            </w:r>
          </w:p>
        </w:tc>
        <w:tc>
          <w:tcPr>
            <w:tcW w:w="2043" w:type="dxa"/>
          </w:tcPr>
          <w:p w:rsidR="00B67D8A" w:rsidRDefault="00B67D8A">
            <w:pPr>
              <w:jc w:val="center"/>
              <w:rPr>
                <w:sz w:val="24"/>
              </w:rPr>
            </w:pPr>
            <w:r>
              <w:rPr>
                <w:sz w:val="24"/>
              </w:rPr>
              <w:t>0.8%</w:t>
            </w:r>
          </w:p>
        </w:tc>
      </w:tr>
      <w:tr w:rsidR="00B67D8A">
        <w:trPr>
          <w:cantSplit/>
          <w:trHeight w:val="131"/>
        </w:trPr>
        <w:tc>
          <w:tcPr>
            <w:tcW w:w="2491" w:type="dxa"/>
            <w:vMerge/>
          </w:tcPr>
          <w:p w:rsidR="00B67D8A" w:rsidRDefault="00B67D8A">
            <w:pPr>
              <w:rPr>
                <w:sz w:val="24"/>
              </w:rPr>
            </w:pPr>
          </w:p>
        </w:tc>
        <w:tc>
          <w:tcPr>
            <w:tcW w:w="3260" w:type="dxa"/>
          </w:tcPr>
          <w:p w:rsidR="00B67D8A" w:rsidRDefault="00B67D8A">
            <w:pPr>
              <w:rPr>
                <w:sz w:val="24"/>
              </w:rPr>
            </w:pPr>
            <w:r>
              <w:rPr>
                <w:sz w:val="24"/>
              </w:rPr>
              <w:t>200</w:t>
            </w:r>
            <w:r>
              <w:rPr>
                <w:rFonts w:hAnsi="宋体"/>
                <w:sz w:val="24"/>
              </w:rPr>
              <w:t>万元（含）至</w:t>
            </w:r>
            <w:r>
              <w:rPr>
                <w:sz w:val="24"/>
              </w:rPr>
              <w:t>500</w:t>
            </w:r>
            <w:r>
              <w:rPr>
                <w:rFonts w:hAnsi="宋体"/>
                <w:sz w:val="24"/>
              </w:rPr>
              <w:t>万元</w:t>
            </w:r>
          </w:p>
        </w:tc>
        <w:tc>
          <w:tcPr>
            <w:tcW w:w="2043" w:type="dxa"/>
          </w:tcPr>
          <w:p w:rsidR="00B67D8A" w:rsidRDefault="00B67D8A">
            <w:pPr>
              <w:jc w:val="center"/>
              <w:rPr>
                <w:sz w:val="24"/>
              </w:rPr>
            </w:pPr>
            <w:r>
              <w:rPr>
                <w:sz w:val="24"/>
              </w:rPr>
              <w:t>0.5%</w:t>
            </w:r>
          </w:p>
        </w:tc>
      </w:tr>
      <w:tr w:rsidR="00B67D8A">
        <w:trPr>
          <w:cantSplit/>
          <w:trHeight w:val="131"/>
        </w:trPr>
        <w:tc>
          <w:tcPr>
            <w:tcW w:w="2491" w:type="dxa"/>
            <w:vMerge/>
          </w:tcPr>
          <w:p w:rsidR="00B67D8A" w:rsidRDefault="00B67D8A">
            <w:pPr>
              <w:rPr>
                <w:sz w:val="24"/>
              </w:rPr>
            </w:pPr>
          </w:p>
        </w:tc>
        <w:tc>
          <w:tcPr>
            <w:tcW w:w="3260" w:type="dxa"/>
          </w:tcPr>
          <w:p w:rsidR="00B67D8A" w:rsidRDefault="00B67D8A">
            <w:pPr>
              <w:rPr>
                <w:sz w:val="24"/>
              </w:rPr>
            </w:pPr>
            <w:r>
              <w:rPr>
                <w:sz w:val="24"/>
              </w:rPr>
              <w:t>500</w:t>
            </w:r>
            <w:r>
              <w:rPr>
                <w:rFonts w:hAnsi="宋体"/>
                <w:sz w:val="24"/>
              </w:rPr>
              <w:t>万元以上（含</w:t>
            </w:r>
            <w:r>
              <w:rPr>
                <w:sz w:val="24"/>
              </w:rPr>
              <w:t>500</w:t>
            </w:r>
            <w:r>
              <w:rPr>
                <w:rFonts w:hAnsi="宋体"/>
                <w:sz w:val="24"/>
              </w:rPr>
              <w:t>万）</w:t>
            </w:r>
          </w:p>
        </w:tc>
        <w:tc>
          <w:tcPr>
            <w:tcW w:w="2043" w:type="dxa"/>
          </w:tcPr>
          <w:p w:rsidR="00B67D8A" w:rsidRDefault="00B67D8A">
            <w:pPr>
              <w:jc w:val="center"/>
              <w:rPr>
                <w:sz w:val="24"/>
              </w:rPr>
            </w:pPr>
            <w:r>
              <w:rPr>
                <w:rFonts w:hAnsi="宋体"/>
                <w:sz w:val="24"/>
              </w:rPr>
              <w:t>每笔交易</w:t>
            </w:r>
            <w:r>
              <w:rPr>
                <w:sz w:val="24"/>
              </w:rPr>
              <w:t>1000</w:t>
            </w:r>
            <w:r>
              <w:rPr>
                <w:rFonts w:hAnsi="宋体"/>
                <w:sz w:val="24"/>
              </w:rPr>
              <w:t>元</w:t>
            </w:r>
          </w:p>
        </w:tc>
      </w:tr>
    </w:tbl>
    <w:p w:rsidR="00B67D8A" w:rsidRDefault="00B67D8A" w:rsidP="006D1B02">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、赎回费用</w:t>
      </w:r>
    </w:p>
    <w:p w:rsidR="00B67D8A" w:rsidRDefault="00B67D8A">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w:t>
      </w:r>
      <w:proofErr w:type="gramStart"/>
      <w:r>
        <w:rPr>
          <w:rFonts w:hAnsi="宋体"/>
          <w:sz w:val="24"/>
          <w:szCs w:val="24"/>
        </w:rPr>
        <w:t>归基金</w:t>
      </w:r>
      <w:proofErr w:type="gramEnd"/>
      <w:r>
        <w:rPr>
          <w:rFonts w:hAnsi="宋体"/>
          <w:sz w:val="24"/>
          <w:szCs w:val="24"/>
        </w:rPr>
        <w:t>财产，其余用于支付登记费和其他必要的手续费。</w:t>
      </w:r>
    </w:p>
    <w:p w:rsidR="00B67D8A" w:rsidRDefault="00B67D8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67D8A">
        <w:trPr>
          <w:cantSplit/>
          <w:trHeight w:val="132"/>
          <w:jc w:val="center"/>
        </w:trPr>
        <w:tc>
          <w:tcPr>
            <w:tcW w:w="2502" w:type="dxa"/>
            <w:vMerge w:val="restart"/>
            <w:shd w:val="clear" w:color="auto" w:fill="auto"/>
            <w:vAlign w:val="center"/>
          </w:tcPr>
          <w:p w:rsidR="00B67D8A" w:rsidRDefault="00B67D8A">
            <w:pPr>
              <w:spacing w:line="360" w:lineRule="auto"/>
              <w:jc w:val="center"/>
              <w:rPr>
                <w:sz w:val="24"/>
              </w:rPr>
            </w:pPr>
            <w:r>
              <w:rPr>
                <w:rFonts w:hAnsi="宋体"/>
                <w:sz w:val="24"/>
              </w:rPr>
              <w:lastRenderedPageBreak/>
              <w:t>赎回费率</w:t>
            </w:r>
          </w:p>
        </w:tc>
        <w:tc>
          <w:tcPr>
            <w:tcW w:w="3240" w:type="dxa"/>
            <w:shd w:val="clear" w:color="auto" w:fill="FFFFFF"/>
            <w:vAlign w:val="center"/>
          </w:tcPr>
          <w:p w:rsidR="00B67D8A" w:rsidRDefault="00B67D8A">
            <w:pPr>
              <w:jc w:val="center"/>
              <w:rPr>
                <w:b/>
                <w:sz w:val="24"/>
              </w:rPr>
            </w:pPr>
            <w:r>
              <w:rPr>
                <w:rFonts w:hAnsi="宋体"/>
                <w:b/>
                <w:sz w:val="24"/>
              </w:rPr>
              <w:t>持有期限</w:t>
            </w:r>
          </w:p>
        </w:tc>
        <w:tc>
          <w:tcPr>
            <w:tcW w:w="1926" w:type="dxa"/>
            <w:shd w:val="clear" w:color="auto" w:fill="FFFFFF"/>
            <w:vAlign w:val="center"/>
          </w:tcPr>
          <w:p w:rsidR="00B67D8A" w:rsidRDefault="00B67D8A">
            <w:pPr>
              <w:jc w:val="center"/>
              <w:rPr>
                <w:b/>
                <w:sz w:val="24"/>
              </w:rPr>
            </w:pPr>
            <w:r>
              <w:rPr>
                <w:rFonts w:hAnsi="宋体"/>
                <w:b/>
                <w:sz w:val="24"/>
              </w:rPr>
              <w:t>赎回费率</w:t>
            </w:r>
          </w:p>
        </w:tc>
      </w:tr>
      <w:tr w:rsidR="00B67D8A">
        <w:trPr>
          <w:cantSplit/>
          <w:trHeight w:val="131"/>
          <w:jc w:val="center"/>
        </w:trPr>
        <w:tc>
          <w:tcPr>
            <w:tcW w:w="2502" w:type="dxa"/>
            <w:vMerge/>
          </w:tcPr>
          <w:p w:rsidR="00B67D8A" w:rsidRDefault="00B67D8A">
            <w:pPr>
              <w:spacing w:line="360" w:lineRule="auto"/>
              <w:rPr>
                <w:sz w:val="24"/>
              </w:rPr>
            </w:pPr>
          </w:p>
        </w:tc>
        <w:tc>
          <w:tcPr>
            <w:tcW w:w="3240" w:type="dxa"/>
          </w:tcPr>
          <w:p w:rsidR="00B67D8A" w:rsidRDefault="00B67D8A">
            <w:pPr>
              <w:rPr>
                <w:sz w:val="24"/>
              </w:rPr>
            </w:pPr>
            <w:r>
              <w:rPr>
                <w:sz w:val="24"/>
              </w:rPr>
              <w:t>1</w:t>
            </w:r>
            <w:r>
              <w:rPr>
                <w:rFonts w:hAnsi="宋体"/>
                <w:sz w:val="24"/>
              </w:rPr>
              <w:t>年以内（含）</w:t>
            </w:r>
          </w:p>
        </w:tc>
        <w:tc>
          <w:tcPr>
            <w:tcW w:w="1926" w:type="dxa"/>
          </w:tcPr>
          <w:p w:rsidR="00B67D8A" w:rsidRDefault="00B67D8A">
            <w:pPr>
              <w:jc w:val="center"/>
              <w:rPr>
                <w:sz w:val="24"/>
              </w:rPr>
            </w:pPr>
            <w:r>
              <w:rPr>
                <w:sz w:val="24"/>
              </w:rPr>
              <w:t>0.5%</w:t>
            </w:r>
          </w:p>
        </w:tc>
      </w:tr>
      <w:tr w:rsidR="00B67D8A">
        <w:trPr>
          <w:cantSplit/>
          <w:trHeight w:val="131"/>
          <w:jc w:val="center"/>
        </w:trPr>
        <w:tc>
          <w:tcPr>
            <w:tcW w:w="2502" w:type="dxa"/>
            <w:vMerge/>
          </w:tcPr>
          <w:p w:rsidR="00B67D8A" w:rsidRDefault="00B67D8A">
            <w:pPr>
              <w:spacing w:line="360" w:lineRule="auto"/>
              <w:rPr>
                <w:sz w:val="24"/>
              </w:rPr>
            </w:pPr>
          </w:p>
        </w:tc>
        <w:tc>
          <w:tcPr>
            <w:tcW w:w="3240" w:type="dxa"/>
          </w:tcPr>
          <w:p w:rsidR="00B67D8A" w:rsidRDefault="00B67D8A">
            <w:pPr>
              <w:rPr>
                <w:sz w:val="24"/>
              </w:rPr>
            </w:pPr>
            <w:r>
              <w:rPr>
                <w:sz w:val="24"/>
              </w:rPr>
              <w:t>1</w:t>
            </w:r>
            <w:r>
              <w:rPr>
                <w:rFonts w:hAnsi="宋体"/>
                <w:sz w:val="24"/>
              </w:rPr>
              <w:t>年</w:t>
            </w:r>
            <w:r>
              <w:rPr>
                <w:sz w:val="24"/>
              </w:rPr>
              <w:t>—2</w:t>
            </w:r>
            <w:r>
              <w:rPr>
                <w:rFonts w:hAnsi="宋体"/>
                <w:sz w:val="24"/>
              </w:rPr>
              <w:t>年（含）</w:t>
            </w:r>
          </w:p>
        </w:tc>
        <w:tc>
          <w:tcPr>
            <w:tcW w:w="1926" w:type="dxa"/>
          </w:tcPr>
          <w:p w:rsidR="00B67D8A" w:rsidRDefault="00B67D8A">
            <w:pPr>
              <w:jc w:val="center"/>
              <w:rPr>
                <w:sz w:val="24"/>
              </w:rPr>
            </w:pPr>
            <w:r>
              <w:rPr>
                <w:sz w:val="24"/>
              </w:rPr>
              <w:t>0.2%</w:t>
            </w:r>
          </w:p>
        </w:tc>
      </w:tr>
      <w:tr w:rsidR="00B67D8A">
        <w:trPr>
          <w:cantSplit/>
          <w:trHeight w:val="131"/>
          <w:jc w:val="center"/>
        </w:trPr>
        <w:tc>
          <w:tcPr>
            <w:tcW w:w="2502" w:type="dxa"/>
            <w:vMerge/>
          </w:tcPr>
          <w:p w:rsidR="00B67D8A" w:rsidRDefault="00B67D8A">
            <w:pPr>
              <w:spacing w:line="360" w:lineRule="auto"/>
              <w:rPr>
                <w:sz w:val="24"/>
              </w:rPr>
            </w:pPr>
          </w:p>
        </w:tc>
        <w:tc>
          <w:tcPr>
            <w:tcW w:w="3240" w:type="dxa"/>
          </w:tcPr>
          <w:p w:rsidR="00B67D8A" w:rsidRDefault="00B67D8A">
            <w:pPr>
              <w:rPr>
                <w:sz w:val="24"/>
              </w:rPr>
            </w:pPr>
            <w:r>
              <w:rPr>
                <w:sz w:val="24"/>
              </w:rPr>
              <w:t>2</w:t>
            </w:r>
            <w:r>
              <w:rPr>
                <w:rFonts w:hAnsi="宋体"/>
                <w:sz w:val="24"/>
              </w:rPr>
              <w:t>年以上</w:t>
            </w:r>
          </w:p>
        </w:tc>
        <w:tc>
          <w:tcPr>
            <w:tcW w:w="1926" w:type="dxa"/>
          </w:tcPr>
          <w:p w:rsidR="00B67D8A" w:rsidRDefault="00B67D8A">
            <w:pPr>
              <w:jc w:val="center"/>
              <w:rPr>
                <w:sz w:val="24"/>
              </w:rPr>
            </w:pPr>
            <w:r>
              <w:rPr>
                <w:sz w:val="24"/>
              </w:rPr>
              <w:t>0</w:t>
            </w:r>
          </w:p>
        </w:tc>
      </w:tr>
    </w:tbl>
    <w:p w:rsidR="00B67D8A" w:rsidRDefault="00B67D8A" w:rsidP="006D1B02">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rsidR="00B67D8A" w:rsidRDefault="00B67D8A">
      <w:pPr>
        <w:widowControl/>
        <w:spacing w:line="360" w:lineRule="auto"/>
        <w:ind w:firstLineChars="200" w:firstLine="480"/>
        <w:rPr>
          <w:rFonts w:ascii="宋体" w:hAnsi="宋体"/>
          <w:kern w:val="0"/>
          <w:sz w:val="24"/>
          <w:szCs w:val="24"/>
        </w:rPr>
      </w:pPr>
      <w:r>
        <w:rPr>
          <w:rFonts w:ascii="宋体" w:hAnsi="宋体" w:hint="eastAsia"/>
          <w:kern w:val="0"/>
          <w:sz w:val="24"/>
          <w:szCs w:val="24"/>
        </w:rPr>
        <w:t>3、网上直销的有关费率</w:t>
      </w:r>
    </w:p>
    <w:p w:rsidR="00B67D8A" w:rsidRDefault="00B67D8A">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w:t>
      </w:r>
      <w:proofErr w:type="gramStart"/>
      <w:r>
        <w:rPr>
          <w:rFonts w:hint="eastAsia"/>
          <w:sz w:val="24"/>
          <w:szCs w:val="21"/>
        </w:rPr>
        <w:t>基金基金</w:t>
      </w:r>
      <w:proofErr w:type="gramEnd"/>
      <w:r>
        <w:rPr>
          <w:rFonts w:hint="eastAsia"/>
          <w:sz w:val="24"/>
          <w:szCs w:val="21"/>
        </w:rPr>
        <w:t>份额申购和定期定额投资业务的个人投资者将享受申购费率优惠，</w:t>
      </w:r>
      <w:r>
        <w:rPr>
          <w:rFonts w:ascii="宋体" w:hAnsi="宋体" w:hint="eastAsia"/>
          <w:sz w:val="24"/>
        </w:rPr>
        <w:t>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w:t>
      </w:r>
      <w:r w:rsidR="00892467">
        <w:rPr>
          <w:rFonts w:ascii="宋体" w:hAnsi="宋体" w:hint="eastAsia"/>
          <w:sz w:val="24"/>
        </w:rPr>
        <w:t>前端</w:t>
      </w:r>
      <w:r>
        <w:rPr>
          <w:rFonts w:ascii="宋体" w:hAnsi="宋体" w:hint="eastAsia"/>
          <w:sz w:val="24"/>
        </w:rPr>
        <w:t>申购补差费率将享受优惠</w:t>
      </w:r>
      <w:r>
        <w:rPr>
          <w:rFonts w:hint="eastAsia"/>
          <w:sz w:val="24"/>
          <w:szCs w:val="21"/>
        </w:rPr>
        <w:t>，其他费率标准不变。具体优惠费率请参见公司网站列示的网上直销交易平台申购、定期定额投资及转换费率表或相关公告。</w:t>
      </w:r>
    </w:p>
    <w:p w:rsidR="00B67D8A" w:rsidRDefault="00B67D8A">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rsidR="00B67D8A" w:rsidRDefault="00B67D8A">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w:t>
      </w:r>
      <w:proofErr w:type="gramStart"/>
      <w:r>
        <w:rPr>
          <w:rFonts w:hint="eastAsia"/>
          <w:sz w:val="24"/>
          <w:szCs w:val="21"/>
        </w:rPr>
        <w:t>基金基金</w:t>
      </w:r>
      <w:proofErr w:type="gramEnd"/>
      <w:r>
        <w:rPr>
          <w:rFonts w:hint="eastAsia"/>
          <w:sz w:val="24"/>
          <w:szCs w:val="21"/>
        </w:rPr>
        <w:t>份额的单笔最低金额为</w:t>
      </w:r>
      <w:r>
        <w:rPr>
          <w:rFonts w:hint="eastAsia"/>
          <w:sz w:val="24"/>
          <w:szCs w:val="21"/>
        </w:rPr>
        <w:t>1,000</w:t>
      </w:r>
      <w:r>
        <w:rPr>
          <w:rFonts w:hint="eastAsia"/>
          <w:sz w:val="24"/>
          <w:szCs w:val="21"/>
        </w:rPr>
        <w:t>元（含），单笔定期定额投资最低金额为</w:t>
      </w:r>
      <w:r>
        <w:rPr>
          <w:rFonts w:hint="eastAsia"/>
          <w:sz w:val="24"/>
          <w:szCs w:val="21"/>
        </w:rPr>
        <w:t>100</w:t>
      </w:r>
      <w:r>
        <w:rPr>
          <w:rFonts w:hint="eastAsia"/>
          <w:sz w:val="24"/>
          <w:szCs w:val="21"/>
        </w:rPr>
        <w:t>元（含），不受网上直销日常申购的最低金额限制；单笔转换份额不得低于</w:t>
      </w:r>
      <w:r>
        <w:rPr>
          <w:rFonts w:hint="eastAsia"/>
          <w:sz w:val="24"/>
          <w:szCs w:val="21"/>
        </w:rPr>
        <w:t>100</w:t>
      </w:r>
      <w:r>
        <w:rPr>
          <w:rFonts w:hint="eastAsia"/>
          <w:sz w:val="24"/>
          <w:szCs w:val="21"/>
        </w:rPr>
        <w:t>份，投资者可将其全部或部分基金份额转换成其它基金，单笔转换申请不受转入基金最低申购限额限制。</w:t>
      </w:r>
    </w:p>
    <w:p w:rsidR="00B67D8A" w:rsidRDefault="00B67D8A">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rsidR="00B67D8A" w:rsidRDefault="00B67D8A">
      <w:pPr>
        <w:widowControl/>
        <w:adjustRightInd w:val="0"/>
        <w:snapToGrid w:val="0"/>
        <w:spacing w:line="360" w:lineRule="auto"/>
        <w:ind w:firstLineChars="200" w:firstLine="480"/>
        <w:rPr>
          <w:kern w:val="0"/>
          <w:sz w:val="24"/>
          <w:szCs w:val="24"/>
        </w:rPr>
      </w:pPr>
      <w:r>
        <w:rPr>
          <w:rFonts w:hint="eastAsia"/>
          <w:sz w:val="24"/>
          <w:szCs w:val="24"/>
        </w:rPr>
        <w:t>4</w:t>
      </w:r>
      <w:r>
        <w:rPr>
          <w:rFonts w:hAnsi="宋体"/>
          <w:sz w:val="24"/>
          <w:szCs w:val="24"/>
        </w:rPr>
        <w:t>、基金管理人可以在基金合同约定的范围内调整费率或收费方式，并最迟应于新的费率或收费方式实施日前依照《信息披露办法》的有关规定在指定媒体上公告。</w:t>
      </w:r>
    </w:p>
    <w:p w:rsidR="00B67D8A" w:rsidRDefault="00B67D8A">
      <w:pPr>
        <w:widowControl/>
        <w:adjustRightInd w:val="0"/>
        <w:snapToGrid w:val="0"/>
        <w:spacing w:line="360" w:lineRule="auto"/>
        <w:ind w:firstLineChars="200" w:firstLine="480"/>
        <w:rPr>
          <w:b/>
          <w:kern w:val="0"/>
          <w:sz w:val="24"/>
          <w:szCs w:val="24"/>
        </w:rPr>
      </w:pPr>
      <w:r>
        <w:rPr>
          <w:rFonts w:hint="eastAsia"/>
          <w:sz w:val="24"/>
          <w:szCs w:val="24"/>
        </w:rPr>
        <w:t>5</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bookmarkStart w:id="38" w:name="_Hlt81024033"/>
      <w:bookmarkStart w:id="39" w:name="_Hlt90458725"/>
      <w:bookmarkStart w:id="40" w:name="_Hlt91144389"/>
      <w:bookmarkEnd w:id="38"/>
      <w:bookmarkEnd w:id="39"/>
      <w:bookmarkEnd w:id="40"/>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（七）申购和赎回的数额和价格</w:t>
      </w:r>
    </w:p>
    <w:p w:rsidR="00B67D8A" w:rsidRDefault="00B67D8A">
      <w:pPr>
        <w:widowControl/>
        <w:adjustRightInd w:val="0"/>
        <w:snapToGrid w:val="0"/>
        <w:spacing w:line="360" w:lineRule="auto"/>
        <w:ind w:firstLineChars="200" w:firstLine="480"/>
        <w:rPr>
          <w:kern w:val="0"/>
          <w:sz w:val="24"/>
          <w:szCs w:val="24"/>
        </w:rPr>
      </w:pPr>
      <w:r>
        <w:rPr>
          <w:kern w:val="0"/>
          <w:sz w:val="24"/>
          <w:szCs w:val="24"/>
        </w:rPr>
        <w:lastRenderedPageBreak/>
        <w:t>1</w:t>
      </w:r>
      <w:r>
        <w:rPr>
          <w:rFonts w:hAnsi="宋体"/>
          <w:kern w:val="0"/>
          <w:sz w:val="24"/>
          <w:szCs w:val="24"/>
        </w:rPr>
        <w:t>、申购和赎回数额、余额的处理方式</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w:t>
      </w:r>
      <w:r>
        <w:rPr>
          <w:rFonts w:hAnsi="宋体"/>
          <w:sz w:val="24"/>
          <w:szCs w:val="24"/>
        </w:rPr>
        <w:t>申购的有效份额为按实际确认的申购金额在扣除相应的费用后，以当日基金份额净值为基准计算，申购份额计算结果保留到小数点后</w:t>
      </w:r>
      <w:r>
        <w:rPr>
          <w:sz w:val="24"/>
          <w:szCs w:val="24"/>
        </w:rPr>
        <w:t>2</w:t>
      </w:r>
      <w:r>
        <w:rPr>
          <w:rFonts w:hAnsi="宋体"/>
          <w:sz w:val="24"/>
          <w:szCs w:val="24"/>
        </w:rPr>
        <w:t>位，小数点后两位以后的部分四舍五入，由此误差产生的收益或损失由基金财产承担。</w:t>
      </w:r>
    </w:p>
    <w:p w:rsidR="00B67D8A" w:rsidRDefault="00B67D8A">
      <w:pPr>
        <w:adjustRightInd w:val="0"/>
        <w:snapToGrid w:val="0"/>
        <w:spacing w:line="360" w:lineRule="auto"/>
        <w:ind w:firstLineChars="200" w:firstLine="480"/>
        <w:rPr>
          <w:sz w:val="24"/>
          <w:szCs w:val="24"/>
        </w:rPr>
      </w:pPr>
      <w:r>
        <w:rPr>
          <w:rFonts w:hAnsi="宋体"/>
          <w:kern w:val="0"/>
          <w:sz w:val="24"/>
          <w:szCs w:val="24"/>
        </w:rPr>
        <w:t>（</w:t>
      </w:r>
      <w:r>
        <w:rPr>
          <w:kern w:val="0"/>
          <w:sz w:val="24"/>
          <w:szCs w:val="24"/>
        </w:rPr>
        <w:t>2</w:t>
      </w:r>
      <w:r>
        <w:rPr>
          <w:rFonts w:hAnsi="宋体"/>
          <w:kern w:val="0"/>
          <w:sz w:val="24"/>
          <w:szCs w:val="24"/>
        </w:rPr>
        <w:t>）</w:t>
      </w:r>
      <w:r>
        <w:rPr>
          <w:rFonts w:hAnsi="宋体"/>
          <w:sz w:val="24"/>
          <w:szCs w:val="24"/>
        </w:rPr>
        <w:t>赎回金额为按实际确认的有效赎回份额乘以当日基金份额净值并扣除相应的费用，赎回金额计算结果保留到小数点后</w:t>
      </w:r>
      <w:r>
        <w:rPr>
          <w:sz w:val="24"/>
          <w:szCs w:val="24"/>
        </w:rPr>
        <w:t>2</w:t>
      </w:r>
      <w:r>
        <w:rPr>
          <w:rFonts w:hAnsi="宋体"/>
          <w:sz w:val="24"/>
          <w:szCs w:val="24"/>
        </w:rPr>
        <w:t>位，小数点后两位以后的部分四舍五入，由此误差产生的收益或损失由基金财产承担。</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、申购份额的计算</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proofErr w:type="gramStart"/>
      <w:r>
        <w:rPr>
          <w:rFonts w:hAnsi="宋体"/>
          <w:kern w:val="0"/>
          <w:sz w:val="24"/>
          <w:szCs w:val="24"/>
        </w:rPr>
        <w:t>申请总</w:t>
      </w:r>
      <w:proofErr w:type="gramEnd"/>
      <w:r>
        <w:rPr>
          <w:rFonts w:hAnsi="宋体"/>
          <w:kern w:val="0"/>
          <w:sz w:val="24"/>
          <w:szCs w:val="24"/>
        </w:rPr>
        <w:t>金额</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例二：某投资人投资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、赎回金额的计算</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例三：某投资人赎回认购（申购）持有的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lastRenderedPageBreak/>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日内公告。遇特殊情况，经中国证监会同意，可以适当延迟计算或公告。</w:t>
      </w:r>
      <w:r>
        <w:rPr>
          <w:rFonts w:hAnsi="宋体"/>
          <w:sz w:val="24"/>
          <w:szCs w:val="24"/>
        </w:rPr>
        <w:t>本</w:t>
      </w:r>
      <w:proofErr w:type="gramStart"/>
      <w:r>
        <w:rPr>
          <w:rFonts w:hAnsi="宋体"/>
          <w:sz w:val="24"/>
          <w:szCs w:val="24"/>
        </w:rPr>
        <w:t>基金基金</w:t>
      </w:r>
      <w:proofErr w:type="gramEnd"/>
      <w:r>
        <w:rPr>
          <w:rFonts w:hAnsi="宋体"/>
          <w:sz w:val="24"/>
          <w:szCs w:val="24"/>
        </w:rPr>
        <w:t>份额净值的计算，保留到小数点后</w:t>
      </w:r>
      <w:r>
        <w:rPr>
          <w:sz w:val="24"/>
          <w:szCs w:val="24"/>
        </w:rPr>
        <w:t>3</w:t>
      </w:r>
      <w:r>
        <w:rPr>
          <w:rFonts w:hAnsi="宋体"/>
          <w:sz w:val="24"/>
          <w:szCs w:val="24"/>
        </w:rPr>
        <w:t>位，小数点后第</w:t>
      </w:r>
      <w:r>
        <w:rPr>
          <w:sz w:val="24"/>
          <w:szCs w:val="24"/>
        </w:rPr>
        <w:t>4</w:t>
      </w:r>
      <w:r>
        <w:rPr>
          <w:rFonts w:hAnsi="宋体"/>
          <w:sz w:val="24"/>
          <w:szCs w:val="24"/>
        </w:rPr>
        <w:t>位四舍五入，由此误差产生的收益或损失由基金财产承担。</w:t>
      </w:r>
    </w:p>
    <w:p w:rsidR="00B67D8A" w:rsidRDefault="00B67D8A">
      <w:pPr>
        <w:widowControl/>
        <w:adjustRightInd w:val="0"/>
        <w:snapToGrid w:val="0"/>
        <w:spacing w:line="360" w:lineRule="auto"/>
        <w:ind w:firstLineChars="200" w:firstLine="482"/>
        <w:outlineLvl w:val="1"/>
        <w:rPr>
          <w:b/>
          <w:kern w:val="0"/>
          <w:sz w:val="24"/>
          <w:szCs w:val="24"/>
        </w:rPr>
      </w:pPr>
      <w:bookmarkStart w:id="41" w:name="_Toc79392615"/>
      <w:r>
        <w:rPr>
          <w:rFonts w:hAnsi="宋体"/>
          <w:b/>
          <w:kern w:val="0"/>
          <w:sz w:val="24"/>
          <w:szCs w:val="24"/>
        </w:rPr>
        <w:t>（八）拒绝或暂停申购的情形</w:t>
      </w:r>
      <w:bookmarkEnd w:id="41"/>
    </w:p>
    <w:p w:rsidR="00B67D8A" w:rsidRDefault="00B67D8A">
      <w:pPr>
        <w:adjustRightInd w:val="0"/>
        <w:snapToGrid w:val="0"/>
        <w:spacing w:line="360" w:lineRule="auto"/>
        <w:ind w:firstLineChars="200" w:firstLine="480"/>
        <w:rPr>
          <w:bCs/>
          <w:sz w:val="24"/>
          <w:szCs w:val="24"/>
        </w:rPr>
      </w:pPr>
      <w:r>
        <w:rPr>
          <w:rFonts w:hAnsi="宋体"/>
          <w:bCs/>
          <w:sz w:val="24"/>
          <w:szCs w:val="24"/>
        </w:rPr>
        <w:t>发生下列情况时，基金管理人可拒绝或暂停接受投资人的申购申请：</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、因不可抗力导致基金无法正常运作。</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、发生基金合同规定的暂停基金资产估值情况时，基金管理人可暂停接受投资人的申购申请。</w:t>
      </w:r>
    </w:p>
    <w:p w:rsidR="00B67D8A" w:rsidRDefault="00B67D8A">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rsidR="00B67D8A" w:rsidRDefault="00B67D8A">
      <w:pPr>
        <w:adjustRightInd w:val="0"/>
        <w:snapToGrid w:val="0"/>
        <w:spacing w:line="360" w:lineRule="auto"/>
        <w:ind w:firstLineChars="200" w:firstLine="480"/>
        <w:rPr>
          <w:bCs/>
          <w:sz w:val="24"/>
          <w:szCs w:val="24"/>
        </w:rPr>
      </w:pPr>
      <w:bookmarkStart w:id="42" w:name="_Hlt70481650"/>
      <w:bookmarkEnd w:id="42"/>
      <w:r>
        <w:rPr>
          <w:bCs/>
          <w:sz w:val="24"/>
          <w:szCs w:val="24"/>
        </w:rPr>
        <w:t>4</w:t>
      </w:r>
      <w:r>
        <w:rPr>
          <w:rFonts w:hAnsi="宋体"/>
          <w:bCs/>
          <w:sz w:val="24"/>
          <w:szCs w:val="24"/>
        </w:rPr>
        <w:t>、基金管理人认为接受某笔或某些申购申请可能会影响或损害现有基金份额持有人利益时。</w:t>
      </w:r>
    </w:p>
    <w:p w:rsidR="00B67D8A" w:rsidRDefault="00B67D8A">
      <w:pPr>
        <w:adjustRightInd w:val="0"/>
        <w:snapToGrid w:val="0"/>
        <w:spacing w:line="360" w:lineRule="auto"/>
        <w:ind w:firstLineChars="200" w:firstLine="480"/>
        <w:rPr>
          <w:bCs/>
          <w:sz w:val="24"/>
          <w:szCs w:val="24"/>
        </w:rPr>
      </w:pPr>
      <w:r>
        <w:rPr>
          <w:bCs/>
          <w:sz w:val="24"/>
          <w:szCs w:val="24"/>
        </w:rPr>
        <w:t>5</w:t>
      </w:r>
      <w:r>
        <w:rPr>
          <w:rFonts w:hAnsi="宋体"/>
          <w:bCs/>
          <w:sz w:val="24"/>
          <w:szCs w:val="24"/>
        </w:rPr>
        <w:t>、基金资产规模过大，使基金管理人无法找到合适的投资品种，或其他可能对基金业绩产生负面影响，从而损害现有基金份额持有人利益的情形。</w:t>
      </w:r>
    </w:p>
    <w:p w:rsidR="00B67D8A" w:rsidRDefault="00B67D8A">
      <w:pPr>
        <w:adjustRightInd w:val="0"/>
        <w:snapToGrid w:val="0"/>
        <w:spacing w:line="360" w:lineRule="auto"/>
        <w:ind w:firstLineChars="200" w:firstLine="480"/>
        <w:rPr>
          <w:bCs/>
          <w:sz w:val="24"/>
          <w:szCs w:val="24"/>
        </w:rPr>
      </w:pPr>
      <w:r>
        <w:rPr>
          <w:bCs/>
          <w:sz w:val="24"/>
          <w:szCs w:val="24"/>
        </w:rPr>
        <w:t>6</w:t>
      </w:r>
      <w:r>
        <w:rPr>
          <w:rFonts w:hAnsi="宋体"/>
          <w:bCs/>
          <w:sz w:val="24"/>
          <w:szCs w:val="24"/>
        </w:rPr>
        <w:t>、法律法规规定或中国证监会认定的其他情形。</w:t>
      </w:r>
    </w:p>
    <w:p w:rsidR="00B67D8A" w:rsidRDefault="00B67D8A">
      <w:pPr>
        <w:adjustRightInd w:val="0"/>
        <w:snapToGrid w:val="0"/>
        <w:spacing w:line="360" w:lineRule="auto"/>
        <w:ind w:firstLineChars="200" w:firstLine="480"/>
        <w:rPr>
          <w:kern w:val="0"/>
          <w:sz w:val="24"/>
          <w:szCs w:val="24"/>
        </w:rPr>
      </w:pPr>
      <w:r>
        <w:rPr>
          <w:rFonts w:hAnsi="宋体"/>
          <w:bCs/>
          <w:sz w:val="24"/>
          <w:szCs w:val="24"/>
        </w:rPr>
        <w:t>发生上述第</w:t>
      </w:r>
      <w:r>
        <w:rPr>
          <w:bCs/>
          <w:sz w:val="24"/>
          <w:szCs w:val="24"/>
        </w:rPr>
        <w:t>1</w:t>
      </w:r>
      <w:r>
        <w:rPr>
          <w:rFonts w:hAnsi="宋体"/>
          <w:bCs/>
          <w:sz w:val="24"/>
          <w:szCs w:val="24"/>
        </w:rPr>
        <w:t>、</w:t>
      </w:r>
      <w:r>
        <w:rPr>
          <w:bCs/>
          <w:sz w:val="24"/>
          <w:szCs w:val="24"/>
        </w:rPr>
        <w:t>2</w:t>
      </w:r>
      <w:r>
        <w:rPr>
          <w:rFonts w:hAnsi="宋体"/>
          <w:bCs/>
          <w:sz w:val="24"/>
          <w:szCs w:val="24"/>
        </w:rPr>
        <w:t>、</w:t>
      </w:r>
      <w:r>
        <w:rPr>
          <w:bCs/>
          <w:sz w:val="24"/>
          <w:szCs w:val="24"/>
        </w:rPr>
        <w:t>3</w:t>
      </w:r>
      <w:r>
        <w:rPr>
          <w:rFonts w:hAnsi="宋体"/>
          <w:bCs/>
          <w:sz w:val="24"/>
          <w:szCs w:val="24"/>
        </w:rPr>
        <w:t>、</w:t>
      </w:r>
      <w:r>
        <w:rPr>
          <w:bCs/>
          <w:sz w:val="24"/>
          <w:szCs w:val="24"/>
        </w:rPr>
        <w:t>5</w:t>
      </w:r>
      <w:r>
        <w:rPr>
          <w:rFonts w:hAnsi="宋体"/>
          <w:bCs/>
          <w:sz w:val="24"/>
          <w:szCs w:val="24"/>
        </w:rPr>
        <w:t>、</w:t>
      </w:r>
      <w:r>
        <w:rPr>
          <w:bCs/>
          <w:sz w:val="24"/>
          <w:szCs w:val="24"/>
        </w:rPr>
        <w:t>6</w:t>
      </w:r>
      <w:r>
        <w:rPr>
          <w:rFonts w:hAnsi="宋体"/>
          <w:bCs/>
          <w:sz w:val="24"/>
          <w:szCs w:val="24"/>
        </w:rPr>
        <w:t>项暂停申购情形之一</w:t>
      </w:r>
      <w:proofErr w:type="gramStart"/>
      <w:r>
        <w:rPr>
          <w:rFonts w:hAnsi="宋体"/>
          <w:sz w:val="24"/>
          <w:szCs w:val="24"/>
        </w:rPr>
        <w:t>且基金</w:t>
      </w:r>
      <w:proofErr w:type="gramEnd"/>
      <w:r>
        <w:rPr>
          <w:rFonts w:hAnsi="宋体"/>
          <w:sz w:val="24"/>
          <w:szCs w:val="24"/>
        </w:rPr>
        <w:t>管理人决定暂停</w:t>
      </w:r>
      <w:r>
        <w:rPr>
          <w:rFonts w:hAnsi="宋体" w:hint="eastAsia"/>
          <w:bCs/>
          <w:sz w:val="24"/>
        </w:rPr>
        <w:t>申购</w:t>
      </w:r>
      <w:r>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rsidR="00B67D8A" w:rsidRDefault="00B67D8A">
      <w:pPr>
        <w:adjustRightInd w:val="0"/>
        <w:snapToGrid w:val="0"/>
        <w:spacing w:line="360" w:lineRule="auto"/>
        <w:ind w:firstLineChars="200" w:firstLine="480"/>
        <w:rPr>
          <w:bCs/>
          <w:sz w:val="24"/>
          <w:szCs w:val="24"/>
        </w:rPr>
      </w:pPr>
      <w:bookmarkStart w:id="43" w:name="_Toc79392616"/>
      <w:r>
        <w:rPr>
          <w:rFonts w:hAnsi="宋体"/>
          <w:bCs/>
          <w:sz w:val="24"/>
          <w:szCs w:val="24"/>
        </w:rPr>
        <w:t>发生下列情形时，基金管理人可暂停接受投资人的赎回申请或延缓支付赎回款项：</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、因不可抗力导致基金管理人不能支付赎回款项。</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w:t>
      </w:r>
      <w:r>
        <w:rPr>
          <w:rFonts w:hAnsi="宋体"/>
          <w:bCs/>
          <w:sz w:val="24"/>
          <w:szCs w:val="24"/>
        </w:rPr>
        <w:lastRenderedPageBreak/>
        <w:t>人的赎回申请或延缓支付赎回款项。</w:t>
      </w:r>
    </w:p>
    <w:p w:rsidR="00B67D8A" w:rsidRDefault="00B67D8A">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rsidR="00B67D8A" w:rsidRDefault="00B67D8A">
      <w:pPr>
        <w:adjustRightInd w:val="0"/>
        <w:snapToGrid w:val="0"/>
        <w:spacing w:line="360" w:lineRule="auto"/>
        <w:ind w:firstLineChars="200" w:firstLine="480"/>
        <w:rPr>
          <w:bCs/>
          <w:sz w:val="24"/>
          <w:szCs w:val="24"/>
        </w:rPr>
      </w:pPr>
      <w:r>
        <w:rPr>
          <w:bCs/>
          <w:sz w:val="24"/>
          <w:szCs w:val="24"/>
        </w:rPr>
        <w:t>4</w:t>
      </w:r>
      <w:r>
        <w:rPr>
          <w:rFonts w:hAnsi="宋体"/>
          <w:bCs/>
          <w:sz w:val="24"/>
          <w:szCs w:val="24"/>
        </w:rPr>
        <w:t>、连续两个或两个以上开放日发生巨额赎回。</w:t>
      </w:r>
    </w:p>
    <w:p w:rsidR="00B67D8A" w:rsidRDefault="00B67D8A">
      <w:pPr>
        <w:adjustRightInd w:val="0"/>
        <w:snapToGrid w:val="0"/>
        <w:spacing w:line="360" w:lineRule="auto"/>
        <w:ind w:firstLineChars="200" w:firstLine="480"/>
        <w:rPr>
          <w:bCs/>
          <w:sz w:val="24"/>
          <w:szCs w:val="24"/>
        </w:rPr>
      </w:pPr>
      <w:r>
        <w:rPr>
          <w:bCs/>
          <w:sz w:val="24"/>
          <w:szCs w:val="24"/>
        </w:rPr>
        <w:t>5</w:t>
      </w:r>
      <w:r>
        <w:rPr>
          <w:rFonts w:hAnsi="宋体"/>
          <w:bCs/>
          <w:sz w:val="24"/>
          <w:szCs w:val="24"/>
        </w:rPr>
        <w:t>、法律法规规定或中国证监会认定的其他情形。</w:t>
      </w:r>
    </w:p>
    <w:p w:rsidR="00B67D8A" w:rsidRDefault="00B67D8A">
      <w:pPr>
        <w:adjustRightInd w:val="0"/>
        <w:snapToGrid w:val="0"/>
        <w:spacing w:line="360" w:lineRule="auto"/>
        <w:ind w:firstLineChars="200" w:firstLine="480"/>
        <w:rPr>
          <w:sz w:val="24"/>
          <w:szCs w:val="24"/>
        </w:rPr>
      </w:pPr>
      <w:r>
        <w:rPr>
          <w:rFonts w:hAnsi="宋体"/>
          <w:bCs/>
          <w:sz w:val="24"/>
          <w:szCs w:val="24"/>
        </w:rPr>
        <w:t>发生上述情形之一</w:t>
      </w:r>
      <w:proofErr w:type="gramStart"/>
      <w:r>
        <w:rPr>
          <w:rFonts w:hAnsi="宋体"/>
          <w:bCs/>
          <w:sz w:val="24"/>
          <w:szCs w:val="24"/>
        </w:rPr>
        <w:t>且基金</w:t>
      </w:r>
      <w:proofErr w:type="gramEnd"/>
      <w:r>
        <w:rPr>
          <w:rFonts w:hAnsi="宋体"/>
          <w:bCs/>
          <w:sz w:val="24"/>
          <w:szCs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bCs/>
          <w:sz w:val="24"/>
          <w:szCs w:val="24"/>
        </w:rPr>
        <w:t>4</w:t>
      </w:r>
      <w:r>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43"/>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、巨额赎回的认定</w:t>
      </w:r>
    </w:p>
    <w:p w:rsidR="00B67D8A" w:rsidRDefault="00B67D8A">
      <w:pPr>
        <w:adjustRightInd w:val="0"/>
        <w:snapToGrid w:val="0"/>
        <w:spacing w:line="360" w:lineRule="auto"/>
        <w:ind w:firstLineChars="200" w:firstLine="480"/>
        <w:rPr>
          <w:sz w:val="24"/>
          <w:szCs w:val="24"/>
        </w:rPr>
      </w:pPr>
      <w:r>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bCs/>
          <w:sz w:val="24"/>
          <w:szCs w:val="24"/>
        </w:rPr>
        <w:t>10%</w:t>
      </w:r>
      <w:r>
        <w:rPr>
          <w:rFonts w:hAnsi="宋体"/>
          <w:bCs/>
          <w:sz w:val="24"/>
          <w:szCs w:val="24"/>
        </w:rPr>
        <w:t>，即认为是发生了巨额赎回。</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、巨额赎回的处理方式</w:t>
      </w:r>
    </w:p>
    <w:p w:rsidR="00B67D8A" w:rsidRDefault="00B67D8A">
      <w:pPr>
        <w:adjustRightInd w:val="0"/>
        <w:snapToGrid w:val="0"/>
        <w:spacing w:line="360" w:lineRule="auto"/>
        <w:ind w:firstLineChars="200" w:firstLine="480"/>
        <w:rPr>
          <w:bCs/>
          <w:sz w:val="24"/>
          <w:szCs w:val="24"/>
        </w:rPr>
      </w:pPr>
      <w:r>
        <w:rPr>
          <w:rFonts w:hAnsi="宋体"/>
          <w:bCs/>
          <w:sz w:val="24"/>
          <w:szCs w:val="24"/>
        </w:rPr>
        <w:t>当基金出现巨额赎回时，基金管理人可以根据基金当时的资产组合状况决定全额赎回或部分延期赎回。</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）全额赎回：当基金管理人认为有能力支付投资人的全部赎回申请时，按正常赎回程序执行。</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szCs w:val="24"/>
        </w:rPr>
        <w:t>10%</w:t>
      </w:r>
      <w:r>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w:t>
      </w:r>
      <w:r>
        <w:rPr>
          <w:rFonts w:hAnsi="宋体"/>
          <w:bCs/>
          <w:sz w:val="24"/>
          <w:szCs w:val="24"/>
        </w:rPr>
        <w:lastRenderedPageBreak/>
        <w:t>放日继续赎回，直到全部赎回为止；选择取消赎回的，当日未获受理的部分赎回申请将被撤销。延期的赎回申请与下一开放日赎回申请一并处理，无优先权</w:t>
      </w:r>
      <w:proofErr w:type="gramStart"/>
      <w:r>
        <w:rPr>
          <w:rFonts w:hAnsi="宋体"/>
          <w:bCs/>
          <w:sz w:val="24"/>
          <w:szCs w:val="24"/>
        </w:rPr>
        <w:t>并以下</w:t>
      </w:r>
      <w:proofErr w:type="gramEnd"/>
      <w:r>
        <w:rPr>
          <w:rFonts w:hAnsi="宋体"/>
          <w:bCs/>
          <w:sz w:val="24"/>
          <w:szCs w:val="24"/>
        </w:rPr>
        <w:t>一开放日的基金份额净值为基础计算赎回金额，以此类推，直到全部赎回为止。如投资人在提交赎回申请时未作明确选择，投资人未能赎回部分作自动延期赎回处理。</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）暂停赎回：连续</w:t>
      </w:r>
      <w:r>
        <w:rPr>
          <w:bCs/>
          <w:sz w:val="24"/>
          <w:szCs w:val="24"/>
        </w:rPr>
        <w:t>2</w:t>
      </w:r>
      <w:r>
        <w:rPr>
          <w:rFonts w:hAnsi="宋体"/>
          <w:bCs/>
          <w:sz w:val="24"/>
          <w:szCs w:val="24"/>
        </w:rPr>
        <w:t>日以上（含本数）发生巨额赎回，如基金管理人认为有必要，可暂停接受基金的赎回申请；已经接受的赎回申请可以延缓支付赎回款项，但不得超过</w:t>
      </w:r>
      <w:r>
        <w:rPr>
          <w:bCs/>
          <w:sz w:val="24"/>
          <w:szCs w:val="24"/>
        </w:rPr>
        <w:t>20</w:t>
      </w:r>
      <w:r>
        <w:rPr>
          <w:rFonts w:hAnsi="宋体"/>
          <w:bCs/>
          <w:sz w:val="24"/>
          <w:szCs w:val="24"/>
        </w:rPr>
        <w:t>个工作日，并应当在指定媒体上进行公告。</w:t>
      </w:r>
    </w:p>
    <w:p w:rsidR="00B67D8A" w:rsidRDefault="00B67D8A">
      <w:pPr>
        <w:adjustRightInd w:val="0"/>
        <w:snapToGrid w:val="0"/>
        <w:spacing w:line="360" w:lineRule="auto"/>
        <w:ind w:firstLineChars="200" w:firstLine="480"/>
        <w:rPr>
          <w:bCs/>
          <w:sz w:val="24"/>
          <w:szCs w:val="24"/>
        </w:rPr>
      </w:pPr>
      <w:r>
        <w:rPr>
          <w:bCs/>
          <w:sz w:val="24"/>
          <w:szCs w:val="24"/>
        </w:rPr>
        <w:t>3</w:t>
      </w:r>
      <w:r>
        <w:rPr>
          <w:rFonts w:hAnsi="宋体"/>
          <w:bCs/>
          <w:sz w:val="24"/>
          <w:szCs w:val="24"/>
        </w:rPr>
        <w:t>、巨额赎回的公告</w:t>
      </w:r>
    </w:p>
    <w:p w:rsidR="00B67D8A" w:rsidRDefault="00B67D8A">
      <w:pPr>
        <w:adjustRightInd w:val="0"/>
        <w:snapToGrid w:val="0"/>
        <w:spacing w:line="360" w:lineRule="auto"/>
        <w:ind w:firstLineChars="200" w:firstLine="480"/>
        <w:rPr>
          <w:sz w:val="24"/>
          <w:szCs w:val="24"/>
        </w:rPr>
      </w:pPr>
      <w:r>
        <w:rPr>
          <w:rFonts w:hAnsi="宋体"/>
          <w:bCs/>
          <w:sz w:val="24"/>
          <w:szCs w:val="24"/>
        </w:rPr>
        <w:t>当发生上述延期赎回并延期办理时，基金管理人应当通过邮寄、传真</w:t>
      </w:r>
      <w:r>
        <w:rPr>
          <w:rFonts w:hAnsi="宋体"/>
          <w:sz w:val="24"/>
          <w:szCs w:val="24"/>
        </w:rPr>
        <w:t>、</w:t>
      </w:r>
      <w:r>
        <w:rPr>
          <w:rFonts w:hAnsi="宋体"/>
          <w:kern w:val="0"/>
          <w:sz w:val="24"/>
          <w:szCs w:val="24"/>
        </w:rPr>
        <w:t>刊登公告或者通知代销机构代为告知等</w:t>
      </w:r>
      <w:r>
        <w:rPr>
          <w:rFonts w:hAnsi="宋体"/>
          <w:bCs/>
          <w:sz w:val="24"/>
          <w:szCs w:val="24"/>
        </w:rPr>
        <w:t>方式在</w:t>
      </w:r>
      <w:r>
        <w:rPr>
          <w:bCs/>
          <w:sz w:val="24"/>
          <w:szCs w:val="24"/>
        </w:rPr>
        <w:t>3</w:t>
      </w:r>
      <w:r>
        <w:rPr>
          <w:rFonts w:hAnsi="宋体"/>
          <w:bCs/>
          <w:sz w:val="24"/>
          <w:szCs w:val="24"/>
        </w:rPr>
        <w:t>个交易日内通知基金份额持有人，说明有关处理方法，同时在指定媒体上刊登公告。</w:t>
      </w:r>
    </w:p>
    <w:p w:rsidR="00B67D8A" w:rsidRDefault="00B67D8A">
      <w:pPr>
        <w:widowControl/>
        <w:adjustRightInd w:val="0"/>
        <w:snapToGrid w:val="0"/>
        <w:spacing w:line="360" w:lineRule="auto"/>
        <w:ind w:firstLineChars="200" w:firstLine="482"/>
        <w:outlineLvl w:val="1"/>
        <w:rPr>
          <w:b/>
          <w:kern w:val="0"/>
          <w:sz w:val="24"/>
          <w:szCs w:val="24"/>
        </w:rPr>
      </w:pPr>
      <w:bookmarkStart w:id="44" w:name="_Toc79392617"/>
      <w:r>
        <w:rPr>
          <w:rFonts w:hAnsi="宋体"/>
          <w:b/>
          <w:kern w:val="0"/>
          <w:sz w:val="24"/>
          <w:szCs w:val="24"/>
        </w:rPr>
        <w:t>（十一）暂停申购或赎回的公告和重新开放申购或赎回的公告</w:t>
      </w:r>
      <w:bookmarkEnd w:id="44"/>
    </w:p>
    <w:p w:rsidR="00B67D8A" w:rsidRDefault="00B67D8A">
      <w:pPr>
        <w:adjustRightInd w:val="0"/>
        <w:snapToGrid w:val="0"/>
        <w:spacing w:line="360" w:lineRule="auto"/>
        <w:ind w:firstLineChars="200" w:firstLine="480"/>
        <w:rPr>
          <w:bCs/>
          <w:sz w:val="24"/>
          <w:szCs w:val="24"/>
        </w:rPr>
      </w:pPr>
      <w:bookmarkStart w:id="45" w:name="_Toc59441259"/>
      <w:bookmarkStart w:id="46" w:name="_Toc15118274"/>
      <w:bookmarkStart w:id="47" w:name="_Toc79392618"/>
      <w:r>
        <w:rPr>
          <w:bCs/>
          <w:sz w:val="24"/>
          <w:szCs w:val="24"/>
        </w:rPr>
        <w:t>1</w:t>
      </w:r>
      <w:r>
        <w:rPr>
          <w:rFonts w:hAnsi="宋体"/>
          <w:bCs/>
          <w:sz w:val="24"/>
          <w:szCs w:val="24"/>
        </w:rPr>
        <w:t>、发生上述暂停申购或赎回情况的，基金管理人</w:t>
      </w:r>
      <w:proofErr w:type="gramStart"/>
      <w:r>
        <w:rPr>
          <w:rFonts w:hAnsi="宋体"/>
          <w:bCs/>
          <w:sz w:val="24"/>
          <w:szCs w:val="24"/>
        </w:rPr>
        <w:t>当日应</w:t>
      </w:r>
      <w:proofErr w:type="gramEnd"/>
      <w:r>
        <w:rPr>
          <w:rFonts w:hAnsi="宋体"/>
          <w:bCs/>
          <w:sz w:val="24"/>
          <w:szCs w:val="24"/>
        </w:rPr>
        <w:t>立即向中国证监会备案，并在规定期限内在指定媒体上刊登暂停公告。</w:t>
      </w:r>
    </w:p>
    <w:p w:rsidR="00B67D8A" w:rsidRDefault="00B67D8A">
      <w:pPr>
        <w:adjustRightInd w:val="0"/>
        <w:snapToGrid w:val="0"/>
        <w:spacing w:line="360" w:lineRule="auto"/>
        <w:ind w:firstLineChars="200" w:firstLine="480"/>
        <w:rPr>
          <w:sz w:val="24"/>
          <w:szCs w:val="24"/>
        </w:rPr>
      </w:pPr>
      <w:r>
        <w:rPr>
          <w:bCs/>
          <w:sz w:val="24"/>
          <w:szCs w:val="24"/>
        </w:rPr>
        <w:t>2</w:t>
      </w:r>
      <w:r>
        <w:rPr>
          <w:rFonts w:hAnsi="宋体"/>
          <w:bCs/>
          <w:sz w:val="24"/>
          <w:szCs w:val="24"/>
        </w:rPr>
        <w:t>、暂停结束，基金重新开放申购或赎回时，基金管理人应依照《信息披露管理办法》的有关规定，在指定媒体上刊登基金重新开放申购或赎回公告，</w:t>
      </w:r>
      <w:r>
        <w:rPr>
          <w:rFonts w:hAnsi="宋体"/>
          <w:sz w:val="24"/>
          <w:szCs w:val="24"/>
        </w:rPr>
        <w:t>并</w:t>
      </w:r>
      <w:r>
        <w:rPr>
          <w:rFonts w:hAnsi="宋体"/>
          <w:bCs/>
          <w:sz w:val="24"/>
          <w:szCs w:val="24"/>
        </w:rPr>
        <w:t>公告最近</w:t>
      </w:r>
      <w:r>
        <w:rPr>
          <w:bCs/>
          <w:sz w:val="24"/>
          <w:szCs w:val="24"/>
        </w:rPr>
        <w:t>1</w:t>
      </w:r>
      <w:r>
        <w:rPr>
          <w:rFonts w:hAnsi="宋体"/>
          <w:bCs/>
          <w:sz w:val="24"/>
          <w:szCs w:val="24"/>
        </w:rPr>
        <w:t>个开放日的基金份额净值。</w:t>
      </w:r>
    </w:p>
    <w:p w:rsidR="00B67D8A" w:rsidRDefault="00B67D8A">
      <w:pPr>
        <w:widowControl/>
        <w:adjustRightInd w:val="0"/>
        <w:snapToGrid w:val="0"/>
        <w:spacing w:line="360" w:lineRule="auto"/>
        <w:ind w:firstLineChars="200" w:firstLine="482"/>
        <w:rPr>
          <w:b/>
          <w:kern w:val="0"/>
          <w:sz w:val="24"/>
          <w:szCs w:val="24"/>
        </w:rPr>
      </w:pPr>
      <w:bookmarkStart w:id="48" w:name="_Toc79392621"/>
      <w:bookmarkEnd w:id="45"/>
      <w:bookmarkEnd w:id="46"/>
      <w:bookmarkEnd w:id="47"/>
      <w:r>
        <w:rPr>
          <w:rFonts w:hAnsi="宋体"/>
          <w:b/>
          <w:kern w:val="0"/>
          <w:sz w:val="24"/>
          <w:szCs w:val="24"/>
        </w:rPr>
        <w:t>（十</w:t>
      </w:r>
      <w:r>
        <w:rPr>
          <w:rFonts w:hAnsi="宋体" w:hint="eastAsia"/>
          <w:b/>
          <w:kern w:val="0"/>
          <w:sz w:val="24"/>
          <w:szCs w:val="24"/>
        </w:rPr>
        <w:t>二</w:t>
      </w:r>
      <w:r>
        <w:rPr>
          <w:rFonts w:hAnsi="宋体"/>
          <w:b/>
          <w:kern w:val="0"/>
          <w:sz w:val="24"/>
          <w:szCs w:val="24"/>
        </w:rPr>
        <w:t>）基金的</w:t>
      </w:r>
      <w:proofErr w:type="gramStart"/>
      <w:r>
        <w:rPr>
          <w:rFonts w:hAnsi="宋体"/>
          <w:b/>
          <w:kern w:val="0"/>
          <w:sz w:val="24"/>
          <w:szCs w:val="24"/>
        </w:rPr>
        <w:t>非交易</w:t>
      </w:r>
      <w:proofErr w:type="gramEnd"/>
      <w:r>
        <w:rPr>
          <w:rFonts w:hAnsi="宋体"/>
          <w:b/>
          <w:kern w:val="0"/>
          <w:sz w:val="24"/>
          <w:szCs w:val="24"/>
        </w:rPr>
        <w:t>过户</w:t>
      </w:r>
    </w:p>
    <w:p w:rsidR="00B67D8A" w:rsidRDefault="00B67D8A">
      <w:pPr>
        <w:adjustRightInd w:val="0"/>
        <w:snapToGrid w:val="0"/>
        <w:spacing w:line="360" w:lineRule="auto"/>
        <w:ind w:firstLineChars="200" w:firstLine="480"/>
        <w:rPr>
          <w:bCs/>
          <w:sz w:val="24"/>
          <w:szCs w:val="24"/>
        </w:rPr>
      </w:pPr>
      <w:r>
        <w:rPr>
          <w:rFonts w:hAnsi="宋体"/>
          <w:bCs/>
          <w:sz w:val="24"/>
          <w:szCs w:val="24"/>
        </w:rPr>
        <w:t>基金的</w:t>
      </w:r>
      <w:proofErr w:type="gramStart"/>
      <w:r>
        <w:rPr>
          <w:rFonts w:hAnsi="宋体"/>
          <w:bCs/>
          <w:sz w:val="24"/>
          <w:szCs w:val="24"/>
        </w:rPr>
        <w:t>非交易</w:t>
      </w:r>
      <w:proofErr w:type="gramEnd"/>
      <w:r>
        <w:rPr>
          <w:rFonts w:hAnsi="宋体"/>
          <w:bCs/>
          <w:sz w:val="24"/>
          <w:szCs w:val="24"/>
        </w:rPr>
        <w:t>过户是指基金登记机构受理继承、捐赠和司法强制执行等情形而产生的</w:t>
      </w:r>
      <w:proofErr w:type="gramStart"/>
      <w:r>
        <w:rPr>
          <w:rFonts w:hAnsi="宋体"/>
          <w:bCs/>
          <w:sz w:val="24"/>
          <w:szCs w:val="24"/>
        </w:rPr>
        <w:t>非交易</w:t>
      </w:r>
      <w:proofErr w:type="gramEnd"/>
      <w:r>
        <w:rPr>
          <w:rFonts w:hAnsi="宋体"/>
          <w:bCs/>
          <w:sz w:val="24"/>
          <w:szCs w:val="24"/>
        </w:rPr>
        <w:t>过户以及登记机构认可、符合法律法规的其它</w:t>
      </w:r>
      <w:proofErr w:type="gramStart"/>
      <w:r>
        <w:rPr>
          <w:rFonts w:hAnsi="宋体"/>
          <w:bCs/>
          <w:sz w:val="24"/>
          <w:szCs w:val="24"/>
        </w:rPr>
        <w:t>非交易</w:t>
      </w:r>
      <w:proofErr w:type="gramEnd"/>
      <w:r>
        <w:rPr>
          <w:rFonts w:hAnsi="宋体"/>
          <w:bCs/>
          <w:sz w:val="24"/>
          <w:szCs w:val="24"/>
        </w:rPr>
        <w:t>过户。无论在上述何种情况下，接受划转的主体必须是依法可以持有本</w:t>
      </w:r>
      <w:proofErr w:type="gramStart"/>
      <w:r>
        <w:rPr>
          <w:rFonts w:hAnsi="宋体"/>
          <w:bCs/>
          <w:sz w:val="24"/>
          <w:szCs w:val="24"/>
        </w:rPr>
        <w:t>基金基金</w:t>
      </w:r>
      <w:proofErr w:type="gramEnd"/>
      <w:r>
        <w:rPr>
          <w:rFonts w:hAnsi="宋体"/>
          <w:bCs/>
          <w:sz w:val="24"/>
          <w:szCs w:val="24"/>
        </w:rPr>
        <w:t>份额的投资人。</w:t>
      </w:r>
    </w:p>
    <w:p w:rsidR="00B67D8A" w:rsidRDefault="00B67D8A">
      <w:pPr>
        <w:widowControl/>
        <w:adjustRightInd w:val="0"/>
        <w:snapToGrid w:val="0"/>
        <w:spacing w:line="360" w:lineRule="auto"/>
        <w:ind w:firstLineChars="200" w:firstLine="480"/>
        <w:rPr>
          <w:b/>
          <w:kern w:val="0"/>
          <w:sz w:val="24"/>
          <w:szCs w:val="24"/>
        </w:rPr>
      </w:pPr>
      <w:r>
        <w:rPr>
          <w:rFonts w:hAnsi="宋体"/>
          <w:sz w:val="24"/>
          <w:szCs w:val="24"/>
        </w:rPr>
        <w:t>继承是指基金份额持有人死亡，其持有的基金份额由其合法的继承人继承；</w:t>
      </w:r>
      <w:proofErr w:type="gramStart"/>
      <w:r>
        <w:rPr>
          <w:rFonts w:hAnsi="宋体"/>
          <w:sz w:val="24"/>
          <w:szCs w:val="24"/>
        </w:rPr>
        <w:t>捐赠指</w:t>
      </w:r>
      <w:proofErr w:type="gramEnd"/>
      <w:r>
        <w:rPr>
          <w:rFonts w:hAnsi="宋体"/>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sz w:val="24"/>
          <w:szCs w:val="24"/>
        </w:rPr>
        <w:t>非交易</w:t>
      </w:r>
      <w:proofErr w:type="gramEnd"/>
      <w:r>
        <w:rPr>
          <w:rFonts w:hAnsi="宋体"/>
          <w:sz w:val="24"/>
          <w:szCs w:val="24"/>
        </w:rPr>
        <w:t>过户必须提供基金登记机构要求提供的相关资料，对于符合条件的</w:t>
      </w:r>
      <w:proofErr w:type="gramStart"/>
      <w:r>
        <w:rPr>
          <w:rFonts w:hAnsi="宋体"/>
          <w:sz w:val="24"/>
          <w:szCs w:val="24"/>
        </w:rPr>
        <w:t>非交易过户申请按</w:t>
      </w:r>
      <w:proofErr w:type="gramEnd"/>
      <w:r>
        <w:rPr>
          <w:rFonts w:hAnsi="宋体"/>
          <w:sz w:val="24"/>
          <w:szCs w:val="24"/>
        </w:rPr>
        <w:t>基金登记机构的规定办理，并按基金登记机构规定的标准收费。</w:t>
      </w:r>
    </w:p>
    <w:p w:rsidR="00B67D8A" w:rsidRDefault="00B67D8A">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三</w:t>
      </w:r>
      <w:r>
        <w:rPr>
          <w:rFonts w:hAnsi="宋体"/>
          <w:b/>
          <w:kern w:val="0"/>
          <w:sz w:val="24"/>
          <w:szCs w:val="24"/>
        </w:rPr>
        <w:t>）基金的转托管</w:t>
      </w:r>
      <w:bookmarkEnd w:id="48"/>
    </w:p>
    <w:p w:rsidR="00B67D8A" w:rsidRDefault="00B67D8A">
      <w:pPr>
        <w:adjustRightInd w:val="0"/>
        <w:snapToGrid w:val="0"/>
        <w:spacing w:line="360" w:lineRule="auto"/>
        <w:ind w:firstLineChars="200" w:firstLine="480"/>
        <w:rPr>
          <w:sz w:val="24"/>
          <w:szCs w:val="24"/>
        </w:rPr>
      </w:pPr>
      <w:r>
        <w:rPr>
          <w:rFonts w:hAnsi="宋体"/>
          <w:sz w:val="24"/>
          <w:szCs w:val="24"/>
        </w:rPr>
        <w:lastRenderedPageBreak/>
        <w:t>基金份额持有人可办理已持有基金份额在不同销售机构之间的转托管，基金销售机构可以按照规定的标准收取转托管费。</w:t>
      </w:r>
    </w:p>
    <w:p w:rsidR="00B67D8A" w:rsidRDefault="00B67D8A">
      <w:pPr>
        <w:adjustRightInd w:val="0"/>
        <w:snapToGrid w:val="0"/>
        <w:spacing w:line="360" w:lineRule="auto"/>
        <w:ind w:firstLineChars="200" w:firstLine="480"/>
        <w:rPr>
          <w:sz w:val="24"/>
          <w:szCs w:val="24"/>
        </w:rPr>
      </w:pPr>
      <w:r>
        <w:rPr>
          <w:rFonts w:hAnsi="宋体"/>
          <w:sz w:val="24"/>
          <w:szCs w:val="24"/>
        </w:rPr>
        <w:t>如果基金管理人、登记机构、办理转托管的销售机构出现技术系统性能限制或出于其它合理原因，可以暂停该业务或者拒绝基金份额持有人的转托管申请。</w:t>
      </w:r>
    </w:p>
    <w:p w:rsidR="00B67D8A" w:rsidRDefault="00B67D8A">
      <w:pPr>
        <w:widowControl/>
        <w:adjustRightInd w:val="0"/>
        <w:snapToGrid w:val="0"/>
        <w:spacing w:line="360" w:lineRule="auto"/>
        <w:ind w:firstLineChars="200" w:firstLine="482"/>
        <w:rPr>
          <w:b/>
          <w:kern w:val="0"/>
          <w:sz w:val="24"/>
          <w:szCs w:val="24"/>
        </w:rPr>
      </w:pPr>
      <w:bookmarkStart w:id="49" w:name="_Toc79392620"/>
      <w:r>
        <w:rPr>
          <w:rFonts w:hAnsi="宋体"/>
          <w:b/>
          <w:kern w:val="0"/>
          <w:sz w:val="24"/>
          <w:szCs w:val="24"/>
        </w:rPr>
        <w:t>（十</w:t>
      </w:r>
      <w:r>
        <w:rPr>
          <w:rFonts w:hAnsi="宋体" w:hint="eastAsia"/>
          <w:b/>
          <w:kern w:val="0"/>
          <w:sz w:val="24"/>
          <w:szCs w:val="24"/>
        </w:rPr>
        <w:t>四</w:t>
      </w:r>
      <w:r>
        <w:rPr>
          <w:rFonts w:hAnsi="宋体"/>
          <w:b/>
          <w:kern w:val="0"/>
          <w:sz w:val="24"/>
          <w:szCs w:val="24"/>
        </w:rPr>
        <w:t>）定期定额投资计划</w:t>
      </w:r>
    </w:p>
    <w:p w:rsidR="00B67D8A" w:rsidRDefault="00B67D8A">
      <w:pPr>
        <w:spacing w:line="360" w:lineRule="auto"/>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起开通定期定额投资计划业务，具体开通销售机构名单和业务规则参见相关公告。</w:t>
      </w:r>
    </w:p>
    <w:p w:rsidR="00B67D8A" w:rsidRDefault="00B67D8A">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五</w:t>
      </w:r>
      <w:r>
        <w:rPr>
          <w:rFonts w:hAnsi="宋体"/>
          <w:b/>
          <w:kern w:val="0"/>
          <w:sz w:val="24"/>
          <w:szCs w:val="24"/>
        </w:rPr>
        <w:t>）定期定额</w:t>
      </w:r>
      <w:r>
        <w:rPr>
          <w:rFonts w:hAnsi="宋体" w:hint="eastAsia"/>
          <w:b/>
          <w:kern w:val="0"/>
          <w:sz w:val="24"/>
          <w:szCs w:val="24"/>
        </w:rPr>
        <w:t>赎回业务</w:t>
      </w:r>
    </w:p>
    <w:p w:rsidR="00B67D8A" w:rsidRDefault="00B67D8A">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起在中国农业银行股份有限公司下属各代销网点开通定期定额赎回业务。</w:t>
      </w:r>
    </w:p>
    <w:p w:rsidR="00B67D8A" w:rsidRDefault="00B67D8A">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rsidR="00B67D8A" w:rsidRDefault="00B67D8A">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49"/>
    </w:p>
    <w:p w:rsidR="00B67D8A" w:rsidRDefault="00B67D8A">
      <w:pPr>
        <w:adjustRightInd w:val="0"/>
        <w:snapToGrid w:val="0"/>
        <w:spacing w:line="360" w:lineRule="auto"/>
        <w:ind w:firstLineChars="200" w:firstLine="480"/>
        <w:rPr>
          <w:rFonts w:hAnsi="宋体"/>
          <w:bCs/>
          <w:sz w:val="24"/>
          <w:szCs w:val="24"/>
        </w:rPr>
      </w:pPr>
      <w:r>
        <w:rPr>
          <w:rFonts w:hAnsi="宋体"/>
          <w:bCs/>
          <w:sz w:val="24"/>
          <w:szCs w:val="24"/>
        </w:rPr>
        <w:t>登记机构只受理国家有权机关依法要求的基金份额的冻结与解冻，以及登记机构认可、符合法律法规的其他情况下的冻结与解冻。</w:t>
      </w:r>
    </w:p>
    <w:p w:rsidR="00B67D8A" w:rsidRDefault="00B67D8A">
      <w:pPr>
        <w:adjustRightInd w:val="0"/>
        <w:snapToGrid w:val="0"/>
        <w:spacing w:line="360" w:lineRule="auto"/>
        <w:ind w:firstLineChars="200" w:firstLine="482"/>
        <w:rPr>
          <w:rFonts w:hAnsi="宋体"/>
          <w:b/>
          <w:bCs/>
          <w:sz w:val="24"/>
        </w:rPr>
      </w:pPr>
      <w:r>
        <w:rPr>
          <w:rFonts w:hAnsi="宋体" w:hint="eastAsia"/>
          <w:b/>
          <w:bCs/>
          <w:sz w:val="24"/>
        </w:rPr>
        <w:t>（十七）基金份额的折算</w:t>
      </w:r>
    </w:p>
    <w:p w:rsidR="00B67D8A" w:rsidRDefault="00B67D8A">
      <w:pPr>
        <w:adjustRightInd w:val="0"/>
        <w:snapToGrid w:val="0"/>
        <w:spacing w:line="360" w:lineRule="auto"/>
        <w:ind w:firstLineChars="200" w:firstLine="480"/>
        <w:rPr>
          <w:bCs/>
          <w:sz w:val="24"/>
        </w:rPr>
      </w:pPr>
      <w:r>
        <w:rPr>
          <w:rFonts w:hint="eastAsia"/>
          <w:bCs/>
          <w:sz w:val="24"/>
        </w:rPr>
        <w:t>基金合同生效后，本基金可以进行份额折算。</w:t>
      </w:r>
    </w:p>
    <w:p w:rsidR="00B67D8A" w:rsidRDefault="00B67D8A">
      <w:pPr>
        <w:adjustRightInd w:val="0"/>
        <w:snapToGrid w:val="0"/>
        <w:spacing w:line="360" w:lineRule="auto"/>
        <w:ind w:firstLineChars="200" w:firstLine="480"/>
        <w:rPr>
          <w:bCs/>
          <w:sz w:val="24"/>
        </w:rPr>
      </w:pPr>
      <w:r>
        <w:rPr>
          <w:rFonts w:hint="eastAsia"/>
          <w:bCs/>
          <w:sz w:val="24"/>
        </w:rPr>
        <w:t>1</w:t>
      </w:r>
      <w:r>
        <w:rPr>
          <w:rFonts w:hint="eastAsia"/>
          <w:bCs/>
          <w:sz w:val="24"/>
        </w:rPr>
        <w:t>、基金份额折算的时间</w:t>
      </w:r>
    </w:p>
    <w:p w:rsidR="00B67D8A" w:rsidRDefault="00B67D8A">
      <w:pPr>
        <w:adjustRightInd w:val="0"/>
        <w:snapToGrid w:val="0"/>
        <w:spacing w:line="360" w:lineRule="auto"/>
        <w:ind w:firstLineChars="200" w:firstLine="480"/>
        <w:rPr>
          <w:bCs/>
          <w:sz w:val="24"/>
        </w:rPr>
      </w:pPr>
      <w:r>
        <w:rPr>
          <w:rFonts w:hint="eastAsia"/>
          <w:bCs/>
          <w:sz w:val="24"/>
        </w:rPr>
        <w:lastRenderedPageBreak/>
        <w:t>基金管理人应事先确定基金份额折算日，并依照《信息披露办法》的有关规定提前公告。</w:t>
      </w:r>
    </w:p>
    <w:p w:rsidR="00B67D8A" w:rsidRDefault="00B67D8A">
      <w:pPr>
        <w:adjustRightInd w:val="0"/>
        <w:snapToGrid w:val="0"/>
        <w:spacing w:line="360" w:lineRule="auto"/>
        <w:ind w:firstLineChars="200" w:firstLine="480"/>
        <w:rPr>
          <w:bCs/>
          <w:sz w:val="24"/>
        </w:rPr>
      </w:pPr>
      <w:r>
        <w:rPr>
          <w:rFonts w:hint="eastAsia"/>
          <w:bCs/>
          <w:sz w:val="24"/>
        </w:rPr>
        <w:t>2</w:t>
      </w:r>
      <w:r>
        <w:rPr>
          <w:rFonts w:hint="eastAsia"/>
          <w:bCs/>
          <w:sz w:val="24"/>
        </w:rPr>
        <w:t>、基金份额折算的原则</w:t>
      </w:r>
    </w:p>
    <w:p w:rsidR="00B67D8A" w:rsidRDefault="00B67D8A">
      <w:pPr>
        <w:adjustRightInd w:val="0"/>
        <w:snapToGrid w:val="0"/>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rsidR="00B67D8A" w:rsidRDefault="00B67D8A">
      <w:pPr>
        <w:adjustRightInd w:val="0"/>
        <w:snapToGrid w:val="0"/>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rsidR="00B67D8A" w:rsidRDefault="00B67D8A">
      <w:pPr>
        <w:adjustRightInd w:val="0"/>
        <w:snapToGrid w:val="0"/>
        <w:spacing w:line="360" w:lineRule="auto"/>
        <w:ind w:firstLineChars="200" w:firstLine="480"/>
        <w:rPr>
          <w:bCs/>
          <w:sz w:val="24"/>
        </w:rPr>
      </w:pPr>
      <w:r>
        <w:rPr>
          <w:rFonts w:hint="eastAsia"/>
          <w:bCs/>
          <w:sz w:val="24"/>
        </w:rPr>
        <w:t>3</w:t>
      </w:r>
      <w:r>
        <w:rPr>
          <w:rFonts w:hint="eastAsia"/>
          <w:bCs/>
          <w:sz w:val="24"/>
        </w:rPr>
        <w:t>、基金份额折算的方法</w:t>
      </w:r>
    </w:p>
    <w:p w:rsidR="00B67D8A" w:rsidRDefault="00B67D8A">
      <w:pPr>
        <w:adjustRightInd w:val="0"/>
        <w:snapToGrid w:val="0"/>
        <w:spacing w:line="360" w:lineRule="auto"/>
        <w:ind w:firstLineChars="200" w:firstLine="480"/>
        <w:rPr>
          <w:bCs/>
          <w:sz w:val="24"/>
          <w:szCs w:val="24"/>
        </w:rPr>
      </w:pPr>
      <w:r>
        <w:rPr>
          <w:rFonts w:hint="eastAsia"/>
          <w:bCs/>
          <w:sz w:val="24"/>
        </w:rPr>
        <w:t>基金份额折算的具体方法在基金份额折算公告中列示。</w:t>
      </w:r>
    </w:p>
    <w:p w:rsidR="00B67D8A" w:rsidRDefault="00B67D8A">
      <w:pPr>
        <w:adjustRightInd w:val="0"/>
        <w:snapToGrid w:val="0"/>
        <w:spacing w:line="360" w:lineRule="auto"/>
        <w:ind w:firstLineChars="200" w:firstLine="480"/>
        <w:rPr>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50" w:name="_Toc349807198"/>
      <w:bookmarkStart w:id="51" w:name="_Toc381197146"/>
      <w:bookmarkStart w:id="52" w:name="_Toc382321320"/>
      <w:r>
        <w:rPr>
          <w:rFonts w:ascii="宋体" w:hAnsi="宋体"/>
          <w:b/>
          <w:kern w:val="0"/>
          <w:sz w:val="30"/>
        </w:rPr>
        <w:t>九、基金的转换</w:t>
      </w:r>
      <w:bookmarkEnd w:id="50"/>
      <w:bookmarkEnd w:id="51"/>
      <w:bookmarkEnd w:id="52"/>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（一）基金转换</w:t>
      </w:r>
    </w:p>
    <w:p w:rsidR="00B67D8A" w:rsidRDefault="00B67D8A">
      <w:pPr>
        <w:spacing w:line="360" w:lineRule="auto"/>
        <w:ind w:firstLineChars="200" w:firstLine="480"/>
        <w:rPr>
          <w:bCs/>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（二）转换业务办理时间</w:t>
      </w:r>
    </w:p>
    <w:p w:rsidR="00B67D8A" w:rsidRDefault="00B67D8A">
      <w:pPr>
        <w:spacing w:line="360" w:lineRule="auto"/>
        <w:ind w:firstLineChars="200" w:firstLine="480"/>
        <w:rPr>
          <w:bCs/>
          <w:sz w:val="24"/>
        </w:rPr>
      </w:pPr>
      <w:r>
        <w:rPr>
          <w:rFonts w:hint="eastAsia"/>
          <w:bCs/>
          <w:sz w:val="24"/>
        </w:rPr>
        <w:t>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起开放日常转换业务。</w:t>
      </w:r>
    </w:p>
    <w:p w:rsidR="00B67D8A" w:rsidRDefault="00B67D8A">
      <w:pPr>
        <w:spacing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B67D8A" w:rsidRDefault="00B67D8A">
      <w:pPr>
        <w:spacing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B67D8A" w:rsidRDefault="00B67D8A">
      <w:pPr>
        <w:spacing w:line="360" w:lineRule="auto"/>
        <w:ind w:firstLineChars="200" w:firstLine="480"/>
        <w:rPr>
          <w:bCs/>
          <w:sz w:val="24"/>
        </w:rPr>
      </w:pPr>
      <w:r>
        <w:rPr>
          <w:rFonts w:hint="eastAsia"/>
          <w:bCs/>
          <w:sz w:val="24"/>
        </w:rPr>
        <w:t>本基金转换业务具体开通销售机构名单、可转换旗下基金范围参见相关公告。</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lastRenderedPageBreak/>
        <w:t>（三）基金转换的程序</w:t>
      </w:r>
    </w:p>
    <w:p w:rsidR="00B67D8A" w:rsidRDefault="00B67D8A">
      <w:pPr>
        <w:spacing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B67D8A" w:rsidRDefault="00B67D8A">
      <w:pPr>
        <w:spacing w:line="360" w:lineRule="auto"/>
        <w:ind w:firstLineChars="200" w:firstLine="480"/>
        <w:rPr>
          <w:bCs/>
          <w:sz w:val="24"/>
        </w:rPr>
      </w:pPr>
      <w:r>
        <w:rPr>
          <w:rFonts w:hint="eastAsia"/>
          <w:bCs/>
          <w:sz w:val="24"/>
        </w:rPr>
        <w:t>2</w:t>
      </w:r>
      <w:r>
        <w:rPr>
          <w:rFonts w:hint="eastAsia"/>
          <w:bCs/>
          <w:sz w:val="24"/>
        </w:rPr>
        <w:t>、基金转换申请的确认</w:t>
      </w:r>
    </w:p>
    <w:p w:rsidR="00B67D8A" w:rsidRDefault="00B67D8A">
      <w:pPr>
        <w:spacing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rsidR="00B67D8A" w:rsidRDefault="00B67D8A">
      <w:pPr>
        <w:spacing w:line="360" w:lineRule="auto"/>
        <w:ind w:firstLineChars="200" w:firstLine="480"/>
        <w:rPr>
          <w:bCs/>
          <w:sz w:val="24"/>
        </w:rPr>
      </w:pPr>
      <w:r>
        <w:rPr>
          <w:rFonts w:hint="eastAsia"/>
          <w:bCs/>
          <w:sz w:val="24"/>
        </w:rPr>
        <w:t>3</w:t>
      </w:r>
      <w:r>
        <w:rPr>
          <w:rFonts w:hint="eastAsia"/>
          <w:bCs/>
          <w:sz w:val="24"/>
        </w:rPr>
        <w:t>、基金转换的注册登记</w:t>
      </w:r>
    </w:p>
    <w:p w:rsidR="00B67D8A" w:rsidRDefault="00B67D8A">
      <w:pPr>
        <w:spacing w:line="360" w:lineRule="auto"/>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（四）基金转换的数额限制</w:t>
      </w:r>
    </w:p>
    <w:p w:rsidR="00B67D8A" w:rsidRDefault="00B67D8A">
      <w:pPr>
        <w:spacing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rsidR="00B67D8A" w:rsidRDefault="00B67D8A">
      <w:pPr>
        <w:spacing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rsidR="00B67D8A" w:rsidRDefault="00B67D8A">
      <w:pPr>
        <w:spacing w:line="360" w:lineRule="auto"/>
        <w:ind w:firstLine="480"/>
        <w:rPr>
          <w:sz w:val="24"/>
        </w:rPr>
      </w:pPr>
      <w:r>
        <w:rPr>
          <w:rFonts w:ascii="宋体" w:hAnsi="宋体" w:hint="eastAsia"/>
          <w:sz w:val="24"/>
        </w:rPr>
        <w:t>基于各基金关于投资人在单个交易账户最低保留余额的规定，每个工作日投资人在单个交易账户保留的某</w:t>
      </w:r>
      <w:proofErr w:type="gramStart"/>
      <w:r>
        <w:rPr>
          <w:rFonts w:ascii="宋体" w:hAnsi="宋体" w:hint="eastAsia"/>
          <w:sz w:val="24"/>
        </w:rPr>
        <w:t>基金基金</w:t>
      </w:r>
      <w:proofErr w:type="gramEnd"/>
      <w:r>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hint="eastAsia"/>
          <w:sz w:val="24"/>
        </w:rPr>
        <w:t>基金基金</w:t>
      </w:r>
      <w:proofErr w:type="gramEnd"/>
      <w:r>
        <w:rPr>
          <w:rFonts w:ascii="宋体" w:hAnsi="宋体" w:hint="eastAsia"/>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Style w:val="a5"/>
        </w:rPr>
        <w:t> </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（五）基金转换费用</w:t>
      </w:r>
    </w:p>
    <w:p w:rsidR="00B67D8A" w:rsidRDefault="00B67D8A">
      <w:pPr>
        <w:spacing w:line="360" w:lineRule="auto"/>
        <w:ind w:firstLineChars="200" w:firstLine="480"/>
        <w:rPr>
          <w:bCs/>
          <w:sz w:val="24"/>
        </w:rPr>
      </w:pPr>
      <w:r>
        <w:rPr>
          <w:rFonts w:hint="eastAsia"/>
          <w:bCs/>
          <w:sz w:val="24"/>
        </w:rPr>
        <w:lastRenderedPageBreak/>
        <w:t>1</w:t>
      </w:r>
      <w:r>
        <w:rPr>
          <w:rFonts w:hint="eastAsia"/>
          <w:bCs/>
          <w:sz w:val="24"/>
        </w:rPr>
        <w:t>、每笔基金转换视为一笔赎回和一笔申购，基金转换费用相应由转出基金的赎回费用及转出、转入基金的申购补差费用构成。</w:t>
      </w:r>
    </w:p>
    <w:p w:rsidR="00B67D8A" w:rsidRDefault="00B67D8A">
      <w:pPr>
        <w:spacing w:line="360" w:lineRule="auto"/>
        <w:ind w:firstLineChars="200" w:firstLine="480"/>
        <w:rPr>
          <w:bCs/>
          <w:sz w:val="24"/>
        </w:rPr>
      </w:pPr>
      <w:r>
        <w:rPr>
          <w:rFonts w:hint="eastAsia"/>
          <w:bCs/>
          <w:sz w:val="24"/>
        </w:rPr>
        <w:t>2</w:t>
      </w:r>
      <w:r>
        <w:rPr>
          <w:rFonts w:hint="eastAsia"/>
          <w:bCs/>
          <w:sz w:val="24"/>
        </w:rPr>
        <w:t>、转出基金的赎回费用</w:t>
      </w:r>
    </w:p>
    <w:p w:rsidR="00B67D8A" w:rsidRDefault="00B67D8A">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B67D8A" w:rsidRDefault="00B67D8A">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B67D8A" w:rsidRDefault="00B67D8A">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B67D8A" w:rsidRDefault="00B67D8A">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rsidR="00B67D8A" w:rsidRDefault="00B67D8A">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B67D8A" w:rsidRDefault="00B67D8A">
      <w:pPr>
        <w:spacing w:line="360" w:lineRule="auto"/>
        <w:ind w:firstLineChars="200" w:firstLine="480"/>
        <w:rPr>
          <w:bCs/>
          <w:sz w:val="24"/>
        </w:rPr>
      </w:pPr>
      <w:bookmarkStart w:id="53" w:name="OLE_LINK27"/>
      <w:bookmarkStart w:id="54" w:name="OLE_LINK26"/>
      <w:r>
        <w:rPr>
          <w:rFonts w:hint="eastAsia"/>
          <w:bCs/>
          <w:sz w:val="24"/>
        </w:rPr>
        <w:t>5</w:t>
      </w:r>
      <w:r>
        <w:rPr>
          <w:rFonts w:hint="eastAsia"/>
          <w:bCs/>
          <w:sz w:val="24"/>
        </w:rPr>
        <w:t>、网上直销的申购补差费率优惠</w:t>
      </w:r>
    </w:p>
    <w:bookmarkEnd w:id="53"/>
    <w:bookmarkEnd w:id="54"/>
    <w:p w:rsidR="00B67D8A" w:rsidRDefault="00B67D8A">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B67D8A" w:rsidRDefault="00B67D8A">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B67D8A" w:rsidRDefault="00B67D8A">
      <w:pPr>
        <w:spacing w:line="360" w:lineRule="auto"/>
        <w:ind w:firstLineChars="200" w:firstLine="480"/>
        <w:rPr>
          <w:bCs/>
          <w:sz w:val="24"/>
        </w:rPr>
      </w:pPr>
      <w:r>
        <w:rPr>
          <w:rFonts w:hint="eastAsia"/>
          <w:bCs/>
          <w:sz w:val="24"/>
        </w:rPr>
        <w:lastRenderedPageBreak/>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（六）基金转换份额的计算公式</w:t>
      </w:r>
    </w:p>
    <w:p w:rsidR="00B67D8A" w:rsidRDefault="00B67D8A">
      <w:pPr>
        <w:spacing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B67D8A" w:rsidRDefault="00B67D8A">
      <w:pPr>
        <w:spacing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67D8A" w:rsidRDefault="00B67D8A">
      <w:pPr>
        <w:spacing w:line="360" w:lineRule="auto"/>
        <w:ind w:firstLineChars="200" w:firstLine="480"/>
        <w:rPr>
          <w:bCs/>
          <w:sz w:val="24"/>
        </w:rPr>
      </w:pPr>
      <w:r>
        <w:rPr>
          <w:rFonts w:hint="eastAsia"/>
          <w:bCs/>
          <w:sz w:val="24"/>
        </w:rPr>
        <w:t>其中：</w:t>
      </w:r>
    </w:p>
    <w:p w:rsidR="00B67D8A" w:rsidRDefault="00B67D8A">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67D8A" w:rsidRDefault="00B67D8A">
      <w:pPr>
        <w:spacing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rsidR="00B67D8A" w:rsidRDefault="00B67D8A">
      <w:pPr>
        <w:spacing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B67D8A" w:rsidRDefault="00B67D8A">
      <w:pPr>
        <w:spacing w:line="360" w:lineRule="auto"/>
        <w:ind w:firstLineChars="200" w:firstLine="480"/>
        <w:rPr>
          <w:bCs/>
          <w:sz w:val="24"/>
        </w:rPr>
      </w:pPr>
      <w:r>
        <w:rPr>
          <w:rFonts w:hint="eastAsia"/>
          <w:bCs/>
          <w:sz w:val="24"/>
        </w:rPr>
        <w:lastRenderedPageBreak/>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w:t>
      </w:r>
      <w:r w:rsidR="008538B8">
        <w:rPr>
          <w:rFonts w:hint="eastAsia"/>
          <w:bCs/>
          <w:sz w:val="24"/>
        </w:rPr>
        <w:t>非网上交易</w:t>
      </w:r>
      <w:r>
        <w:rPr>
          <w:rFonts w:hint="eastAsia"/>
          <w:bCs/>
          <w:sz w:val="24"/>
        </w:rPr>
        <w:t>），则转入交</w:t>
      </w:r>
      <w:proofErr w:type="gramStart"/>
      <w:r>
        <w:rPr>
          <w:rFonts w:hint="eastAsia"/>
          <w:bCs/>
          <w:sz w:val="24"/>
        </w:rPr>
        <w:t>银趋势</w:t>
      </w:r>
      <w:proofErr w:type="gramEnd"/>
      <w:r>
        <w:rPr>
          <w:rFonts w:hint="eastAsia"/>
          <w:bCs/>
          <w:sz w:val="24"/>
        </w:rPr>
        <w:t>确认的基金份额为：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B67D8A" w:rsidRDefault="00B67D8A">
      <w:pPr>
        <w:spacing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w:t>
      </w:r>
      <w:r w:rsidR="00172EAA">
        <w:rPr>
          <w:rFonts w:hint="eastAsia"/>
          <w:bCs/>
          <w:sz w:val="24"/>
        </w:rPr>
        <w:t>非网上交易</w:t>
      </w:r>
      <w:r>
        <w:rPr>
          <w:rFonts w:hint="eastAsia"/>
          <w:bCs/>
          <w:sz w:val="24"/>
        </w:rPr>
        <w:t>），则转入交银精选确认的基金份额为：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B67D8A" w:rsidRDefault="00B67D8A">
      <w:pPr>
        <w:spacing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w:t>
      </w:r>
      <w:r w:rsidR="00ED5B20">
        <w:rPr>
          <w:rFonts w:hint="eastAsia"/>
          <w:bCs/>
          <w:sz w:val="24"/>
        </w:rPr>
        <w:t>非网上交易</w:t>
      </w:r>
      <w:r>
        <w:rPr>
          <w:rFonts w:hint="eastAsia"/>
          <w:bCs/>
          <w:sz w:val="24"/>
        </w:rPr>
        <w:t>），则转入确认的交银增利</w:t>
      </w:r>
      <w:r>
        <w:rPr>
          <w:rFonts w:hint="eastAsia"/>
          <w:bCs/>
          <w:sz w:val="24"/>
        </w:rPr>
        <w:t>A</w:t>
      </w:r>
      <w:r>
        <w:rPr>
          <w:rFonts w:hint="eastAsia"/>
          <w:bCs/>
          <w:sz w:val="24"/>
        </w:rPr>
        <w:t>类基金份额为：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B67D8A" w:rsidRDefault="00B67D8A">
      <w:pPr>
        <w:spacing w:line="360" w:lineRule="auto"/>
        <w:ind w:firstLineChars="200" w:firstLine="480"/>
        <w:rPr>
          <w:bCs/>
          <w:sz w:val="24"/>
        </w:rPr>
      </w:pPr>
      <w:r>
        <w:rPr>
          <w:rFonts w:hint="eastAsia"/>
          <w:bCs/>
          <w:sz w:val="24"/>
        </w:rPr>
        <w:lastRenderedPageBreak/>
        <w:t>2</w:t>
      </w:r>
      <w:r>
        <w:rPr>
          <w:rFonts w:hint="eastAsia"/>
          <w:bCs/>
          <w:sz w:val="24"/>
        </w:rPr>
        <w:t>、后端收费模式下基金转换份额的计算公式及举例</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67D8A" w:rsidRDefault="00B67D8A">
      <w:pPr>
        <w:spacing w:line="360" w:lineRule="auto"/>
        <w:ind w:firstLineChars="200" w:firstLine="480"/>
        <w:rPr>
          <w:bCs/>
          <w:sz w:val="24"/>
        </w:rPr>
      </w:pPr>
      <w:r>
        <w:rPr>
          <w:rFonts w:hint="eastAsia"/>
          <w:bCs/>
          <w:sz w:val="24"/>
        </w:rPr>
        <w:t>其中：</w:t>
      </w:r>
    </w:p>
    <w:p w:rsidR="00B67D8A" w:rsidRDefault="00B67D8A">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67D8A" w:rsidRDefault="00B67D8A">
      <w:pPr>
        <w:spacing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rsidR="00B67D8A" w:rsidRDefault="00B67D8A">
      <w:pPr>
        <w:spacing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B67D8A" w:rsidRDefault="00B67D8A">
      <w:pPr>
        <w:spacing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67D8A" w:rsidRDefault="00B67D8A">
      <w:pPr>
        <w:spacing w:line="360" w:lineRule="auto"/>
        <w:ind w:firstLineChars="200" w:firstLine="480"/>
        <w:rPr>
          <w:bCs/>
          <w:sz w:val="24"/>
        </w:rPr>
      </w:pPr>
      <w:r>
        <w:rPr>
          <w:rFonts w:hint="eastAsia"/>
          <w:bCs/>
          <w:sz w:val="24"/>
        </w:rPr>
        <w:lastRenderedPageBreak/>
        <w:t>转入确认金额</w:t>
      </w:r>
      <w:r>
        <w:rPr>
          <w:rFonts w:hint="eastAsia"/>
          <w:bCs/>
          <w:sz w:val="24"/>
        </w:rPr>
        <w:t>=125,000-250=124,750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B67D8A" w:rsidRDefault="00B67D8A">
      <w:pPr>
        <w:spacing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B67D8A" w:rsidRDefault="00B67D8A">
      <w:pPr>
        <w:spacing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B67D8A" w:rsidRDefault="00B67D8A">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67D8A" w:rsidRDefault="00B67D8A">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67D8A" w:rsidRDefault="00B67D8A">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67D8A" w:rsidRDefault="00B67D8A">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B67D8A" w:rsidRDefault="00B67D8A">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（七）业务规则</w:t>
      </w:r>
    </w:p>
    <w:p w:rsidR="00B67D8A" w:rsidRDefault="00B67D8A">
      <w:pPr>
        <w:spacing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B67D8A" w:rsidRDefault="00B67D8A">
      <w:pPr>
        <w:spacing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w:t>
      </w:r>
      <w:r>
        <w:rPr>
          <w:rFonts w:hint="eastAsia"/>
          <w:bCs/>
          <w:sz w:val="24"/>
        </w:rPr>
        <w:lastRenderedPageBreak/>
        <w:t>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rsidR="00B67D8A" w:rsidRDefault="00B67D8A">
      <w:pPr>
        <w:spacing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rsidR="00B67D8A" w:rsidRDefault="00B67D8A">
      <w:pPr>
        <w:spacing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rsidR="00B67D8A" w:rsidRDefault="00B67D8A">
      <w:pPr>
        <w:spacing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B67D8A" w:rsidRDefault="00B67D8A">
      <w:pPr>
        <w:spacing w:line="360" w:lineRule="auto"/>
        <w:ind w:firstLineChars="200" w:firstLine="480"/>
        <w:rPr>
          <w:bCs/>
          <w:sz w:val="24"/>
        </w:rPr>
      </w:pPr>
      <w:r>
        <w:rPr>
          <w:rFonts w:hint="eastAsia"/>
          <w:bCs/>
          <w:sz w:val="24"/>
        </w:rPr>
        <w:t>6</w:t>
      </w:r>
      <w:r>
        <w:rPr>
          <w:rFonts w:hint="eastAsia"/>
          <w:bCs/>
          <w:sz w:val="24"/>
        </w:rPr>
        <w:t>、根据旗下保本</w:t>
      </w:r>
      <w:proofErr w:type="gramStart"/>
      <w:r>
        <w:rPr>
          <w:rFonts w:hint="eastAsia"/>
          <w:bCs/>
          <w:sz w:val="24"/>
        </w:rPr>
        <w:t>基金基金</w:t>
      </w:r>
      <w:proofErr w:type="gramEnd"/>
      <w:r>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12" w:history="1">
        <w:r>
          <w:rPr>
            <w:rFonts w:hint="eastAsia"/>
            <w:bCs/>
            <w:sz w:val="24"/>
          </w:rPr>
          <w:t>基金份额净值</w:t>
        </w:r>
      </w:hyperlink>
      <w:r>
        <w:rPr>
          <w:rFonts w:hint="eastAsia"/>
          <w:bCs/>
          <w:sz w:val="24"/>
        </w:rPr>
        <w:t>为基准进行计算。</w:t>
      </w:r>
    </w:p>
    <w:p w:rsidR="00B67D8A" w:rsidRDefault="00B67D8A">
      <w:pPr>
        <w:widowControl/>
        <w:tabs>
          <w:tab w:val="left" w:pos="4949"/>
        </w:tabs>
        <w:spacing w:line="360" w:lineRule="auto"/>
        <w:ind w:firstLineChars="200" w:firstLine="482"/>
        <w:outlineLvl w:val="1"/>
        <w:rPr>
          <w:b/>
          <w:kern w:val="0"/>
          <w:sz w:val="24"/>
        </w:rPr>
      </w:pPr>
      <w:r>
        <w:rPr>
          <w:rFonts w:hint="eastAsia"/>
          <w:b/>
          <w:kern w:val="0"/>
          <w:sz w:val="24"/>
        </w:rPr>
        <w:t>（八）暂停基金转换</w:t>
      </w:r>
    </w:p>
    <w:p w:rsidR="00B67D8A" w:rsidRDefault="00B67D8A">
      <w:pPr>
        <w:spacing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B67D8A" w:rsidRDefault="00B67D8A">
      <w:pPr>
        <w:spacing w:line="360" w:lineRule="auto"/>
        <w:ind w:firstLineChars="200" w:firstLine="480"/>
        <w:rPr>
          <w:bCs/>
          <w:sz w:val="24"/>
        </w:rPr>
      </w:pPr>
      <w:r>
        <w:rPr>
          <w:rFonts w:hint="eastAsia"/>
          <w:bCs/>
          <w:sz w:val="24"/>
        </w:rPr>
        <w:t>本基金单个开放日，基金净赎回申请份额（该基金赎回</w:t>
      </w:r>
      <w:proofErr w:type="gramStart"/>
      <w:r>
        <w:rPr>
          <w:rFonts w:hint="eastAsia"/>
          <w:bCs/>
          <w:sz w:val="24"/>
        </w:rPr>
        <w:t>申请总</w:t>
      </w:r>
      <w:proofErr w:type="gramEnd"/>
      <w:r>
        <w:rPr>
          <w:rFonts w:hint="eastAsia"/>
          <w:bCs/>
          <w:sz w:val="24"/>
        </w:rPr>
        <w:t>份额加上基金转换中转出</w:t>
      </w:r>
      <w:proofErr w:type="gramStart"/>
      <w:r>
        <w:rPr>
          <w:rFonts w:hint="eastAsia"/>
          <w:bCs/>
          <w:sz w:val="24"/>
        </w:rPr>
        <w:t>申请总</w:t>
      </w:r>
      <w:proofErr w:type="gramEnd"/>
      <w:r>
        <w:rPr>
          <w:rFonts w:hint="eastAsia"/>
          <w:bCs/>
          <w:sz w:val="24"/>
        </w:rPr>
        <w:t>份额后扣除申购</w:t>
      </w:r>
      <w:proofErr w:type="gramStart"/>
      <w:r>
        <w:rPr>
          <w:rFonts w:hint="eastAsia"/>
          <w:bCs/>
          <w:sz w:val="24"/>
        </w:rPr>
        <w:t>申请总</w:t>
      </w:r>
      <w:proofErr w:type="gramEnd"/>
      <w:r>
        <w:rPr>
          <w:rFonts w:hint="eastAsia"/>
          <w:bCs/>
          <w:sz w:val="24"/>
        </w:rPr>
        <w:t>份额及基金转换中转入</w:t>
      </w:r>
      <w:proofErr w:type="gramStart"/>
      <w:r>
        <w:rPr>
          <w:rFonts w:hint="eastAsia"/>
          <w:bCs/>
          <w:sz w:val="24"/>
        </w:rPr>
        <w:t>申请总</w:t>
      </w:r>
      <w:proofErr w:type="gramEnd"/>
      <w:r>
        <w:rPr>
          <w:rFonts w:hint="eastAsia"/>
          <w:bCs/>
          <w:sz w:val="24"/>
        </w:rPr>
        <w:t>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67D8A" w:rsidRDefault="00B67D8A">
      <w:pPr>
        <w:adjustRightInd w:val="0"/>
        <w:snapToGrid w:val="0"/>
        <w:spacing w:line="360" w:lineRule="auto"/>
        <w:ind w:firstLineChars="200" w:firstLine="480"/>
        <w:rPr>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55" w:name="_Toc133308365"/>
      <w:bookmarkStart w:id="56" w:name="_Toc382321321"/>
      <w:r>
        <w:rPr>
          <w:rFonts w:ascii="宋体" w:hAnsi="宋体" w:hint="eastAsia"/>
          <w:b/>
          <w:kern w:val="0"/>
          <w:sz w:val="30"/>
        </w:rPr>
        <w:lastRenderedPageBreak/>
        <w:t>十、基金的定期支付</w:t>
      </w:r>
      <w:bookmarkEnd w:id="55"/>
      <w:bookmarkEnd w:id="56"/>
    </w:p>
    <w:p w:rsidR="00B67D8A" w:rsidRDefault="00B67D8A">
      <w:pPr>
        <w:adjustRightInd w:val="0"/>
        <w:snapToGrid w:val="0"/>
        <w:spacing w:line="360" w:lineRule="auto"/>
        <w:ind w:firstLineChars="200" w:firstLine="480"/>
        <w:rPr>
          <w:bCs/>
          <w:sz w:val="24"/>
          <w:szCs w:val="24"/>
        </w:rPr>
      </w:pPr>
      <w:r>
        <w:rPr>
          <w:rFonts w:hAnsi="宋体"/>
          <w:bCs/>
          <w:sz w:val="24"/>
          <w:szCs w:val="24"/>
        </w:rPr>
        <w:t>本基金按照基金合同的约定，每月定期通过自动赎回基金份额向基金份额持有人支付一定现金，具体而言，本基金按照本招募说明书约定</w:t>
      </w:r>
      <w:proofErr w:type="gramStart"/>
      <w:r>
        <w:rPr>
          <w:rFonts w:hAnsi="宋体"/>
          <w:bCs/>
          <w:sz w:val="24"/>
          <w:szCs w:val="24"/>
        </w:rPr>
        <w:t>的年化现金</w:t>
      </w:r>
      <w:proofErr w:type="gramEnd"/>
      <w:r>
        <w:rPr>
          <w:rFonts w:hAnsi="宋体"/>
          <w:bCs/>
          <w:sz w:val="24"/>
          <w:szCs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B67D8A" w:rsidRDefault="00B67D8A">
      <w:pPr>
        <w:adjustRightInd w:val="0"/>
        <w:snapToGrid w:val="0"/>
        <w:spacing w:line="360" w:lineRule="auto"/>
        <w:ind w:firstLineChars="200" w:firstLine="480"/>
        <w:rPr>
          <w:sz w:val="24"/>
          <w:szCs w:val="24"/>
        </w:rPr>
      </w:pPr>
      <w:r>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（一）定期支付的时间</w:t>
      </w:r>
    </w:p>
    <w:p w:rsidR="00B67D8A" w:rsidRDefault="00B67D8A">
      <w:pPr>
        <w:adjustRightInd w:val="0"/>
        <w:snapToGrid w:val="0"/>
        <w:spacing w:line="360" w:lineRule="auto"/>
        <w:ind w:firstLineChars="200" w:firstLine="480"/>
        <w:rPr>
          <w:bCs/>
          <w:sz w:val="24"/>
          <w:szCs w:val="24"/>
        </w:rPr>
      </w:pPr>
      <w:r>
        <w:rPr>
          <w:rFonts w:hAnsi="宋体"/>
          <w:bCs/>
          <w:sz w:val="24"/>
          <w:szCs w:val="24"/>
        </w:rPr>
        <w:t>基金每月对投资人进行</w:t>
      </w:r>
      <w:r>
        <w:rPr>
          <w:bCs/>
          <w:sz w:val="24"/>
          <w:szCs w:val="24"/>
        </w:rPr>
        <w:t>1</w:t>
      </w:r>
      <w:r>
        <w:rPr>
          <w:rFonts w:hAnsi="宋体"/>
          <w:bCs/>
          <w:sz w:val="24"/>
          <w:szCs w:val="24"/>
        </w:rPr>
        <w:t>次定期支付，</w:t>
      </w:r>
      <w:proofErr w:type="gramStart"/>
      <w:r>
        <w:rPr>
          <w:rFonts w:hAnsi="宋体"/>
          <w:bCs/>
          <w:sz w:val="24"/>
          <w:szCs w:val="24"/>
        </w:rPr>
        <w:t>若基金</w:t>
      </w:r>
      <w:proofErr w:type="gramEnd"/>
      <w:r>
        <w:rPr>
          <w:rFonts w:hAnsi="宋体"/>
          <w:bCs/>
          <w:sz w:val="24"/>
          <w:szCs w:val="24"/>
        </w:rPr>
        <w:t>合同生效不满</w:t>
      </w:r>
      <w:r>
        <w:rPr>
          <w:bCs/>
          <w:sz w:val="24"/>
          <w:szCs w:val="24"/>
        </w:rPr>
        <w:t>3</w:t>
      </w:r>
      <w:r>
        <w:rPr>
          <w:rFonts w:hAnsi="宋体"/>
          <w:bCs/>
          <w:sz w:val="24"/>
          <w:szCs w:val="24"/>
        </w:rPr>
        <w:t>个月可不进行支付</w:t>
      </w:r>
      <w:r>
        <w:rPr>
          <w:rFonts w:hAnsi="宋体"/>
          <w:sz w:val="24"/>
          <w:szCs w:val="24"/>
        </w:rPr>
        <w:t>。</w:t>
      </w:r>
      <w:r>
        <w:rPr>
          <w:rFonts w:hAnsi="宋体"/>
          <w:bCs/>
          <w:sz w:val="24"/>
          <w:szCs w:val="24"/>
        </w:rPr>
        <w:t>发生下列情形时，基金管理人可暂停当月的定期支付：</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、因不可抗力导致基金管理人不能支付定期支付的款项。</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、定期支付基准日发生基金合同规定的暂停基金资产估值情况。</w:t>
      </w:r>
    </w:p>
    <w:p w:rsidR="00B67D8A" w:rsidRDefault="00B67D8A">
      <w:pPr>
        <w:adjustRightInd w:val="0"/>
        <w:snapToGrid w:val="0"/>
        <w:spacing w:line="360" w:lineRule="auto"/>
        <w:ind w:firstLineChars="200" w:firstLine="480"/>
        <w:rPr>
          <w:bCs/>
          <w:sz w:val="24"/>
          <w:szCs w:val="24"/>
        </w:rPr>
      </w:pPr>
      <w:r>
        <w:rPr>
          <w:bCs/>
          <w:sz w:val="24"/>
          <w:szCs w:val="24"/>
        </w:rPr>
        <w:t>3</w:t>
      </w:r>
      <w:r>
        <w:rPr>
          <w:rFonts w:hAnsi="宋体"/>
          <w:bCs/>
          <w:sz w:val="24"/>
          <w:szCs w:val="24"/>
        </w:rPr>
        <w:t>、定期支付基准日证券交易所交易时间临时停市，导致基金管理人无法计算当日基金资产净值。</w:t>
      </w:r>
    </w:p>
    <w:p w:rsidR="00B67D8A" w:rsidRDefault="00B67D8A">
      <w:pPr>
        <w:adjustRightInd w:val="0"/>
        <w:snapToGrid w:val="0"/>
        <w:spacing w:line="360" w:lineRule="auto"/>
        <w:ind w:firstLineChars="200" w:firstLine="480"/>
        <w:rPr>
          <w:bCs/>
          <w:sz w:val="24"/>
          <w:szCs w:val="24"/>
        </w:rPr>
      </w:pPr>
      <w:r>
        <w:rPr>
          <w:bCs/>
          <w:sz w:val="24"/>
          <w:szCs w:val="24"/>
        </w:rPr>
        <w:t>4</w:t>
      </w:r>
      <w:r>
        <w:rPr>
          <w:rFonts w:hAnsi="宋体"/>
          <w:bCs/>
          <w:sz w:val="24"/>
          <w:szCs w:val="24"/>
        </w:rPr>
        <w:t>、定期支付基准日发生基金合同第六部分约定的暂停赎回或者延缓支付赎回款项的情形</w:t>
      </w:r>
      <w:proofErr w:type="gramStart"/>
      <w:r>
        <w:rPr>
          <w:rFonts w:hAnsi="宋体"/>
          <w:bCs/>
          <w:sz w:val="24"/>
          <w:szCs w:val="24"/>
        </w:rPr>
        <w:t>且基金</w:t>
      </w:r>
      <w:proofErr w:type="gramEnd"/>
      <w:r>
        <w:rPr>
          <w:rFonts w:hAnsi="宋体"/>
          <w:bCs/>
          <w:sz w:val="24"/>
          <w:szCs w:val="24"/>
        </w:rPr>
        <w:t>管理人决定暂停接受投资人的赎回申请或者延缓支付赎回款项。</w:t>
      </w:r>
    </w:p>
    <w:p w:rsidR="00B67D8A" w:rsidRDefault="00B67D8A">
      <w:pPr>
        <w:adjustRightInd w:val="0"/>
        <w:snapToGrid w:val="0"/>
        <w:spacing w:line="360" w:lineRule="auto"/>
        <w:ind w:firstLineChars="200" w:firstLine="480"/>
        <w:rPr>
          <w:bCs/>
          <w:sz w:val="24"/>
          <w:szCs w:val="24"/>
        </w:rPr>
      </w:pPr>
      <w:r>
        <w:rPr>
          <w:rFonts w:hAnsi="宋体"/>
          <w:bCs/>
          <w:sz w:val="24"/>
          <w:szCs w:val="24"/>
        </w:rPr>
        <w:t>发生上述情形之一</w:t>
      </w:r>
      <w:proofErr w:type="gramStart"/>
      <w:r>
        <w:rPr>
          <w:rFonts w:hAnsi="宋体"/>
          <w:bCs/>
          <w:sz w:val="24"/>
          <w:szCs w:val="24"/>
        </w:rPr>
        <w:t>且基金</w:t>
      </w:r>
      <w:proofErr w:type="gramEnd"/>
      <w:r>
        <w:rPr>
          <w:rFonts w:hAnsi="宋体"/>
          <w:bCs/>
          <w:sz w:val="24"/>
          <w:szCs w:val="24"/>
        </w:rPr>
        <w:t>管理人决定暂停当月的定期支付时，基金管理人应当根据有关规定在指定媒体上刊登暂停定期支付业务公告并报中国证监会备案。</w:t>
      </w:r>
    </w:p>
    <w:p w:rsidR="00B67D8A" w:rsidRDefault="00B67D8A">
      <w:pPr>
        <w:adjustRightInd w:val="0"/>
        <w:snapToGrid w:val="0"/>
        <w:spacing w:line="360" w:lineRule="auto"/>
        <w:ind w:firstLineChars="200" w:firstLine="482"/>
        <w:rPr>
          <w:b/>
          <w:bCs/>
          <w:sz w:val="24"/>
          <w:szCs w:val="24"/>
        </w:rPr>
      </w:pPr>
      <w:r>
        <w:rPr>
          <w:rFonts w:hAnsi="宋体"/>
          <w:b/>
          <w:sz w:val="24"/>
          <w:szCs w:val="24"/>
        </w:rPr>
        <w:t>（二）定期支付的支付基准日、权益登记日及款</w:t>
      </w:r>
      <w:r>
        <w:rPr>
          <w:rFonts w:hAnsi="宋体"/>
          <w:b/>
          <w:bCs/>
          <w:sz w:val="24"/>
          <w:szCs w:val="24"/>
        </w:rPr>
        <w:t>项支付</w:t>
      </w:r>
    </w:p>
    <w:p w:rsidR="00B67D8A" w:rsidRDefault="00B67D8A">
      <w:pPr>
        <w:adjustRightInd w:val="0"/>
        <w:snapToGrid w:val="0"/>
        <w:spacing w:line="360" w:lineRule="auto"/>
        <w:ind w:firstLineChars="200" w:firstLine="480"/>
        <w:rPr>
          <w:bCs/>
          <w:sz w:val="24"/>
          <w:szCs w:val="24"/>
        </w:rPr>
      </w:pPr>
      <w:r>
        <w:rPr>
          <w:rFonts w:hAnsi="宋体"/>
          <w:bCs/>
          <w:sz w:val="24"/>
          <w:szCs w:val="24"/>
        </w:rPr>
        <w:t>基金进行定期支付的，当月的第一个工作日（</w:t>
      </w:r>
      <w:r>
        <w:rPr>
          <w:bCs/>
          <w:sz w:val="24"/>
          <w:szCs w:val="24"/>
        </w:rPr>
        <w:t>T</w:t>
      </w:r>
      <w:r>
        <w:rPr>
          <w:rFonts w:hAnsi="宋体"/>
          <w:bCs/>
          <w:sz w:val="24"/>
          <w:szCs w:val="24"/>
        </w:rPr>
        <w:t>日）为本基金的定期支付基准日，该月的现金支付金额以该日的基金资产净值为基础计算得出。当月的第一个工作日（</w:t>
      </w:r>
      <w:r>
        <w:rPr>
          <w:bCs/>
          <w:sz w:val="24"/>
          <w:szCs w:val="24"/>
        </w:rPr>
        <w:t>T</w:t>
      </w:r>
      <w:r>
        <w:rPr>
          <w:rFonts w:hAnsi="宋体"/>
          <w:bCs/>
          <w:sz w:val="24"/>
          <w:szCs w:val="24"/>
        </w:rPr>
        <w:t>日）也是该月定期支付的权益登记日，即该日登记在册的基金份额持有人为该月定期支付的对象。对于</w:t>
      </w:r>
      <w:r>
        <w:rPr>
          <w:bCs/>
          <w:sz w:val="24"/>
          <w:szCs w:val="24"/>
        </w:rPr>
        <w:t>T</w:t>
      </w:r>
      <w:r>
        <w:rPr>
          <w:rFonts w:hAnsi="宋体"/>
          <w:bCs/>
          <w:sz w:val="24"/>
          <w:szCs w:val="24"/>
        </w:rPr>
        <w:t>日登记在册的基金份额持有人，登记机构在</w:t>
      </w:r>
      <w:r>
        <w:rPr>
          <w:bCs/>
          <w:sz w:val="24"/>
          <w:szCs w:val="24"/>
        </w:rPr>
        <w:t>T</w:t>
      </w:r>
      <w:r>
        <w:rPr>
          <w:rFonts w:hAnsi="宋体"/>
          <w:bCs/>
          <w:sz w:val="24"/>
          <w:szCs w:val="24"/>
        </w:rPr>
        <w:t>＋</w:t>
      </w:r>
      <w:r>
        <w:rPr>
          <w:bCs/>
          <w:sz w:val="24"/>
          <w:szCs w:val="24"/>
        </w:rPr>
        <w:t>1</w:t>
      </w:r>
      <w:r>
        <w:rPr>
          <w:rFonts w:hAnsi="宋体"/>
          <w:bCs/>
          <w:sz w:val="24"/>
          <w:szCs w:val="24"/>
        </w:rPr>
        <w:lastRenderedPageBreak/>
        <w:t>日确定自动赎回用于现金支付的基金份额数并</w:t>
      </w:r>
      <w:r>
        <w:rPr>
          <w:rFonts w:hAnsi="宋体"/>
          <w:sz w:val="24"/>
          <w:szCs w:val="24"/>
        </w:rPr>
        <w:t>将上述用于现金支付的基金份额从基金份额持有人账户中进行扣减</w:t>
      </w:r>
      <w:r>
        <w:rPr>
          <w:rFonts w:hAnsi="宋体"/>
          <w:bCs/>
          <w:sz w:val="24"/>
          <w:szCs w:val="24"/>
        </w:rPr>
        <w:t>。</w:t>
      </w:r>
      <w:r>
        <w:rPr>
          <w:rFonts w:hAnsi="宋体"/>
          <w:sz w:val="24"/>
          <w:szCs w:val="24"/>
        </w:rPr>
        <w:t>基金管理人将通过登记机构及其相关销售机构</w:t>
      </w:r>
      <w:r>
        <w:rPr>
          <w:rFonts w:hAnsi="宋体"/>
          <w:bCs/>
          <w:sz w:val="24"/>
          <w:szCs w:val="24"/>
        </w:rPr>
        <w:t>在</w:t>
      </w:r>
      <w:r>
        <w:rPr>
          <w:bCs/>
          <w:sz w:val="24"/>
          <w:szCs w:val="24"/>
        </w:rPr>
        <w:t>T</w:t>
      </w:r>
      <w:r>
        <w:rPr>
          <w:rFonts w:hAnsi="宋体"/>
          <w:bCs/>
          <w:sz w:val="24"/>
          <w:szCs w:val="24"/>
        </w:rPr>
        <w:t>＋</w:t>
      </w:r>
      <w:r>
        <w:rPr>
          <w:bCs/>
          <w:sz w:val="24"/>
          <w:szCs w:val="24"/>
        </w:rPr>
        <w:t>7</w:t>
      </w:r>
      <w:r>
        <w:rPr>
          <w:rFonts w:hAnsi="宋体"/>
          <w:bCs/>
          <w:sz w:val="24"/>
          <w:szCs w:val="24"/>
        </w:rPr>
        <w:t>日（包括该日）内将支付款项</w:t>
      </w:r>
      <w:proofErr w:type="gramStart"/>
      <w:r>
        <w:rPr>
          <w:rFonts w:hAnsi="宋体"/>
          <w:bCs/>
          <w:sz w:val="24"/>
          <w:szCs w:val="24"/>
        </w:rPr>
        <w:t>划往基金</w:t>
      </w:r>
      <w:proofErr w:type="gramEnd"/>
      <w:r>
        <w:rPr>
          <w:rFonts w:hAnsi="宋体"/>
          <w:bCs/>
          <w:sz w:val="24"/>
          <w:szCs w:val="24"/>
        </w:rPr>
        <w:t>份额持有人账户。</w:t>
      </w:r>
    </w:p>
    <w:p w:rsidR="00B67D8A" w:rsidRDefault="00B67D8A">
      <w:pPr>
        <w:adjustRightInd w:val="0"/>
        <w:snapToGrid w:val="0"/>
        <w:spacing w:line="360" w:lineRule="auto"/>
        <w:ind w:firstLineChars="200" w:firstLine="480"/>
        <w:rPr>
          <w:bCs/>
          <w:sz w:val="24"/>
          <w:szCs w:val="24"/>
        </w:rPr>
      </w:pPr>
      <w:r>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（三）定期支付金额的计算</w:t>
      </w:r>
    </w:p>
    <w:p w:rsidR="00B67D8A" w:rsidRDefault="00B67D8A">
      <w:pPr>
        <w:adjustRightInd w:val="0"/>
        <w:snapToGrid w:val="0"/>
        <w:spacing w:line="360" w:lineRule="auto"/>
        <w:ind w:firstLineChars="200" w:firstLine="480"/>
        <w:rPr>
          <w:sz w:val="24"/>
          <w:szCs w:val="24"/>
        </w:rPr>
      </w:pPr>
      <w:r>
        <w:rPr>
          <w:rFonts w:hAnsi="宋体"/>
          <w:bCs/>
          <w:sz w:val="24"/>
          <w:szCs w:val="24"/>
        </w:rPr>
        <w:t>本基金</w:t>
      </w:r>
      <w:r>
        <w:rPr>
          <w:rFonts w:hAnsi="宋体"/>
          <w:sz w:val="24"/>
          <w:szCs w:val="24"/>
        </w:rPr>
        <w:t>每次定期支付</w:t>
      </w:r>
      <w:proofErr w:type="gramStart"/>
      <w:r>
        <w:rPr>
          <w:rFonts w:hAnsi="宋体"/>
          <w:sz w:val="24"/>
          <w:szCs w:val="24"/>
        </w:rPr>
        <w:t>按照年化现金</w:t>
      </w:r>
      <w:proofErr w:type="gramEnd"/>
      <w:r>
        <w:rPr>
          <w:rFonts w:hAnsi="宋体"/>
          <w:sz w:val="24"/>
          <w:szCs w:val="24"/>
        </w:rPr>
        <w:t>支付比率计算现金支付金额并自动赎回对应金额的基金</w:t>
      </w:r>
      <w:r>
        <w:rPr>
          <w:rFonts w:hAnsi="宋体"/>
          <w:bCs/>
          <w:sz w:val="24"/>
          <w:szCs w:val="24"/>
        </w:rPr>
        <w:t>份额数以用于向基金份额持有人进行现金支付</w:t>
      </w:r>
      <w:r>
        <w:rPr>
          <w:rFonts w:hAnsi="宋体"/>
          <w:sz w:val="24"/>
          <w:szCs w:val="24"/>
        </w:rPr>
        <w:t>，现金支付金额和自动赎回用于现金支付的基金份额按照单个基金交易账户进行计算，具体计算公式如下：</w:t>
      </w:r>
    </w:p>
    <w:p w:rsidR="00B67D8A" w:rsidRDefault="00772CAA">
      <w:pPr>
        <w:adjustRightInd w:val="0"/>
        <w:snapToGrid w:val="0"/>
        <w:spacing w:line="360" w:lineRule="auto"/>
        <w:ind w:firstLineChars="200" w:firstLine="480"/>
        <w:rPr>
          <w:spacing w:val="8"/>
          <w:sz w:val="24"/>
          <w:szCs w:val="24"/>
        </w:rPr>
      </w:pPr>
      <w:r>
        <w:rPr>
          <w:noProof/>
          <w:sz w:val="24"/>
          <w:szCs w:val="24"/>
        </w:rPr>
        <w:drawing>
          <wp:inline distT="0" distB="0" distL="0" distR="0">
            <wp:extent cx="1333500" cy="5048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333500" cy="504825"/>
                    </a:xfrm>
                    <a:prstGeom prst="rect">
                      <a:avLst/>
                    </a:prstGeom>
                    <a:noFill/>
                    <a:ln w="9525">
                      <a:noFill/>
                      <a:miter lim="800000"/>
                      <a:headEnd/>
                      <a:tailEnd/>
                    </a:ln>
                  </pic:spPr>
                </pic:pic>
              </a:graphicData>
            </a:graphic>
          </wp:inline>
        </w:drawing>
      </w:r>
    </w:p>
    <w:p w:rsidR="00B67D8A" w:rsidRDefault="00772CAA">
      <w:pPr>
        <w:adjustRightInd w:val="0"/>
        <w:snapToGrid w:val="0"/>
        <w:spacing w:line="360" w:lineRule="auto"/>
        <w:ind w:firstLineChars="200" w:firstLine="480"/>
        <w:rPr>
          <w:spacing w:val="8"/>
          <w:sz w:val="24"/>
          <w:szCs w:val="24"/>
        </w:rPr>
      </w:pPr>
      <w:r>
        <w:rPr>
          <w:noProof/>
          <w:sz w:val="24"/>
          <w:szCs w:val="24"/>
        </w:rPr>
        <w:drawing>
          <wp:inline distT="0" distB="0" distL="0" distR="0">
            <wp:extent cx="990600" cy="1809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990600" cy="180975"/>
                    </a:xfrm>
                    <a:prstGeom prst="rect">
                      <a:avLst/>
                    </a:prstGeom>
                    <a:noFill/>
                    <a:ln w="9525">
                      <a:noFill/>
                      <a:miter lim="800000"/>
                      <a:headEnd/>
                      <a:tailEnd/>
                    </a:ln>
                  </pic:spPr>
                </pic:pic>
              </a:graphicData>
            </a:graphic>
          </wp:inline>
        </w:drawing>
      </w:r>
    </w:p>
    <w:p w:rsidR="00B67D8A" w:rsidRDefault="00772CAA">
      <w:pPr>
        <w:adjustRightInd w:val="0"/>
        <w:snapToGrid w:val="0"/>
        <w:spacing w:line="360" w:lineRule="auto"/>
        <w:ind w:firstLineChars="200" w:firstLine="480"/>
        <w:rPr>
          <w:spacing w:val="8"/>
          <w:sz w:val="24"/>
          <w:szCs w:val="24"/>
        </w:rPr>
      </w:pPr>
      <w:r>
        <w:rPr>
          <w:noProof/>
          <w:sz w:val="24"/>
          <w:szCs w:val="24"/>
        </w:rPr>
        <w:drawing>
          <wp:inline distT="0" distB="0" distL="0" distR="0">
            <wp:extent cx="733425" cy="1809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733425" cy="180975"/>
                    </a:xfrm>
                    <a:prstGeom prst="rect">
                      <a:avLst/>
                    </a:prstGeom>
                    <a:noFill/>
                    <a:ln w="9525">
                      <a:noFill/>
                      <a:miter lim="800000"/>
                      <a:headEnd/>
                      <a:tailEnd/>
                    </a:ln>
                  </pic:spPr>
                </pic:pic>
              </a:graphicData>
            </a:graphic>
          </wp:inline>
        </w:drawing>
      </w:r>
    </w:p>
    <w:p w:rsidR="00B67D8A" w:rsidRDefault="00B67D8A">
      <w:pPr>
        <w:adjustRightInd w:val="0"/>
        <w:snapToGrid w:val="0"/>
        <w:spacing w:line="360" w:lineRule="auto"/>
        <w:ind w:firstLineChars="200" w:firstLine="480"/>
        <w:rPr>
          <w:sz w:val="24"/>
          <w:szCs w:val="24"/>
        </w:rPr>
      </w:pPr>
      <w:r>
        <w:rPr>
          <w:rFonts w:hAnsi="宋体"/>
          <w:sz w:val="24"/>
          <w:szCs w:val="24"/>
        </w:rPr>
        <w:t>其中：</w:t>
      </w:r>
    </w:p>
    <w:p w:rsidR="00B67D8A" w:rsidRDefault="00B67D8A">
      <w:pPr>
        <w:adjustRightInd w:val="0"/>
        <w:snapToGrid w:val="0"/>
        <w:spacing w:line="360" w:lineRule="auto"/>
        <w:ind w:firstLineChars="200" w:firstLine="480"/>
        <w:rPr>
          <w:sz w:val="24"/>
          <w:szCs w:val="24"/>
        </w:rPr>
      </w:pPr>
      <w:r>
        <w:rPr>
          <w:sz w:val="24"/>
          <w:szCs w:val="24"/>
        </w:rPr>
        <w:t>D</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w:t>
      </w:r>
      <w:r>
        <w:rPr>
          <w:rFonts w:hAnsi="宋体"/>
          <w:bCs/>
          <w:sz w:val="24"/>
          <w:szCs w:val="24"/>
        </w:rPr>
        <w:t>登记在册的</w:t>
      </w:r>
      <w:r>
        <w:rPr>
          <w:rFonts w:hAnsi="宋体"/>
          <w:sz w:val="24"/>
          <w:szCs w:val="24"/>
        </w:rPr>
        <w:t>每份基金份额对应的现金支付金额；</w:t>
      </w:r>
    </w:p>
    <w:p w:rsidR="00B67D8A" w:rsidRDefault="00B67D8A">
      <w:pPr>
        <w:adjustRightInd w:val="0"/>
        <w:snapToGrid w:val="0"/>
        <w:spacing w:line="360" w:lineRule="auto"/>
        <w:ind w:firstLineChars="200" w:firstLine="480"/>
        <w:rPr>
          <w:sz w:val="24"/>
          <w:szCs w:val="24"/>
        </w:rPr>
      </w:pPr>
      <w:r>
        <w:rPr>
          <w:sz w:val="24"/>
          <w:szCs w:val="24"/>
        </w:rPr>
        <w:t>n</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次定期支付该基金交易账户对应的自动赎回用于现金支付的份额数，计算结果四舍五入保留到小数点后两位；</w:t>
      </w:r>
    </w:p>
    <w:p w:rsidR="00B67D8A" w:rsidRDefault="00B67D8A">
      <w:pPr>
        <w:adjustRightInd w:val="0"/>
        <w:snapToGrid w:val="0"/>
        <w:spacing w:line="360" w:lineRule="auto"/>
        <w:ind w:firstLineChars="200" w:firstLine="480"/>
        <w:rPr>
          <w:sz w:val="24"/>
          <w:szCs w:val="24"/>
        </w:rPr>
      </w:pPr>
      <w:r>
        <w:rPr>
          <w:sz w:val="24"/>
          <w:szCs w:val="24"/>
        </w:rPr>
        <w:t>C</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次定期支付该基金交易账户实际可获得的现金支付金额，计算结果四舍五入保留到小数点后两位；</w:t>
      </w:r>
    </w:p>
    <w:p w:rsidR="00B67D8A" w:rsidRDefault="00B67D8A">
      <w:pPr>
        <w:adjustRightInd w:val="0"/>
        <w:snapToGrid w:val="0"/>
        <w:spacing w:line="360" w:lineRule="auto"/>
        <w:ind w:firstLineChars="200" w:firstLine="480"/>
        <w:rPr>
          <w:sz w:val="24"/>
          <w:szCs w:val="24"/>
        </w:rPr>
      </w:pPr>
      <w:r>
        <w:rPr>
          <w:sz w:val="24"/>
          <w:szCs w:val="24"/>
        </w:rPr>
        <w:t>P</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次定期支付权益登记日的基金份额净值；</w:t>
      </w:r>
    </w:p>
    <w:p w:rsidR="00B67D8A" w:rsidRDefault="00B67D8A">
      <w:pPr>
        <w:adjustRightInd w:val="0"/>
        <w:snapToGrid w:val="0"/>
        <w:spacing w:line="360" w:lineRule="auto"/>
        <w:ind w:firstLineChars="200" w:firstLine="480"/>
        <w:rPr>
          <w:sz w:val="24"/>
          <w:szCs w:val="24"/>
        </w:rPr>
      </w:pPr>
      <w:r>
        <w:rPr>
          <w:sz w:val="24"/>
          <w:szCs w:val="24"/>
        </w:rPr>
        <w:t>R</w:t>
      </w:r>
      <w:proofErr w:type="gramStart"/>
      <w:r>
        <w:rPr>
          <w:rFonts w:hAnsi="宋体"/>
          <w:sz w:val="24"/>
          <w:szCs w:val="24"/>
        </w:rPr>
        <w:t>为年化现金</w:t>
      </w:r>
      <w:proofErr w:type="gramEnd"/>
      <w:r>
        <w:rPr>
          <w:rFonts w:hAnsi="宋体"/>
          <w:sz w:val="24"/>
          <w:szCs w:val="24"/>
        </w:rPr>
        <w:t>支付比率；</w:t>
      </w:r>
    </w:p>
    <w:p w:rsidR="00B67D8A" w:rsidRDefault="00B67D8A">
      <w:pPr>
        <w:adjustRightInd w:val="0"/>
        <w:snapToGrid w:val="0"/>
        <w:spacing w:line="360" w:lineRule="auto"/>
        <w:ind w:firstLineChars="200" w:firstLine="480"/>
        <w:rPr>
          <w:sz w:val="24"/>
          <w:szCs w:val="24"/>
        </w:rPr>
      </w:pPr>
      <w:r>
        <w:rPr>
          <w:sz w:val="24"/>
          <w:szCs w:val="24"/>
        </w:rPr>
        <w:t>t</w:t>
      </w:r>
      <w:r>
        <w:rPr>
          <w:sz w:val="24"/>
          <w:szCs w:val="24"/>
          <w:vertAlign w:val="subscript"/>
        </w:rPr>
        <w:t>i</w:t>
      </w:r>
      <w:r>
        <w:rPr>
          <w:rFonts w:hAnsi="宋体"/>
          <w:sz w:val="24"/>
          <w:szCs w:val="24"/>
        </w:rPr>
        <w:t>（</w:t>
      </w:r>
      <w:r>
        <w:rPr>
          <w:sz w:val="24"/>
          <w:szCs w:val="24"/>
        </w:rPr>
        <w:t>i&gt;1</w:t>
      </w:r>
      <w:r>
        <w:rPr>
          <w:rFonts w:hAnsi="宋体"/>
          <w:sz w:val="24"/>
          <w:szCs w:val="24"/>
        </w:rPr>
        <w:t>）为第</w:t>
      </w:r>
      <w:r>
        <w:rPr>
          <w:sz w:val="24"/>
          <w:szCs w:val="24"/>
        </w:rPr>
        <w:t>i-1</w:t>
      </w:r>
      <w:r>
        <w:rPr>
          <w:rFonts w:hAnsi="宋体"/>
          <w:sz w:val="24"/>
          <w:szCs w:val="24"/>
        </w:rPr>
        <w:t>次定期支付权益登记日（不含该日）至第</w:t>
      </w:r>
      <w:r>
        <w:rPr>
          <w:sz w:val="24"/>
          <w:szCs w:val="24"/>
        </w:rPr>
        <w:t>i</w:t>
      </w:r>
      <w:r>
        <w:rPr>
          <w:rFonts w:hAnsi="宋体"/>
          <w:sz w:val="24"/>
          <w:szCs w:val="24"/>
        </w:rPr>
        <w:t>次定期支付权益登记日（含该日）之间的天数，</w:t>
      </w:r>
      <w:r>
        <w:rPr>
          <w:sz w:val="24"/>
          <w:szCs w:val="24"/>
        </w:rPr>
        <w:t>t</w:t>
      </w:r>
      <w:r>
        <w:rPr>
          <w:sz w:val="24"/>
          <w:szCs w:val="24"/>
          <w:vertAlign w:val="subscript"/>
        </w:rPr>
        <w:t>1</w:t>
      </w:r>
      <w:r>
        <w:rPr>
          <w:rFonts w:hAnsi="宋体"/>
          <w:sz w:val="24"/>
          <w:szCs w:val="24"/>
        </w:rPr>
        <w:t>为基金合同生效日（含该日）至第</w:t>
      </w:r>
      <w:r>
        <w:rPr>
          <w:sz w:val="24"/>
          <w:szCs w:val="24"/>
        </w:rPr>
        <w:t>1</w:t>
      </w:r>
      <w:r>
        <w:rPr>
          <w:rFonts w:hAnsi="宋体"/>
          <w:sz w:val="24"/>
          <w:szCs w:val="24"/>
        </w:rPr>
        <w:t>次定期支付权益登记日（含该日）之间的天数；</w:t>
      </w:r>
    </w:p>
    <w:p w:rsidR="00B67D8A" w:rsidRDefault="00B67D8A">
      <w:pPr>
        <w:adjustRightInd w:val="0"/>
        <w:snapToGrid w:val="0"/>
        <w:spacing w:line="360" w:lineRule="auto"/>
        <w:ind w:firstLineChars="200" w:firstLine="480"/>
        <w:rPr>
          <w:sz w:val="24"/>
          <w:szCs w:val="24"/>
        </w:rPr>
      </w:pPr>
      <w:r>
        <w:rPr>
          <w:sz w:val="24"/>
          <w:szCs w:val="24"/>
        </w:rPr>
        <w:t>T</w:t>
      </w:r>
      <w:r>
        <w:rPr>
          <w:rFonts w:hAnsi="宋体"/>
          <w:sz w:val="24"/>
          <w:szCs w:val="24"/>
        </w:rPr>
        <w:t>为</w:t>
      </w:r>
      <w:r>
        <w:rPr>
          <w:sz w:val="24"/>
          <w:szCs w:val="24"/>
        </w:rPr>
        <w:t>365</w:t>
      </w:r>
      <w:r>
        <w:rPr>
          <w:rFonts w:hAnsi="宋体"/>
          <w:sz w:val="24"/>
          <w:szCs w:val="24"/>
        </w:rPr>
        <w:t>天；</w:t>
      </w:r>
    </w:p>
    <w:p w:rsidR="00B67D8A" w:rsidRDefault="00B67D8A">
      <w:pPr>
        <w:adjustRightInd w:val="0"/>
        <w:snapToGrid w:val="0"/>
        <w:spacing w:line="360" w:lineRule="auto"/>
        <w:ind w:firstLineChars="200" w:firstLine="480"/>
        <w:rPr>
          <w:sz w:val="24"/>
          <w:szCs w:val="24"/>
        </w:rPr>
      </w:pPr>
      <w:r>
        <w:rPr>
          <w:sz w:val="24"/>
          <w:szCs w:val="24"/>
        </w:rPr>
        <w:t>M</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次定期支付权益登记日基金份额持有人在该基金交易账户确认持有的份额数。</w:t>
      </w:r>
    </w:p>
    <w:p w:rsidR="00B67D8A" w:rsidRDefault="00B67D8A">
      <w:pPr>
        <w:adjustRightInd w:val="0"/>
        <w:snapToGrid w:val="0"/>
        <w:spacing w:line="360" w:lineRule="auto"/>
        <w:ind w:firstLineChars="200" w:firstLine="480"/>
        <w:rPr>
          <w:bCs/>
          <w:sz w:val="24"/>
          <w:szCs w:val="24"/>
        </w:rPr>
      </w:pPr>
      <w:r>
        <w:rPr>
          <w:rFonts w:hAnsi="宋体"/>
          <w:sz w:val="24"/>
          <w:szCs w:val="24"/>
        </w:rPr>
        <w:lastRenderedPageBreak/>
        <w:t>由于计算过程尾差的处理，投资人实际可获得的现金支付金额（即</w:t>
      </w:r>
      <w:r>
        <w:rPr>
          <w:sz w:val="24"/>
          <w:szCs w:val="24"/>
        </w:rPr>
        <w:t>C</w:t>
      </w:r>
      <w:r>
        <w:rPr>
          <w:sz w:val="24"/>
          <w:szCs w:val="24"/>
          <w:vertAlign w:val="subscript"/>
        </w:rPr>
        <w:t>i</w:t>
      </w:r>
      <w:r>
        <w:rPr>
          <w:rFonts w:hAnsi="宋体"/>
          <w:sz w:val="24"/>
          <w:szCs w:val="24"/>
        </w:rPr>
        <w:t>），与按照每份基金份额对应的现金支付金额乘以其权益登记日持有的份额数（即</w:t>
      </w:r>
      <w:r>
        <w:rPr>
          <w:sz w:val="24"/>
          <w:szCs w:val="24"/>
        </w:rPr>
        <w:t>D</w:t>
      </w:r>
      <w:r>
        <w:rPr>
          <w:sz w:val="24"/>
          <w:szCs w:val="24"/>
          <w:vertAlign w:val="subscript"/>
        </w:rPr>
        <w:t>i</w:t>
      </w:r>
      <w:r>
        <w:rPr>
          <w:bCs/>
          <w:sz w:val="24"/>
          <w:szCs w:val="24"/>
        </w:rPr>
        <w:sym w:font="Symbol" w:char="F0B4"/>
      </w:r>
      <w:r>
        <w:rPr>
          <w:sz w:val="24"/>
          <w:szCs w:val="24"/>
        </w:rPr>
        <w:t>M</w:t>
      </w:r>
      <w:r>
        <w:rPr>
          <w:sz w:val="24"/>
          <w:szCs w:val="24"/>
          <w:vertAlign w:val="subscript"/>
        </w:rPr>
        <w:t>i</w:t>
      </w:r>
      <w:r>
        <w:rPr>
          <w:rFonts w:hAnsi="宋体"/>
          <w:sz w:val="24"/>
          <w:szCs w:val="24"/>
        </w:rPr>
        <w:t>）计算得到的结果可能存在一定尾差。</w:t>
      </w:r>
    </w:p>
    <w:p w:rsidR="00B67D8A" w:rsidRDefault="00B67D8A">
      <w:pPr>
        <w:adjustRightInd w:val="0"/>
        <w:snapToGrid w:val="0"/>
        <w:spacing w:line="360" w:lineRule="auto"/>
        <w:ind w:firstLineChars="200" w:firstLine="480"/>
        <w:rPr>
          <w:bCs/>
          <w:sz w:val="24"/>
          <w:szCs w:val="24"/>
        </w:rPr>
      </w:pPr>
      <w:r>
        <w:rPr>
          <w:rFonts w:hAnsi="宋体"/>
          <w:bCs/>
          <w:sz w:val="24"/>
          <w:szCs w:val="24"/>
        </w:rPr>
        <w:t>本基金当前</w:t>
      </w:r>
      <w:proofErr w:type="gramStart"/>
      <w:r>
        <w:rPr>
          <w:rFonts w:hAnsi="宋体"/>
          <w:bCs/>
          <w:sz w:val="24"/>
          <w:szCs w:val="24"/>
        </w:rPr>
        <w:t>的年化现金</w:t>
      </w:r>
      <w:proofErr w:type="gramEnd"/>
      <w:r>
        <w:rPr>
          <w:rFonts w:hAnsi="宋体"/>
          <w:bCs/>
          <w:sz w:val="24"/>
          <w:szCs w:val="24"/>
        </w:rPr>
        <w:t>支付比率为</w:t>
      </w:r>
      <w:r>
        <w:rPr>
          <w:bCs/>
          <w:sz w:val="24"/>
          <w:szCs w:val="24"/>
        </w:rPr>
        <w:t>6%</w:t>
      </w:r>
      <w:r>
        <w:rPr>
          <w:rFonts w:hAnsi="宋体"/>
          <w:bCs/>
          <w:sz w:val="24"/>
          <w:szCs w:val="24"/>
        </w:rPr>
        <w:t>，基金管理人可以根据基金实际运作情况和市场环境的变化，在履行适当程序后对上述约定</w:t>
      </w:r>
      <w:proofErr w:type="gramStart"/>
      <w:r>
        <w:rPr>
          <w:rFonts w:hAnsi="宋体"/>
          <w:bCs/>
          <w:sz w:val="24"/>
          <w:szCs w:val="24"/>
        </w:rPr>
        <w:t>的年化现金</w:t>
      </w:r>
      <w:proofErr w:type="gramEnd"/>
      <w:r>
        <w:rPr>
          <w:rFonts w:hAnsi="宋体"/>
          <w:bCs/>
          <w:sz w:val="24"/>
          <w:szCs w:val="24"/>
        </w:rPr>
        <w:t>支付比率进行调整，并至少在调整前一个月公告，上述调整不须召开份额持有人大会。</w:t>
      </w:r>
    </w:p>
    <w:p w:rsidR="00B67D8A" w:rsidRDefault="00B67D8A">
      <w:pPr>
        <w:adjustRightInd w:val="0"/>
        <w:snapToGrid w:val="0"/>
        <w:spacing w:line="360" w:lineRule="auto"/>
        <w:ind w:firstLineChars="200" w:firstLine="480"/>
        <w:rPr>
          <w:sz w:val="24"/>
          <w:szCs w:val="24"/>
        </w:rPr>
      </w:pPr>
      <w:r>
        <w:rPr>
          <w:rFonts w:hAnsi="宋体"/>
          <w:bCs/>
          <w:sz w:val="24"/>
          <w:szCs w:val="24"/>
        </w:rPr>
        <w:t>例四：假设本基金合同生效日为</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Ansi="宋体"/>
          <w:bCs/>
          <w:sz w:val="24"/>
          <w:szCs w:val="24"/>
        </w:rPr>
        <w:t>日，于</w:t>
      </w:r>
      <w:r>
        <w:rPr>
          <w:bCs/>
          <w:sz w:val="24"/>
          <w:szCs w:val="24"/>
        </w:rPr>
        <w:t>2013</w:t>
      </w:r>
      <w:r>
        <w:rPr>
          <w:rFonts w:hAnsi="宋体"/>
          <w:bCs/>
          <w:sz w:val="24"/>
          <w:szCs w:val="24"/>
        </w:rPr>
        <w:t>年</w:t>
      </w:r>
      <w:r>
        <w:rPr>
          <w:bCs/>
          <w:sz w:val="24"/>
          <w:szCs w:val="24"/>
        </w:rPr>
        <w:t>3</w:t>
      </w:r>
      <w:r>
        <w:rPr>
          <w:rFonts w:hAnsi="宋体"/>
          <w:bCs/>
          <w:sz w:val="24"/>
          <w:szCs w:val="24"/>
        </w:rPr>
        <w:t>月进行了第一次定期支付，</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日为当月定期支付基准日和权益登记日，假设该日的基金份额净值为</w:t>
      </w:r>
      <w:r>
        <w:rPr>
          <w:bCs/>
          <w:sz w:val="24"/>
          <w:szCs w:val="24"/>
        </w:rPr>
        <w:t>1.010</w:t>
      </w:r>
      <w:r>
        <w:rPr>
          <w:rFonts w:hAnsi="宋体"/>
          <w:bCs/>
          <w:sz w:val="24"/>
          <w:szCs w:val="24"/>
        </w:rPr>
        <w:t>元，</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int="eastAsia"/>
          <w:bCs/>
          <w:sz w:val="24"/>
          <w:szCs w:val="24"/>
        </w:rPr>
        <w:t>（含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3</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53</w:t>
      </w:r>
      <w:r>
        <w:rPr>
          <w:rFonts w:hAnsi="宋体" w:hint="eastAsia"/>
          <w:bCs/>
          <w:sz w:val="24"/>
          <w:szCs w:val="24"/>
        </w:rPr>
        <w:t>天，</w:t>
      </w:r>
      <w:r>
        <w:rPr>
          <w:rFonts w:hAnsi="宋体"/>
          <w:bCs/>
          <w:sz w:val="24"/>
          <w:szCs w:val="24"/>
        </w:rPr>
        <w:t>则该次定期支付</w:t>
      </w:r>
      <w:r>
        <w:rPr>
          <w:rFonts w:hAnsi="宋体"/>
          <w:sz w:val="24"/>
          <w:szCs w:val="24"/>
        </w:rPr>
        <w:t>每份基金份额对应的现金支付金额为：</w:t>
      </w:r>
    </w:p>
    <w:p w:rsidR="00B67D8A" w:rsidRDefault="00B67D8A">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1</w:t>
      </w:r>
      <w:r>
        <w:rPr>
          <w:bCs/>
          <w:sz w:val="24"/>
          <w:szCs w:val="24"/>
        </w:rPr>
        <w:t>= 1.010</w:t>
      </w:r>
      <w:r>
        <w:rPr>
          <w:bCs/>
          <w:sz w:val="24"/>
          <w:szCs w:val="24"/>
        </w:rPr>
        <w:sym w:font="Symbol" w:char="F0B4"/>
      </w:r>
      <w:r>
        <w:rPr>
          <w:bCs/>
          <w:sz w:val="24"/>
          <w:szCs w:val="24"/>
        </w:rPr>
        <w:t>(6%</w:t>
      </w:r>
      <w:r>
        <w:rPr>
          <w:bCs/>
          <w:sz w:val="24"/>
          <w:szCs w:val="24"/>
        </w:rPr>
        <w:sym w:font="Symbol" w:char="F0B4"/>
      </w:r>
      <w:r>
        <w:rPr>
          <w:bCs/>
          <w:sz w:val="24"/>
          <w:szCs w:val="24"/>
        </w:rPr>
        <w:t>53/365)=0.008799</w:t>
      </w:r>
      <w:r>
        <w:rPr>
          <w:rFonts w:hAnsi="宋体"/>
          <w:bCs/>
          <w:sz w:val="24"/>
          <w:szCs w:val="24"/>
        </w:rPr>
        <w:t>元</w:t>
      </w:r>
    </w:p>
    <w:p w:rsidR="00B67D8A" w:rsidRDefault="00B67D8A">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日确认持有的份额数为</w:t>
      </w:r>
      <w:r>
        <w:rPr>
          <w:bCs/>
          <w:sz w:val="24"/>
          <w:szCs w:val="24"/>
        </w:rPr>
        <w:t>1,000</w:t>
      </w:r>
      <w:r>
        <w:rPr>
          <w:rFonts w:hAnsi="宋体"/>
          <w:bCs/>
          <w:sz w:val="24"/>
          <w:szCs w:val="24"/>
        </w:rPr>
        <w:t>份</w:t>
      </w:r>
      <w:r>
        <w:rPr>
          <w:bCs/>
          <w:sz w:val="24"/>
          <w:szCs w:val="24"/>
        </w:rPr>
        <w:t>,</w:t>
      </w:r>
      <w:r>
        <w:rPr>
          <w:rFonts w:hAnsi="宋体"/>
          <w:bCs/>
          <w:sz w:val="24"/>
          <w:szCs w:val="24"/>
        </w:rPr>
        <w:t>则第一次定期支付该基金交易账户对应的自动赎回用于现金支付的份额数为：</w:t>
      </w:r>
    </w:p>
    <w:p w:rsidR="00B67D8A" w:rsidRDefault="00B67D8A">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1</w:t>
      </w:r>
      <w:r>
        <w:rPr>
          <w:bCs/>
          <w:sz w:val="24"/>
          <w:szCs w:val="24"/>
        </w:rPr>
        <w:t>=1,000</w:t>
      </w:r>
      <w:r>
        <w:rPr>
          <w:bCs/>
          <w:sz w:val="24"/>
          <w:szCs w:val="24"/>
        </w:rPr>
        <w:sym w:font="Symbol" w:char="F0B4"/>
      </w:r>
      <w:r>
        <w:rPr>
          <w:bCs/>
          <w:sz w:val="24"/>
          <w:szCs w:val="24"/>
        </w:rPr>
        <w:t>1.010</w:t>
      </w:r>
      <w:r>
        <w:rPr>
          <w:bCs/>
          <w:sz w:val="24"/>
          <w:szCs w:val="24"/>
        </w:rPr>
        <w:sym w:font="Symbol" w:char="F0B4"/>
      </w:r>
      <w:r>
        <w:rPr>
          <w:bCs/>
          <w:sz w:val="24"/>
          <w:szCs w:val="24"/>
        </w:rPr>
        <w:t xml:space="preserve"> (6%</w:t>
      </w:r>
      <w:r>
        <w:rPr>
          <w:bCs/>
          <w:sz w:val="24"/>
          <w:szCs w:val="24"/>
        </w:rPr>
        <w:sym w:font="Symbol" w:char="F0B4"/>
      </w:r>
      <w:r>
        <w:rPr>
          <w:bCs/>
          <w:sz w:val="24"/>
          <w:szCs w:val="24"/>
        </w:rPr>
        <w:t>53/365)/ 1.010=8.71</w:t>
      </w:r>
      <w:r>
        <w:rPr>
          <w:rFonts w:hAnsi="宋体"/>
          <w:bCs/>
          <w:sz w:val="24"/>
          <w:szCs w:val="24"/>
        </w:rPr>
        <w:t>份</w:t>
      </w:r>
    </w:p>
    <w:p w:rsidR="00B67D8A" w:rsidRDefault="00B67D8A">
      <w:pPr>
        <w:adjustRightInd w:val="0"/>
        <w:snapToGrid w:val="0"/>
        <w:spacing w:line="360" w:lineRule="auto"/>
        <w:ind w:firstLineChars="200" w:firstLine="480"/>
        <w:rPr>
          <w:bCs/>
          <w:sz w:val="24"/>
          <w:szCs w:val="24"/>
        </w:rPr>
      </w:pPr>
      <w:r>
        <w:rPr>
          <w:rFonts w:hAnsi="宋体"/>
          <w:bCs/>
          <w:sz w:val="24"/>
          <w:szCs w:val="24"/>
        </w:rPr>
        <w:t>第一次定期支付该基金交易账户实际可获得的现金支付金额为：</w:t>
      </w:r>
    </w:p>
    <w:p w:rsidR="00B67D8A" w:rsidRDefault="00B67D8A">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1</w:t>
      </w:r>
      <w:r>
        <w:rPr>
          <w:bCs/>
          <w:sz w:val="24"/>
          <w:szCs w:val="24"/>
        </w:rPr>
        <w:t>=8.71</w:t>
      </w:r>
      <w:r>
        <w:rPr>
          <w:bCs/>
          <w:sz w:val="24"/>
          <w:szCs w:val="24"/>
        </w:rPr>
        <w:sym w:font="Symbol" w:char="F0B4"/>
      </w:r>
      <w:r>
        <w:rPr>
          <w:bCs/>
          <w:sz w:val="24"/>
          <w:szCs w:val="24"/>
        </w:rPr>
        <w:t>1.010=8.80</w:t>
      </w:r>
      <w:r>
        <w:rPr>
          <w:rFonts w:hAnsi="宋体"/>
          <w:bCs/>
          <w:sz w:val="24"/>
          <w:szCs w:val="24"/>
        </w:rPr>
        <w:t>元</w:t>
      </w:r>
    </w:p>
    <w:p w:rsidR="00B67D8A" w:rsidRDefault="00B67D8A">
      <w:pPr>
        <w:adjustRightInd w:val="0"/>
        <w:snapToGrid w:val="0"/>
        <w:spacing w:line="360" w:lineRule="auto"/>
        <w:ind w:firstLineChars="200" w:firstLine="480"/>
        <w:rPr>
          <w:bCs/>
          <w:sz w:val="24"/>
          <w:szCs w:val="24"/>
        </w:rPr>
      </w:pPr>
      <w:r>
        <w:rPr>
          <w:rFonts w:hAnsi="宋体"/>
          <w:bCs/>
          <w:sz w:val="24"/>
          <w:szCs w:val="24"/>
        </w:rPr>
        <w:t>例五：延续例四的假设条件，假设本基金于</w:t>
      </w:r>
      <w:r>
        <w:rPr>
          <w:bCs/>
          <w:sz w:val="24"/>
          <w:szCs w:val="24"/>
        </w:rPr>
        <w:t>2013</w:t>
      </w:r>
      <w:r>
        <w:rPr>
          <w:rFonts w:hAnsi="宋体"/>
          <w:bCs/>
          <w:sz w:val="24"/>
          <w:szCs w:val="24"/>
        </w:rPr>
        <w:t>年</w:t>
      </w:r>
      <w:r>
        <w:rPr>
          <w:bCs/>
          <w:sz w:val="24"/>
          <w:szCs w:val="24"/>
        </w:rPr>
        <w:t>4</w:t>
      </w:r>
      <w:r>
        <w:rPr>
          <w:rFonts w:hAnsi="宋体"/>
          <w:bCs/>
          <w:sz w:val="24"/>
          <w:szCs w:val="24"/>
        </w:rPr>
        <w:t>月进行了第二次定期支付，</w:t>
      </w:r>
      <w:r>
        <w:rPr>
          <w:bCs/>
          <w:sz w:val="24"/>
          <w:szCs w:val="24"/>
        </w:rPr>
        <w:t xml:space="preserve"> 2013</w:t>
      </w:r>
      <w:r>
        <w:rPr>
          <w:rFonts w:hAnsi="宋体"/>
          <w:bCs/>
          <w:sz w:val="24"/>
          <w:szCs w:val="24"/>
        </w:rPr>
        <w:t>年</w:t>
      </w:r>
      <w:r>
        <w:rPr>
          <w:bCs/>
          <w:sz w:val="24"/>
          <w:szCs w:val="24"/>
        </w:rPr>
        <w:t>5</w:t>
      </w:r>
      <w:r>
        <w:rPr>
          <w:rFonts w:hAnsi="宋体"/>
          <w:bCs/>
          <w:sz w:val="24"/>
          <w:szCs w:val="24"/>
        </w:rPr>
        <w:t>月因为发生了基金合同约定暂停定期支付的情形</w:t>
      </w:r>
      <w:proofErr w:type="gramStart"/>
      <w:r>
        <w:rPr>
          <w:rFonts w:hAnsi="宋体"/>
          <w:bCs/>
          <w:sz w:val="24"/>
          <w:szCs w:val="24"/>
        </w:rPr>
        <w:t>且基金</w:t>
      </w:r>
      <w:proofErr w:type="gramEnd"/>
      <w:r>
        <w:rPr>
          <w:rFonts w:hAnsi="宋体"/>
          <w:bCs/>
          <w:sz w:val="24"/>
          <w:szCs w:val="24"/>
        </w:rPr>
        <w:t>管理人决定暂停了当月的定期支付</w:t>
      </w:r>
      <w:r>
        <w:rPr>
          <w:rFonts w:hint="eastAsia"/>
          <w:bCs/>
          <w:sz w:val="24"/>
          <w:szCs w:val="24"/>
        </w:rPr>
        <w:t>，</w:t>
      </w:r>
      <w:r>
        <w:rPr>
          <w:rFonts w:hAnsi="宋体"/>
          <w:bCs/>
          <w:sz w:val="24"/>
          <w:szCs w:val="24"/>
        </w:rPr>
        <w:t>本基金又于</w:t>
      </w:r>
      <w:r>
        <w:rPr>
          <w:bCs/>
          <w:sz w:val="24"/>
          <w:szCs w:val="24"/>
        </w:rPr>
        <w:t>2013</w:t>
      </w:r>
      <w:r>
        <w:rPr>
          <w:rFonts w:hAnsi="宋体"/>
          <w:bCs/>
          <w:sz w:val="24"/>
          <w:szCs w:val="24"/>
        </w:rPr>
        <w:t>年</w:t>
      </w:r>
      <w:r>
        <w:rPr>
          <w:bCs/>
          <w:sz w:val="24"/>
          <w:szCs w:val="24"/>
        </w:rPr>
        <w:t>6</w:t>
      </w:r>
      <w:r>
        <w:rPr>
          <w:rFonts w:hAnsi="宋体"/>
          <w:bCs/>
          <w:sz w:val="24"/>
          <w:szCs w:val="24"/>
        </w:rPr>
        <w:t>月进行第三次定期支付。</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日分别为第二次和第三次定期支付的基准日和权益登记日，假设</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日的基金份额净值为</w:t>
      </w:r>
      <w:r>
        <w:rPr>
          <w:bCs/>
          <w:sz w:val="24"/>
          <w:szCs w:val="24"/>
        </w:rPr>
        <w:t>0.996</w:t>
      </w:r>
      <w:r>
        <w:rPr>
          <w:rFonts w:hAnsi="宋体"/>
          <w:bCs/>
          <w:sz w:val="24"/>
          <w:szCs w:val="24"/>
        </w:rPr>
        <w:t>元</w:t>
      </w:r>
      <w:r>
        <w:rPr>
          <w:bCs/>
          <w:sz w:val="24"/>
          <w:szCs w:val="24"/>
        </w:rPr>
        <w:t>, 2013</w:t>
      </w:r>
      <w:r>
        <w:rPr>
          <w:rFonts w:hAnsi="宋体"/>
          <w:bCs/>
          <w:sz w:val="24"/>
          <w:szCs w:val="24"/>
        </w:rPr>
        <w:t>年</w:t>
      </w:r>
      <w:r>
        <w:rPr>
          <w:bCs/>
          <w:sz w:val="24"/>
          <w:szCs w:val="24"/>
        </w:rPr>
        <w:t>6</w:t>
      </w:r>
      <w:r>
        <w:rPr>
          <w:rFonts w:hAnsi="宋体"/>
          <w:bCs/>
          <w:sz w:val="24"/>
          <w:szCs w:val="24"/>
        </w:rPr>
        <w:t>月</w:t>
      </w:r>
      <w:r>
        <w:rPr>
          <w:bCs/>
          <w:sz w:val="24"/>
          <w:szCs w:val="24"/>
        </w:rPr>
        <w:t>3</w:t>
      </w:r>
      <w:r>
        <w:rPr>
          <w:rFonts w:hAnsi="宋体"/>
          <w:bCs/>
          <w:sz w:val="24"/>
          <w:szCs w:val="24"/>
        </w:rPr>
        <w:t>日的基金份额净值为</w:t>
      </w:r>
      <w:r>
        <w:rPr>
          <w:bCs/>
          <w:sz w:val="24"/>
          <w:szCs w:val="24"/>
        </w:rPr>
        <w:t>1.018</w:t>
      </w:r>
      <w:r>
        <w:rPr>
          <w:rFonts w:hAnsi="宋体"/>
          <w:bCs/>
          <w:sz w:val="24"/>
          <w:szCs w:val="24"/>
        </w:rPr>
        <w:t>元</w:t>
      </w:r>
      <w:r>
        <w:rPr>
          <w:rFonts w:hint="eastAsia"/>
          <w:bCs/>
          <w:sz w:val="24"/>
          <w:szCs w:val="24"/>
        </w:rPr>
        <w:t>，</w:t>
      </w:r>
      <w:r>
        <w:rPr>
          <w:bCs/>
          <w:sz w:val="24"/>
          <w:szCs w:val="24"/>
        </w:rPr>
        <w:t xml:space="preserve"> 2013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4</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31</w:t>
      </w:r>
      <w:r>
        <w:rPr>
          <w:rFonts w:hAnsi="宋体" w:hint="eastAsia"/>
          <w:bCs/>
          <w:sz w:val="24"/>
          <w:szCs w:val="24"/>
        </w:rPr>
        <w:t>天，</w:t>
      </w:r>
      <w:r>
        <w:rPr>
          <w:bCs/>
          <w:sz w:val="24"/>
          <w:szCs w:val="24"/>
        </w:rPr>
        <w:t>2013</w:t>
      </w:r>
      <w:r>
        <w:rPr>
          <w:rFonts w:hAnsi="宋体"/>
          <w:bCs/>
          <w:sz w:val="24"/>
          <w:szCs w:val="24"/>
        </w:rPr>
        <w:t>年</w:t>
      </w:r>
      <w:r>
        <w:rPr>
          <w:rFonts w:hint="eastAsia"/>
          <w:bCs/>
          <w:sz w:val="24"/>
          <w:szCs w:val="24"/>
        </w:rPr>
        <w:t>4</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6</w:t>
      </w:r>
      <w:r>
        <w:rPr>
          <w:rFonts w:hAnsi="宋体" w:hint="eastAsia"/>
          <w:bCs/>
          <w:sz w:val="24"/>
          <w:szCs w:val="24"/>
        </w:rPr>
        <w:t>月</w:t>
      </w:r>
      <w:r>
        <w:rPr>
          <w:rFonts w:hAnsi="宋体" w:hint="eastAsia"/>
          <w:bCs/>
          <w:sz w:val="24"/>
          <w:szCs w:val="24"/>
        </w:rPr>
        <w:t>3</w:t>
      </w:r>
      <w:r>
        <w:rPr>
          <w:rFonts w:hAnsi="宋体" w:hint="eastAsia"/>
          <w:bCs/>
          <w:sz w:val="24"/>
          <w:szCs w:val="24"/>
        </w:rPr>
        <w:t>日（含）之间的天数为</w:t>
      </w:r>
      <w:r>
        <w:rPr>
          <w:rFonts w:hAnsi="宋体" w:hint="eastAsia"/>
          <w:bCs/>
          <w:sz w:val="24"/>
          <w:szCs w:val="24"/>
        </w:rPr>
        <w:t>63</w:t>
      </w:r>
      <w:r>
        <w:rPr>
          <w:rFonts w:hAnsi="宋体" w:hint="eastAsia"/>
          <w:bCs/>
          <w:sz w:val="24"/>
          <w:szCs w:val="24"/>
        </w:rPr>
        <w:t>天，</w:t>
      </w:r>
      <w:r>
        <w:rPr>
          <w:rFonts w:hAnsi="宋体"/>
          <w:bCs/>
          <w:sz w:val="24"/>
          <w:szCs w:val="24"/>
        </w:rPr>
        <w:t>则第二次和第三次定期支付每份基金份额对应的现金支付金额分别为：</w:t>
      </w:r>
    </w:p>
    <w:p w:rsidR="00B67D8A" w:rsidRDefault="00B67D8A">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2</w:t>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31/365)=0.005076</w:t>
      </w:r>
      <w:r>
        <w:rPr>
          <w:rFonts w:hAnsi="宋体"/>
          <w:bCs/>
          <w:sz w:val="24"/>
          <w:szCs w:val="24"/>
        </w:rPr>
        <w:t>元</w:t>
      </w:r>
    </w:p>
    <w:p w:rsidR="00B67D8A" w:rsidRDefault="00B67D8A">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3</w:t>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63/365)=0.010543</w:t>
      </w:r>
      <w:r>
        <w:rPr>
          <w:rFonts w:hAnsi="宋体"/>
          <w:bCs/>
          <w:sz w:val="24"/>
          <w:szCs w:val="24"/>
        </w:rPr>
        <w:t>元</w:t>
      </w:r>
    </w:p>
    <w:p w:rsidR="00B67D8A" w:rsidRDefault="00B67D8A">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日确认持有的</w:t>
      </w:r>
      <w:r>
        <w:rPr>
          <w:rFonts w:hAnsi="宋体"/>
          <w:bCs/>
          <w:sz w:val="24"/>
          <w:szCs w:val="24"/>
        </w:rPr>
        <w:lastRenderedPageBreak/>
        <w:t>份额数仍为</w:t>
      </w:r>
      <w:r>
        <w:rPr>
          <w:bCs/>
          <w:sz w:val="24"/>
          <w:szCs w:val="24"/>
        </w:rPr>
        <w:t>1,000</w:t>
      </w:r>
      <w:r>
        <w:rPr>
          <w:rFonts w:hAnsi="宋体"/>
          <w:bCs/>
          <w:sz w:val="24"/>
          <w:szCs w:val="24"/>
        </w:rPr>
        <w:t>份</w:t>
      </w:r>
      <w:r>
        <w:rPr>
          <w:rFonts w:hint="eastAsia"/>
          <w:bCs/>
          <w:sz w:val="24"/>
          <w:szCs w:val="24"/>
        </w:rPr>
        <w:t>，</w:t>
      </w:r>
      <w:r>
        <w:rPr>
          <w:rFonts w:hAnsi="宋体"/>
          <w:bCs/>
          <w:sz w:val="24"/>
          <w:szCs w:val="24"/>
        </w:rPr>
        <w:t>则第二次和第三次定期支付该基金交易账户对应的自动赎回用于现金支付的份额数分别为：</w:t>
      </w:r>
    </w:p>
    <w:p w:rsidR="00B67D8A" w:rsidRDefault="00B67D8A">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2</w:t>
      </w:r>
      <w:r>
        <w:rPr>
          <w:bCs/>
          <w:sz w:val="24"/>
          <w:szCs w:val="24"/>
        </w:rPr>
        <w:t>=1000</w:t>
      </w:r>
      <w:r>
        <w:rPr>
          <w:bCs/>
          <w:sz w:val="24"/>
          <w:szCs w:val="24"/>
        </w:rPr>
        <w:sym w:font="Symbol" w:char="F0B4"/>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31/365)/0.996=5.10</w:t>
      </w:r>
      <w:r>
        <w:rPr>
          <w:rFonts w:hAnsi="宋体"/>
          <w:bCs/>
          <w:sz w:val="24"/>
          <w:szCs w:val="24"/>
        </w:rPr>
        <w:t>份</w:t>
      </w:r>
    </w:p>
    <w:p w:rsidR="00B67D8A" w:rsidRDefault="00B67D8A">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3</w:t>
      </w:r>
      <w:r>
        <w:rPr>
          <w:bCs/>
          <w:sz w:val="24"/>
          <w:szCs w:val="24"/>
        </w:rPr>
        <w:t>=1000</w:t>
      </w:r>
      <w:r>
        <w:rPr>
          <w:bCs/>
          <w:sz w:val="24"/>
          <w:szCs w:val="24"/>
        </w:rPr>
        <w:sym w:font="Symbol" w:char="F0B4"/>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63/365)/1.018=10.36</w:t>
      </w:r>
      <w:r>
        <w:rPr>
          <w:rFonts w:hAnsi="宋体"/>
          <w:bCs/>
          <w:sz w:val="24"/>
          <w:szCs w:val="24"/>
        </w:rPr>
        <w:t>份</w:t>
      </w:r>
    </w:p>
    <w:p w:rsidR="00B67D8A" w:rsidRDefault="00B67D8A">
      <w:pPr>
        <w:adjustRightInd w:val="0"/>
        <w:snapToGrid w:val="0"/>
        <w:spacing w:line="360" w:lineRule="auto"/>
        <w:ind w:firstLineChars="200" w:firstLine="480"/>
        <w:rPr>
          <w:bCs/>
          <w:sz w:val="24"/>
          <w:szCs w:val="24"/>
        </w:rPr>
      </w:pPr>
      <w:r>
        <w:rPr>
          <w:rFonts w:hAnsi="宋体"/>
          <w:bCs/>
          <w:sz w:val="24"/>
          <w:szCs w:val="24"/>
        </w:rPr>
        <w:t>第二次和第三次定期支付该基金交易账户实际可获得的现金支付金额分别为：</w:t>
      </w:r>
    </w:p>
    <w:p w:rsidR="00B67D8A" w:rsidRDefault="00B67D8A">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2</w:t>
      </w:r>
      <w:r>
        <w:rPr>
          <w:bCs/>
          <w:sz w:val="24"/>
          <w:szCs w:val="24"/>
        </w:rPr>
        <w:t>=5.10</w:t>
      </w:r>
      <w:r>
        <w:rPr>
          <w:bCs/>
          <w:sz w:val="24"/>
          <w:szCs w:val="24"/>
        </w:rPr>
        <w:sym w:font="Symbol" w:char="F0B4"/>
      </w:r>
      <w:r>
        <w:rPr>
          <w:bCs/>
          <w:sz w:val="24"/>
          <w:szCs w:val="24"/>
        </w:rPr>
        <w:t>0.996=5.08</w:t>
      </w:r>
      <w:r>
        <w:rPr>
          <w:rFonts w:hAnsi="宋体"/>
          <w:bCs/>
          <w:sz w:val="24"/>
          <w:szCs w:val="24"/>
        </w:rPr>
        <w:t>元</w:t>
      </w:r>
    </w:p>
    <w:p w:rsidR="00B67D8A" w:rsidRDefault="00B67D8A">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3</w:t>
      </w:r>
      <w:r>
        <w:rPr>
          <w:bCs/>
          <w:sz w:val="24"/>
          <w:szCs w:val="24"/>
        </w:rPr>
        <w:t>=10.36</w:t>
      </w:r>
      <w:r>
        <w:rPr>
          <w:bCs/>
          <w:sz w:val="24"/>
          <w:szCs w:val="24"/>
        </w:rPr>
        <w:sym w:font="Symbol" w:char="F0B4"/>
      </w:r>
      <w:r>
        <w:rPr>
          <w:bCs/>
          <w:sz w:val="24"/>
          <w:szCs w:val="24"/>
        </w:rPr>
        <w:t>1.018=10.55</w:t>
      </w:r>
      <w:r>
        <w:rPr>
          <w:rFonts w:hAnsi="宋体"/>
          <w:bCs/>
          <w:sz w:val="24"/>
          <w:szCs w:val="24"/>
        </w:rPr>
        <w:t>元</w:t>
      </w:r>
    </w:p>
    <w:p w:rsidR="00B67D8A" w:rsidRDefault="00B67D8A">
      <w:pPr>
        <w:adjustRightInd w:val="0"/>
        <w:snapToGrid w:val="0"/>
        <w:spacing w:line="360" w:lineRule="auto"/>
        <w:ind w:firstLineChars="200" w:firstLine="482"/>
        <w:rPr>
          <w:b/>
          <w:bCs/>
          <w:sz w:val="24"/>
          <w:szCs w:val="24"/>
        </w:rPr>
      </w:pPr>
      <w:r>
        <w:rPr>
          <w:rFonts w:hAnsi="宋体"/>
          <w:b/>
          <w:bCs/>
          <w:sz w:val="24"/>
          <w:szCs w:val="24"/>
        </w:rPr>
        <w:t>（四）定期支付的确认原则</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、定期支付每期自动赎回用以现金支付的基金份额时，按</w:t>
      </w:r>
      <w:r>
        <w:rPr>
          <w:rFonts w:hint="eastAsia"/>
          <w:bCs/>
          <w:sz w:val="24"/>
          <w:szCs w:val="24"/>
        </w:rPr>
        <w:t>“</w:t>
      </w:r>
      <w:r>
        <w:rPr>
          <w:rFonts w:hAnsi="宋体"/>
          <w:bCs/>
          <w:sz w:val="24"/>
          <w:szCs w:val="24"/>
        </w:rPr>
        <w:t>先进先出</w:t>
      </w:r>
      <w:r>
        <w:rPr>
          <w:rFonts w:hint="eastAsia"/>
          <w:bCs/>
          <w:sz w:val="24"/>
          <w:szCs w:val="24"/>
        </w:rPr>
        <w:t>”</w:t>
      </w:r>
      <w:r>
        <w:rPr>
          <w:rFonts w:hAnsi="宋体"/>
          <w:bCs/>
          <w:sz w:val="24"/>
          <w:szCs w:val="24"/>
        </w:rPr>
        <w:t>的原则进行处理，即先自动赎回登记确认日期在先的基金份额；</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Pr>
          <w:rFonts w:hAnsi="宋体"/>
          <w:sz w:val="24"/>
          <w:szCs w:val="24"/>
        </w:rPr>
        <w:t>若因当日该账户同时有</w:t>
      </w:r>
      <w:r>
        <w:rPr>
          <w:rFonts w:hAnsi="宋体"/>
          <w:bCs/>
          <w:sz w:val="24"/>
          <w:szCs w:val="24"/>
        </w:rPr>
        <w:t>其他的份额减少业务被确认而导致基金份额余额不足时，当期的定期支付业务将被确认失败，即该账户当期不进行现金支付。</w:t>
      </w:r>
    </w:p>
    <w:p w:rsidR="00B67D8A" w:rsidRDefault="00B67D8A">
      <w:pPr>
        <w:pStyle w:val="ab"/>
        <w:adjustRightInd w:val="0"/>
        <w:snapToGrid w:val="0"/>
        <w:spacing w:after="0" w:line="360" w:lineRule="auto"/>
        <w:ind w:firstLineChars="200" w:firstLine="480"/>
        <w:rPr>
          <w:bCs/>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并报中国证监会备案</w:t>
      </w:r>
      <w:r>
        <w:rPr>
          <w:rFonts w:hAnsi="宋体"/>
          <w:bCs/>
          <w:sz w:val="24"/>
          <w:szCs w:val="24"/>
        </w:rPr>
        <w:t>。</w:t>
      </w:r>
    </w:p>
    <w:p w:rsidR="00B67D8A" w:rsidRDefault="00B67D8A">
      <w:pPr>
        <w:pStyle w:val="ab"/>
        <w:adjustRightInd w:val="0"/>
        <w:snapToGrid w:val="0"/>
        <w:spacing w:after="0" w:line="360" w:lineRule="auto"/>
        <w:ind w:firstLineChars="200" w:firstLine="480"/>
        <w:rPr>
          <w:bCs/>
          <w:sz w:val="24"/>
          <w:szCs w:val="24"/>
        </w:rPr>
      </w:pPr>
      <w:r>
        <w:rPr>
          <w:rFonts w:hAnsi="宋体"/>
          <w:bCs/>
          <w:sz w:val="24"/>
          <w:szCs w:val="24"/>
        </w:rPr>
        <w:t>例六：假设本基金于</w:t>
      </w:r>
      <w:r>
        <w:rPr>
          <w:bCs/>
          <w:sz w:val="24"/>
          <w:szCs w:val="24"/>
        </w:rPr>
        <w:t>2013</w:t>
      </w:r>
      <w:r>
        <w:rPr>
          <w:rFonts w:hAnsi="宋体"/>
          <w:bCs/>
          <w:sz w:val="24"/>
          <w:szCs w:val="24"/>
        </w:rPr>
        <w:t>年</w:t>
      </w:r>
      <w:r>
        <w:rPr>
          <w:rFonts w:hint="eastAsia"/>
          <w:bCs/>
          <w:sz w:val="24"/>
          <w:szCs w:val="24"/>
        </w:rPr>
        <w:t>7</w:t>
      </w:r>
      <w:r>
        <w:rPr>
          <w:rFonts w:hAnsi="宋体"/>
          <w:bCs/>
          <w:sz w:val="24"/>
          <w:szCs w:val="24"/>
        </w:rPr>
        <w:t>月进行了定期支付，</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日为当月定期支付的基准日和权益登记日。假设某基金份额持有人的基金交易账户在</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日确认持有的份额数为</w:t>
      </w:r>
      <w:r>
        <w:rPr>
          <w:bCs/>
          <w:sz w:val="24"/>
          <w:szCs w:val="24"/>
        </w:rPr>
        <w:t>10,000</w:t>
      </w:r>
      <w:r>
        <w:rPr>
          <w:rFonts w:hAnsi="宋体"/>
          <w:bCs/>
          <w:sz w:val="24"/>
          <w:szCs w:val="24"/>
        </w:rPr>
        <w:t>份，根据计算公式计算当月该基金交易账户对应的自动赎回用于现金支付的份额数为</w:t>
      </w:r>
      <w:r>
        <w:rPr>
          <w:bCs/>
          <w:sz w:val="24"/>
          <w:szCs w:val="24"/>
        </w:rPr>
        <w:t>65</w:t>
      </w:r>
      <w:r>
        <w:rPr>
          <w:rFonts w:hAnsi="宋体"/>
          <w:bCs/>
          <w:sz w:val="24"/>
          <w:szCs w:val="24"/>
        </w:rPr>
        <w:t>份。</w:t>
      </w:r>
    </w:p>
    <w:p w:rsidR="00B67D8A" w:rsidRDefault="00B67D8A">
      <w:pPr>
        <w:pStyle w:val="ab"/>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9,500</w:t>
      </w:r>
      <w:r>
        <w:rPr>
          <w:rFonts w:hAnsi="宋体"/>
          <w:bCs/>
          <w:sz w:val="24"/>
          <w:szCs w:val="24"/>
        </w:rPr>
        <w:t>份，该赎回申请将优先于定期支付自动赎回业务被确认，确认后该基金账户的剩余份额为</w:t>
      </w:r>
      <w:r>
        <w:rPr>
          <w:bCs/>
          <w:sz w:val="24"/>
          <w:szCs w:val="24"/>
        </w:rPr>
        <w:t>500</w:t>
      </w:r>
      <w:r>
        <w:rPr>
          <w:rFonts w:hAnsi="宋体"/>
          <w:bCs/>
          <w:sz w:val="24"/>
          <w:szCs w:val="24"/>
        </w:rPr>
        <w:t>份，高于定期支付自动赎回的份额，则该次定期支付业务</w:t>
      </w:r>
      <w:r>
        <w:rPr>
          <w:rFonts w:hAnsi="宋体" w:hint="eastAsia"/>
          <w:bCs/>
          <w:sz w:val="24"/>
          <w:szCs w:val="24"/>
        </w:rPr>
        <w:t>也</w:t>
      </w:r>
      <w:r>
        <w:rPr>
          <w:rFonts w:hAnsi="宋体"/>
          <w:bCs/>
          <w:sz w:val="24"/>
          <w:szCs w:val="24"/>
        </w:rPr>
        <w:t>被确认成功，</w:t>
      </w:r>
      <w:r>
        <w:rPr>
          <w:rFonts w:hAnsi="宋体" w:hint="eastAsia"/>
          <w:bCs/>
          <w:sz w:val="24"/>
          <w:szCs w:val="24"/>
        </w:rPr>
        <w:t>即</w:t>
      </w:r>
      <w:r>
        <w:rPr>
          <w:rFonts w:hAnsi="宋体"/>
          <w:bCs/>
          <w:sz w:val="24"/>
          <w:szCs w:val="24"/>
        </w:rPr>
        <w:t>该份额持有人除获得申请赎回份额的赎回款，还将获得该次定期支付的现金支付金额。</w:t>
      </w:r>
    </w:p>
    <w:p w:rsidR="00B67D8A" w:rsidRDefault="00B67D8A">
      <w:pPr>
        <w:pStyle w:val="ab"/>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9,940</w:t>
      </w:r>
      <w:r>
        <w:rPr>
          <w:rFonts w:hAnsi="宋体"/>
          <w:bCs/>
          <w:sz w:val="24"/>
          <w:szCs w:val="24"/>
        </w:rPr>
        <w:t>份，该赎回申请将优先于定期支付自动赎回业务被确认，确认后该基金账户的剩余份额为</w:t>
      </w:r>
      <w:r>
        <w:rPr>
          <w:bCs/>
          <w:sz w:val="24"/>
          <w:szCs w:val="24"/>
        </w:rPr>
        <w:t>60</w:t>
      </w:r>
      <w:r>
        <w:rPr>
          <w:rFonts w:hAnsi="宋体"/>
          <w:bCs/>
          <w:sz w:val="24"/>
          <w:szCs w:val="24"/>
        </w:rPr>
        <w:t>份，</w:t>
      </w:r>
      <w:r>
        <w:rPr>
          <w:rFonts w:hAnsi="宋体"/>
          <w:bCs/>
          <w:sz w:val="24"/>
          <w:szCs w:val="24"/>
        </w:rPr>
        <w:lastRenderedPageBreak/>
        <w:t>低于定期支付自动赎回的份额，则该次定期支付业务</w:t>
      </w:r>
      <w:r>
        <w:rPr>
          <w:rFonts w:hAnsi="宋体" w:hint="eastAsia"/>
          <w:bCs/>
          <w:sz w:val="24"/>
          <w:szCs w:val="24"/>
        </w:rPr>
        <w:t>将</w:t>
      </w:r>
      <w:r>
        <w:rPr>
          <w:rFonts w:hAnsi="宋体"/>
          <w:bCs/>
          <w:sz w:val="24"/>
          <w:szCs w:val="24"/>
        </w:rPr>
        <w:t>被确认失败，</w:t>
      </w:r>
      <w:r>
        <w:rPr>
          <w:rFonts w:hAnsi="宋体" w:hint="eastAsia"/>
          <w:bCs/>
          <w:sz w:val="24"/>
          <w:szCs w:val="24"/>
        </w:rPr>
        <w:t>即</w:t>
      </w:r>
      <w:r>
        <w:rPr>
          <w:rFonts w:hAnsi="宋体"/>
          <w:bCs/>
          <w:sz w:val="24"/>
          <w:szCs w:val="24"/>
        </w:rPr>
        <w:t>该账户当月不再进行现金支付，该份额持有人只获得申请赎回份额的赎回款。</w:t>
      </w:r>
    </w:p>
    <w:p w:rsidR="00B67D8A" w:rsidRDefault="00B67D8A">
      <w:pPr>
        <w:adjustRightInd w:val="0"/>
        <w:snapToGrid w:val="0"/>
        <w:spacing w:line="360" w:lineRule="auto"/>
        <w:ind w:firstLineChars="200" w:firstLine="480"/>
        <w:rPr>
          <w:sz w:val="24"/>
          <w:szCs w:val="24"/>
        </w:rPr>
      </w:pPr>
      <w:bookmarkStart w:id="57" w:name="_Toc109059024"/>
      <w:bookmarkStart w:id="58" w:name="_Toc66720082"/>
      <w:bookmarkStart w:id="59" w:name="_Toc66719557"/>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60" w:name="_Toc382321322"/>
      <w:r>
        <w:rPr>
          <w:rFonts w:ascii="宋体" w:hAnsi="宋体" w:hint="eastAsia"/>
          <w:b/>
          <w:kern w:val="0"/>
          <w:sz w:val="30"/>
        </w:rPr>
        <w:t>十一、基金的投资</w:t>
      </w:r>
      <w:bookmarkEnd w:id="60"/>
    </w:p>
    <w:p w:rsidR="00B67D8A" w:rsidRDefault="00B67D8A">
      <w:pPr>
        <w:adjustRightInd w:val="0"/>
        <w:snapToGrid w:val="0"/>
        <w:spacing w:line="360" w:lineRule="auto"/>
        <w:ind w:firstLineChars="200" w:firstLine="482"/>
        <w:rPr>
          <w:b/>
          <w:bCs/>
          <w:sz w:val="24"/>
          <w:szCs w:val="24"/>
        </w:rPr>
      </w:pPr>
      <w:r>
        <w:rPr>
          <w:rFonts w:hAnsi="宋体"/>
          <w:b/>
          <w:bCs/>
          <w:sz w:val="24"/>
          <w:szCs w:val="24"/>
        </w:rPr>
        <w:t>（一）投资目标</w:t>
      </w:r>
    </w:p>
    <w:p w:rsidR="00B67D8A" w:rsidRDefault="00B67D8A">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（二）投资范围</w:t>
      </w:r>
    </w:p>
    <w:p w:rsidR="00B67D8A" w:rsidRDefault="00B67D8A">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B67D8A" w:rsidRDefault="00B67D8A">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（三）投资策略</w:t>
      </w:r>
    </w:p>
    <w:p w:rsidR="00B67D8A" w:rsidRDefault="00B67D8A">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rsidR="00B67D8A" w:rsidRDefault="00B67D8A">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w:t>
      </w:r>
      <w:r>
        <w:rPr>
          <w:rFonts w:hAnsi="宋体"/>
          <w:sz w:val="24"/>
          <w:szCs w:val="24"/>
        </w:rPr>
        <w:lastRenderedPageBreak/>
        <w:t>的发展阶段及其趋势的分析和判断以及不同资产类别的预期表现，对基金资产配置进行动态调整。</w:t>
      </w:r>
    </w:p>
    <w:p w:rsidR="00B67D8A" w:rsidRDefault="00B67D8A">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rsidR="00B67D8A" w:rsidRDefault="00B67D8A">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rsidR="00B67D8A" w:rsidRDefault="00B67D8A">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rsidR="00B67D8A" w:rsidRDefault="00B67D8A">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rsidR="00B67D8A" w:rsidRDefault="00B67D8A">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rsidR="00B67D8A" w:rsidRDefault="00B67D8A">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rsidR="00B67D8A" w:rsidRDefault="00B67D8A">
      <w:pPr>
        <w:adjustRightInd w:val="0"/>
        <w:snapToGrid w:val="0"/>
        <w:spacing w:line="360" w:lineRule="auto"/>
        <w:ind w:firstLineChars="200" w:firstLine="480"/>
        <w:rPr>
          <w:sz w:val="24"/>
          <w:szCs w:val="24"/>
        </w:rPr>
      </w:pPr>
      <w:r>
        <w:rPr>
          <w:rFonts w:hAnsi="宋体"/>
          <w:sz w:val="24"/>
          <w:szCs w:val="24"/>
        </w:rPr>
        <w:lastRenderedPageBreak/>
        <w:t>估值水平指标包括市盈率（</w:t>
      </w:r>
      <w:r>
        <w:rPr>
          <w:sz w:val="24"/>
          <w:szCs w:val="24"/>
        </w:rPr>
        <w:t>P/E</w:t>
      </w:r>
      <w:r>
        <w:rPr>
          <w:rFonts w:hAnsi="宋体"/>
          <w:sz w:val="24"/>
          <w:szCs w:val="24"/>
        </w:rPr>
        <w:t>）、</w:t>
      </w:r>
      <w:proofErr w:type="gramStart"/>
      <w:r>
        <w:rPr>
          <w:rFonts w:hAnsi="宋体"/>
          <w:sz w:val="24"/>
          <w:szCs w:val="24"/>
        </w:rPr>
        <w:t>市净率</w:t>
      </w:r>
      <w:proofErr w:type="gramEnd"/>
      <w:r>
        <w:rPr>
          <w:sz w:val="24"/>
          <w:szCs w:val="24"/>
        </w:rPr>
        <w:t>(P/B)</w:t>
      </w:r>
      <w:r>
        <w:rPr>
          <w:rFonts w:hAnsi="宋体"/>
          <w:sz w:val="24"/>
          <w:szCs w:val="24"/>
        </w:rPr>
        <w:t>、市价现金流比率（</w:t>
      </w:r>
      <w:r>
        <w:rPr>
          <w:sz w:val="24"/>
          <w:szCs w:val="24"/>
        </w:rPr>
        <w:t>P/CF</w:t>
      </w:r>
      <w:r>
        <w:rPr>
          <w:rFonts w:hAnsi="宋体"/>
          <w:sz w:val="24"/>
          <w:szCs w:val="24"/>
        </w:rPr>
        <w:t>）等。</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rsidR="00B67D8A" w:rsidRDefault="00B67D8A">
      <w:pPr>
        <w:adjustRightInd w:val="0"/>
        <w:snapToGrid w:val="0"/>
        <w:spacing w:line="360" w:lineRule="auto"/>
        <w:ind w:firstLineChars="200" w:firstLine="480"/>
        <w:rPr>
          <w:sz w:val="24"/>
          <w:szCs w:val="24"/>
        </w:rPr>
      </w:pPr>
      <w:r>
        <w:rPr>
          <w:rFonts w:hAnsi="宋体"/>
          <w:sz w:val="24"/>
          <w:szCs w:val="24"/>
        </w:rPr>
        <w:t>①所处行业具有良好的行业发展空间；</w:t>
      </w:r>
    </w:p>
    <w:p w:rsidR="00B67D8A" w:rsidRDefault="00B67D8A">
      <w:pPr>
        <w:adjustRightInd w:val="0"/>
        <w:snapToGrid w:val="0"/>
        <w:spacing w:line="360" w:lineRule="auto"/>
        <w:ind w:firstLineChars="200" w:firstLine="480"/>
        <w:rPr>
          <w:sz w:val="24"/>
          <w:szCs w:val="24"/>
        </w:rPr>
      </w:pPr>
      <w:r>
        <w:rPr>
          <w:rFonts w:hAnsi="宋体"/>
          <w:sz w:val="24"/>
          <w:szCs w:val="24"/>
        </w:rPr>
        <w:t>②具有良好公司治理结构，公司注重股东回报，管理</w:t>
      </w:r>
      <w:proofErr w:type="gramStart"/>
      <w:r>
        <w:rPr>
          <w:rFonts w:hAnsi="宋体"/>
          <w:sz w:val="24"/>
          <w:szCs w:val="24"/>
        </w:rPr>
        <w:t>层能力</w:t>
      </w:r>
      <w:proofErr w:type="gramEnd"/>
      <w:r>
        <w:rPr>
          <w:rFonts w:hAnsi="宋体"/>
          <w:sz w:val="24"/>
          <w:szCs w:val="24"/>
        </w:rPr>
        <w:t>较强，内部运作机制顺畅；</w:t>
      </w:r>
    </w:p>
    <w:p w:rsidR="00B67D8A" w:rsidRDefault="00B67D8A">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rsidR="00B67D8A" w:rsidRDefault="00B67D8A">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rsidR="00B67D8A" w:rsidRDefault="00B67D8A">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rsidR="00B67D8A" w:rsidRDefault="00B67D8A">
      <w:pPr>
        <w:adjustRightInd w:val="0"/>
        <w:snapToGrid w:val="0"/>
        <w:spacing w:line="360" w:lineRule="auto"/>
        <w:ind w:firstLineChars="200" w:firstLine="480"/>
        <w:rPr>
          <w:sz w:val="24"/>
          <w:szCs w:val="24"/>
        </w:rPr>
      </w:pPr>
      <w:r>
        <w:rPr>
          <w:rFonts w:hAnsi="宋体"/>
          <w:sz w:val="24"/>
          <w:szCs w:val="24"/>
        </w:rPr>
        <w:t>⑥财务稳健，经营效率及盈利能力较强等。</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rsidR="00B67D8A" w:rsidRDefault="00B67D8A">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rsidR="00B67D8A" w:rsidRDefault="00B67D8A">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w:t>
      </w:r>
      <w:proofErr w:type="gramStart"/>
      <w:r>
        <w:rPr>
          <w:rFonts w:hAnsi="宋体"/>
          <w:sz w:val="24"/>
          <w:szCs w:val="24"/>
        </w:rPr>
        <w:t>券</w:t>
      </w:r>
      <w:proofErr w:type="gramEnd"/>
      <w:r>
        <w:rPr>
          <w:rFonts w:hAnsi="宋体"/>
          <w:sz w:val="24"/>
          <w:szCs w:val="24"/>
        </w:rPr>
        <w:t>、中期票据、可转换债券及分离交易可转债、资产支持证券等除国债和中央银行票据之外的、非国家信用的固定收益类金融工具。</w:t>
      </w:r>
    </w:p>
    <w:p w:rsidR="00B67D8A" w:rsidRDefault="00B67D8A">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Pr>
          <w:rFonts w:hAnsi="宋体"/>
          <w:sz w:val="24"/>
          <w:szCs w:val="24"/>
        </w:rPr>
        <w:t>组合久期及</w:t>
      </w:r>
      <w:proofErr w:type="gramEnd"/>
      <w:r>
        <w:rPr>
          <w:rFonts w:hAnsi="宋体"/>
          <w:sz w:val="24"/>
          <w:szCs w:val="24"/>
        </w:rPr>
        <w:t>债券类属配置；在严谨深入的信用分析基础上，综合</w:t>
      </w:r>
      <w:proofErr w:type="gramStart"/>
      <w:r>
        <w:rPr>
          <w:rFonts w:hAnsi="宋体"/>
          <w:sz w:val="24"/>
          <w:szCs w:val="24"/>
        </w:rPr>
        <w:t>考量</w:t>
      </w:r>
      <w:proofErr w:type="gramEnd"/>
      <w:r>
        <w:rPr>
          <w:rFonts w:hAnsi="宋体"/>
          <w:sz w:val="24"/>
          <w:szCs w:val="24"/>
        </w:rPr>
        <w:t>信用债券的信用评级，以及各类债券的流动性、供求关系和收益率水平等，自下而上地精选个</w:t>
      </w:r>
      <w:proofErr w:type="gramStart"/>
      <w:r>
        <w:rPr>
          <w:rFonts w:hAnsi="宋体"/>
          <w:sz w:val="24"/>
          <w:szCs w:val="24"/>
        </w:rPr>
        <w:t>券</w:t>
      </w:r>
      <w:proofErr w:type="gramEnd"/>
      <w:r>
        <w:rPr>
          <w:rFonts w:hAnsi="宋体"/>
          <w:sz w:val="24"/>
          <w:szCs w:val="24"/>
        </w:rPr>
        <w:t>。</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proofErr w:type="gramStart"/>
      <w:r>
        <w:rPr>
          <w:rFonts w:hAnsi="宋体"/>
          <w:sz w:val="24"/>
          <w:szCs w:val="24"/>
        </w:rPr>
        <w:t>久期管理</w:t>
      </w:r>
      <w:proofErr w:type="gramEnd"/>
      <w:r>
        <w:rPr>
          <w:rFonts w:hAnsi="宋体"/>
          <w:sz w:val="24"/>
          <w:szCs w:val="24"/>
        </w:rPr>
        <w:t>策略</w:t>
      </w:r>
    </w:p>
    <w:p w:rsidR="00B67D8A" w:rsidRDefault="00B67D8A">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w:t>
      </w:r>
      <w:r>
        <w:rPr>
          <w:rFonts w:hAnsi="宋体"/>
          <w:sz w:val="24"/>
          <w:szCs w:val="24"/>
        </w:rPr>
        <w:lastRenderedPageBreak/>
        <w:t>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w:t>
      </w:r>
      <w:proofErr w:type="gramStart"/>
      <w:r>
        <w:rPr>
          <w:rFonts w:hAnsi="宋体"/>
          <w:sz w:val="24"/>
          <w:szCs w:val="24"/>
        </w:rPr>
        <w:t>的久期控制</w:t>
      </w:r>
      <w:proofErr w:type="gramEnd"/>
      <w:r>
        <w:rPr>
          <w:rFonts w:hAnsi="宋体"/>
          <w:sz w:val="24"/>
          <w:szCs w:val="24"/>
        </w:rPr>
        <w:t>实现对利率风险的有效管理。</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rsidR="00B67D8A" w:rsidRDefault="00B67D8A">
      <w:pPr>
        <w:adjustRightInd w:val="0"/>
        <w:snapToGrid w:val="0"/>
        <w:spacing w:line="360" w:lineRule="auto"/>
        <w:ind w:firstLineChars="200" w:firstLine="480"/>
        <w:rPr>
          <w:sz w:val="24"/>
          <w:szCs w:val="24"/>
        </w:rPr>
      </w:pPr>
      <w:r>
        <w:rPr>
          <w:rFonts w:hAnsi="宋体"/>
          <w:sz w:val="24"/>
          <w:szCs w:val="24"/>
        </w:rPr>
        <w:t>本基金定性和定量地分析</w:t>
      </w:r>
      <w:proofErr w:type="gramStart"/>
      <w:r>
        <w:rPr>
          <w:rFonts w:hAnsi="宋体"/>
          <w:sz w:val="24"/>
          <w:szCs w:val="24"/>
        </w:rPr>
        <w:t>不</w:t>
      </w:r>
      <w:proofErr w:type="gramEnd"/>
      <w:r>
        <w:rPr>
          <w:rFonts w:hAnsi="宋体"/>
          <w:sz w:val="24"/>
          <w:szCs w:val="24"/>
        </w:rPr>
        <w:t>同类属债券类资产的信用风险、流动性风险及其经风险调整后的收益率水平或盈利能力，通过比较或合理预期</w:t>
      </w:r>
      <w:proofErr w:type="gramStart"/>
      <w:r>
        <w:rPr>
          <w:rFonts w:hAnsi="宋体"/>
          <w:sz w:val="24"/>
          <w:szCs w:val="24"/>
        </w:rPr>
        <w:t>不</w:t>
      </w:r>
      <w:proofErr w:type="gramEnd"/>
      <w:r>
        <w:rPr>
          <w:rFonts w:hAnsi="宋体"/>
          <w:sz w:val="24"/>
          <w:szCs w:val="24"/>
        </w:rPr>
        <w:t>同类属债券类资产的风险与收益率变化，确定并动态地调整</w:t>
      </w:r>
      <w:proofErr w:type="gramStart"/>
      <w:r>
        <w:rPr>
          <w:rFonts w:hAnsi="宋体"/>
          <w:sz w:val="24"/>
          <w:szCs w:val="24"/>
        </w:rPr>
        <w:t>不</w:t>
      </w:r>
      <w:proofErr w:type="gramEnd"/>
      <w:r>
        <w:rPr>
          <w:rFonts w:hAnsi="宋体"/>
          <w:sz w:val="24"/>
          <w:szCs w:val="24"/>
        </w:rPr>
        <w:t>同类属债券类资产间的配置比例。</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rsidR="00B67D8A" w:rsidRDefault="00B67D8A">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rsidR="00B67D8A" w:rsidRDefault="00B67D8A">
      <w:pPr>
        <w:adjustRightInd w:val="0"/>
        <w:snapToGrid w:val="0"/>
        <w:spacing w:line="360" w:lineRule="auto"/>
        <w:ind w:firstLineChars="200" w:firstLine="480"/>
        <w:rPr>
          <w:sz w:val="24"/>
          <w:szCs w:val="24"/>
        </w:rPr>
      </w:pPr>
      <w:r>
        <w:rPr>
          <w:rFonts w:hAnsi="宋体"/>
          <w:sz w:val="24"/>
          <w:szCs w:val="24"/>
        </w:rPr>
        <w:t>①信用债券研究</w:t>
      </w:r>
    </w:p>
    <w:p w:rsidR="00B67D8A" w:rsidRDefault="00B67D8A">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B67D8A" w:rsidRDefault="00B67D8A">
      <w:pPr>
        <w:adjustRightInd w:val="0"/>
        <w:snapToGrid w:val="0"/>
        <w:spacing w:line="360" w:lineRule="auto"/>
        <w:ind w:firstLineChars="200" w:firstLine="480"/>
        <w:rPr>
          <w:sz w:val="24"/>
          <w:szCs w:val="24"/>
        </w:rPr>
      </w:pPr>
      <w:r>
        <w:rPr>
          <w:rFonts w:hAnsi="宋体"/>
          <w:sz w:val="24"/>
          <w:szCs w:val="24"/>
        </w:rPr>
        <w:t>②信用债券投资</w:t>
      </w:r>
    </w:p>
    <w:p w:rsidR="00B67D8A" w:rsidRDefault="00B67D8A">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rsidR="00B67D8A" w:rsidRDefault="00B67D8A">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rsidR="00B67D8A" w:rsidRDefault="00B67D8A">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rsidR="00B67D8A" w:rsidRDefault="00B67D8A">
      <w:pPr>
        <w:adjustRightInd w:val="0"/>
        <w:snapToGrid w:val="0"/>
        <w:spacing w:line="360" w:lineRule="auto"/>
        <w:ind w:firstLineChars="200" w:firstLine="480"/>
        <w:rPr>
          <w:sz w:val="24"/>
          <w:szCs w:val="24"/>
        </w:rPr>
      </w:pPr>
      <w:r>
        <w:rPr>
          <w:rFonts w:hAnsi="宋体"/>
          <w:sz w:val="24"/>
          <w:szCs w:val="24"/>
        </w:rPr>
        <w:t>本基金将通过宏观经济、提前偿还率、资产</w:t>
      </w:r>
      <w:proofErr w:type="gramStart"/>
      <w:r>
        <w:rPr>
          <w:rFonts w:hAnsi="宋体"/>
          <w:sz w:val="24"/>
          <w:szCs w:val="24"/>
        </w:rPr>
        <w:t>池结构</w:t>
      </w:r>
      <w:proofErr w:type="gramEnd"/>
      <w:r>
        <w:rPr>
          <w:rFonts w:hAnsi="宋体"/>
          <w:sz w:val="24"/>
          <w:szCs w:val="24"/>
        </w:rPr>
        <w:t>及资产</w:t>
      </w:r>
      <w:proofErr w:type="gramStart"/>
      <w:r>
        <w:rPr>
          <w:rFonts w:hAnsi="宋体"/>
          <w:sz w:val="24"/>
          <w:szCs w:val="24"/>
        </w:rPr>
        <w:t>池资产</w:t>
      </w:r>
      <w:proofErr w:type="gramEnd"/>
      <w:r>
        <w:rPr>
          <w:rFonts w:hAnsi="宋体"/>
          <w:sz w:val="24"/>
          <w:szCs w:val="24"/>
        </w:rPr>
        <w:t>所在行业景气变化等因素的研究，预测资产</w:t>
      </w:r>
      <w:proofErr w:type="gramStart"/>
      <w:r>
        <w:rPr>
          <w:rFonts w:hAnsi="宋体"/>
          <w:sz w:val="24"/>
          <w:szCs w:val="24"/>
        </w:rPr>
        <w:t>池未来</w:t>
      </w:r>
      <w:proofErr w:type="gramEnd"/>
      <w:r>
        <w:rPr>
          <w:rFonts w:hAnsi="宋体"/>
          <w:sz w:val="24"/>
          <w:szCs w:val="24"/>
        </w:rPr>
        <w:t>现金流变化；研究标的证券发行条款，预测提前偿还率变化对标的证券</w:t>
      </w:r>
      <w:proofErr w:type="gramStart"/>
      <w:r>
        <w:rPr>
          <w:rFonts w:hAnsi="宋体"/>
          <w:sz w:val="24"/>
          <w:szCs w:val="24"/>
        </w:rPr>
        <w:t>的久期与</w:t>
      </w:r>
      <w:proofErr w:type="gramEnd"/>
      <w:r>
        <w:rPr>
          <w:rFonts w:hAnsi="宋体"/>
          <w:sz w:val="24"/>
          <w:szCs w:val="24"/>
        </w:rPr>
        <w:t>收益率的影响，同时密切关注流动性对标的证券收益率的影响。综合</w:t>
      </w:r>
      <w:proofErr w:type="gramStart"/>
      <w:r>
        <w:rPr>
          <w:rFonts w:hAnsi="宋体"/>
          <w:sz w:val="24"/>
          <w:szCs w:val="24"/>
        </w:rPr>
        <w:t>运用久期管理</w:t>
      </w:r>
      <w:proofErr w:type="gramEnd"/>
      <w:r>
        <w:rPr>
          <w:rFonts w:hAnsi="宋体"/>
          <w:sz w:val="24"/>
          <w:szCs w:val="24"/>
        </w:rPr>
        <w:t>、收益率曲线、</w:t>
      </w:r>
      <w:proofErr w:type="gramStart"/>
      <w:r>
        <w:rPr>
          <w:rFonts w:hAnsi="宋体"/>
          <w:sz w:val="24"/>
          <w:szCs w:val="24"/>
        </w:rPr>
        <w:t>个券</w:t>
      </w:r>
      <w:proofErr w:type="gramEnd"/>
      <w:r>
        <w:rPr>
          <w:rFonts w:hAnsi="宋体"/>
          <w:sz w:val="24"/>
          <w:szCs w:val="24"/>
        </w:rPr>
        <w:t>选择和把握市场交易机会等积极策略，在严格控制风险的情况下，通过信用研究和流动性管理，选择风险调整后的收益高的品种进行投资，以期获得长期稳定收益。</w:t>
      </w:r>
    </w:p>
    <w:p w:rsidR="00B67D8A" w:rsidRDefault="00B67D8A">
      <w:pPr>
        <w:adjustRightInd w:val="0"/>
        <w:snapToGrid w:val="0"/>
        <w:spacing w:line="360" w:lineRule="auto"/>
        <w:ind w:firstLineChars="200" w:firstLine="480"/>
        <w:rPr>
          <w:sz w:val="24"/>
          <w:szCs w:val="24"/>
        </w:rPr>
      </w:pPr>
      <w:r>
        <w:rPr>
          <w:rFonts w:hAnsi="宋体"/>
          <w:sz w:val="24"/>
          <w:szCs w:val="24"/>
        </w:rPr>
        <w:lastRenderedPageBreak/>
        <w:t>（</w:t>
      </w:r>
      <w:r>
        <w:rPr>
          <w:sz w:val="24"/>
          <w:szCs w:val="24"/>
        </w:rPr>
        <w:t>5</w:t>
      </w:r>
      <w:r>
        <w:rPr>
          <w:rFonts w:hAnsi="宋体"/>
          <w:sz w:val="24"/>
          <w:szCs w:val="24"/>
        </w:rPr>
        <w:t>）可转换债券投资策略</w:t>
      </w:r>
    </w:p>
    <w:p w:rsidR="00B67D8A" w:rsidRDefault="00B67D8A">
      <w:pPr>
        <w:adjustRightInd w:val="0"/>
        <w:snapToGrid w:val="0"/>
        <w:spacing w:line="360" w:lineRule="auto"/>
        <w:ind w:firstLineChars="200" w:firstLine="480"/>
        <w:rPr>
          <w:sz w:val="24"/>
          <w:szCs w:val="24"/>
        </w:rPr>
      </w:pPr>
      <w:r>
        <w:rPr>
          <w:rFonts w:hAnsi="宋体"/>
          <w:sz w:val="24"/>
          <w:szCs w:val="24"/>
        </w:rPr>
        <w:t>可转换债券是介于股票和债券之间的投资品种，</w:t>
      </w:r>
      <w:proofErr w:type="gramStart"/>
      <w:r>
        <w:rPr>
          <w:rFonts w:hAnsi="宋体"/>
          <w:sz w:val="24"/>
          <w:szCs w:val="24"/>
        </w:rPr>
        <w:t>兼具股性和债性</w:t>
      </w:r>
      <w:proofErr w:type="gramEnd"/>
      <w:r>
        <w:rPr>
          <w:rFonts w:hAnsi="宋体"/>
          <w:sz w:val="24"/>
          <w:szCs w:val="24"/>
        </w:rPr>
        <w:t>的双重特征。</w:t>
      </w:r>
    </w:p>
    <w:p w:rsidR="00B67D8A" w:rsidRDefault="00B67D8A">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w:t>
      </w:r>
      <w:proofErr w:type="gramStart"/>
      <w:r>
        <w:rPr>
          <w:rFonts w:hAnsi="宋体"/>
          <w:sz w:val="24"/>
          <w:szCs w:val="24"/>
        </w:rPr>
        <w:t>研</w:t>
      </w:r>
      <w:proofErr w:type="gramEnd"/>
      <w:r>
        <w:rPr>
          <w:rFonts w:hAnsi="宋体"/>
          <w:sz w:val="24"/>
          <w:szCs w:val="24"/>
        </w:rPr>
        <w:t>团队对标的股票的研究，在此基础上量化投资部利用可转换债券定价模型，充分考虑转债发行</w:t>
      </w:r>
      <w:proofErr w:type="gramStart"/>
      <w:r>
        <w:rPr>
          <w:rFonts w:hAnsi="宋体"/>
          <w:sz w:val="24"/>
          <w:szCs w:val="24"/>
        </w:rPr>
        <w:t>后目标转</w:t>
      </w:r>
      <w:proofErr w:type="gramEnd"/>
      <w:r>
        <w:rPr>
          <w:rFonts w:hAnsi="宋体"/>
          <w:sz w:val="24"/>
          <w:szCs w:val="24"/>
        </w:rPr>
        <w:t>债标的股票股价波动率可能出现的变化，对目标转债的股性进行合理定价。</w:t>
      </w:r>
    </w:p>
    <w:p w:rsidR="00B67D8A" w:rsidRDefault="00B67D8A">
      <w:pPr>
        <w:adjustRightInd w:val="0"/>
        <w:snapToGrid w:val="0"/>
        <w:spacing w:line="360" w:lineRule="auto"/>
        <w:ind w:firstLineChars="200" w:firstLine="480"/>
        <w:rPr>
          <w:sz w:val="24"/>
          <w:szCs w:val="24"/>
        </w:rPr>
      </w:pPr>
      <w:r>
        <w:rPr>
          <w:rFonts w:hAnsi="宋体"/>
          <w:sz w:val="24"/>
          <w:szCs w:val="24"/>
        </w:rPr>
        <w:t>对于本基金可转换</w:t>
      </w:r>
      <w:proofErr w:type="gramStart"/>
      <w:r>
        <w:rPr>
          <w:rFonts w:hAnsi="宋体"/>
          <w:sz w:val="24"/>
          <w:szCs w:val="24"/>
        </w:rPr>
        <w:t>债券债性的</w:t>
      </w:r>
      <w:proofErr w:type="gramEnd"/>
      <w:r>
        <w:rPr>
          <w:rFonts w:hAnsi="宋体"/>
          <w:sz w:val="24"/>
          <w:szCs w:val="24"/>
        </w:rPr>
        <w:t>研究，将引进公司信用债券信用评级指标体系，对可转换债券的发行主体及标的债券进行信用评级，并在信用评级的基础上对其进行合理定价。</w:t>
      </w:r>
    </w:p>
    <w:p w:rsidR="00B67D8A" w:rsidRDefault="00B67D8A">
      <w:pPr>
        <w:adjustRightInd w:val="0"/>
        <w:snapToGrid w:val="0"/>
        <w:spacing w:line="360" w:lineRule="auto"/>
        <w:ind w:firstLineChars="200" w:firstLine="480"/>
        <w:rPr>
          <w:sz w:val="24"/>
          <w:szCs w:val="24"/>
        </w:rPr>
      </w:pPr>
      <w:r>
        <w:rPr>
          <w:rFonts w:hAnsi="宋体"/>
          <w:sz w:val="24"/>
          <w:szCs w:val="24"/>
        </w:rPr>
        <w:t>通过对标的转</w:t>
      </w:r>
      <w:proofErr w:type="gramStart"/>
      <w:r>
        <w:rPr>
          <w:rFonts w:hAnsi="宋体"/>
          <w:sz w:val="24"/>
          <w:szCs w:val="24"/>
        </w:rPr>
        <w:t>债股性与债性</w:t>
      </w:r>
      <w:proofErr w:type="gramEnd"/>
      <w:r>
        <w:rPr>
          <w:rFonts w:hAnsi="宋体"/>
          <w:sz w:val="24"/>
          <w:szCs w:val="24"/>
        </w:rPr>
        <w:t>的合理定价，力求寻找出被市场低估的品种，构建本基金可转换债券的投资组合。</w:t>
      </w:r>
    </w:p>
    <w:p w:rsidR="00B67D8A" w:rsidRDefault="00B67D8A">
      <w:pPr>
        <w:adjustRightInd w:val="0"/>
        <w:snapToGrid w:val="0"/>
        <w:spacing w:line="360" w:lineRule="auto"/>
        <w:ind w:firstLineChars="200" w:firstLine="482"/>
        <w:rPr>
          <w:b/>
          <w:bCs/>
          <w:sz w:val="24"/>
          <w:szCs w:val="24"/>
        </w:rPr>
      </w:pPr>
      <w:r>
        <w:rPr>
          <w:rFonts w:hAnsi="宋体"/>
          <w:b/>
          <w:bCs/>
          <w:sz w:val="24"/>
          <w:szCs w:val="24"/>
        </w:rPr>
        <w:t>（四）投资限制</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、组合限制</w:t>
      </w:r>
    </w:p>
    <w:p w:rsidR="00B67D8A" w:rsidRDefault="00B67D8A">
      <w:pPr>
        <w:adjustRightInd w:val="0"/>
        <w:snapToGrid w:val="0"/>
        <w:spacing w:line="360" w:lineRule="auto"/>
        <w:ind w:firstLineChars="200" w:firstLine="480"/>
        <w:rPr>
          <w:bCs/>
          <w:sz w:val="24"/>
          <w:szCs w:val="24"/>
        </w:rPr>
      </w:pPr>
      <w:r>
        <w:rPr>
          <w:rFonts w:hAnsi="宋体"/>
          <w:bCs/>
          <w:sz w:val="24"/>
          <w:szCs w:val="24"/>
        </w:rPr>
        <w:t>基金的投资组合应遵循以下限制：</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）本基金股票、权证等权益类资产占基金资产净值的</w:t>
      </w:r>
      <w:r>
        <w:rPr>
          <w:bCs/>
          <w:sz w:val="24"/>
          <w:szCs w:val="24"/>
        </w:rPr>
        <w:t>30%-70%</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）保持不低于基金资产净值</w:t>
      </w:r>
      <w:r>
        <w:rPr>
          <w:bCs/>
          <w:sz w:val="24"/>
          <w:szCs w:val="24"/>
        </w:rPr>
        <w:t>5%</w:t>
      </w:r>
      <w:r>
        <w:rPr>
          <w:rFonts w:hAnsi="宋体"/>
          <w:bCs/>
          <w:sz w:val="24"/>
          <w:szCs w:val="24"/>
        </w:rPr>
        <w:t>的现金或者到期日在一年以内的政府债券；</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）本基金持有一家上市公司的股票，其市值不超过基金资产净值的</w:t>
      </w:r>
      <w:r>
        <w:rPr>
          <w:bCs/>
          <w:sz w:val="24"/>
          <w:szCs w:val="24"/>
        </w:rPr>
        <w:t>10%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）本基金管理人管理的全部基金持有一家公司发行的证券，不超过该证券的</w:t>
      </w:r>
      <w:r>
        <w:rPr>
          <w:bCs/>
          <w:sz w:val="24"/>
          <w:szCs w:val="24"/>
        </w:rPr>
        <w:t>10%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）本基金持有的全部权证，其市值不得超过基金资产净值的</w:t>
      </w:r>
      <w:r>
        <w:rPr>
          <w:bCs/>
          <w:sz w:val="24"/>
          <w:szCs w:val="24"/>
        </w:rPr>
        <w:t>3%</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）本基金管理人管理的全部基金持有的同一权证，不得超过该权证的</w:t>
      </w:r>
      <w:r>
        <w:rPr>
          <w:bCs/>
          <w:sz w:val="24"/>
          <w:szCs w:val="24"/>
        </w:rPr>
        <w:t xml:space="preserve">   10%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）本基金在任何交易日买入权证的总金额，不得超过上一交易日基金资产净值的</w:t>
      </w:r>
      <w:r>
        <w:rPr>
          <w:bCs/>
          <w:sz w:val="24"/>
          <w:szCs w:val="24"/>
        </w:rPr>
        <w:t>0.5%</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）本基金投资于同一原始权益人的各类资产支持证券的比例，不得超过基金资产净值的</w:t>
      </w:r>
      <w:r>
        <w:rPr>
          <w:bCs/>
          <w:sz w:val="24"/>
          <w:szCs w:val="24"/>
        </w:rPr>
        <w:t>10%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9</w:t>
      </w:r>
      <w:r>
        <w:rPr>
          <w:rFonts w:hAnsi="宋体"/>
          <w:bCs/>
          <w:sz w:val="24"/>
          <w:szCs w:val="24"/>
        </w:rPr>
        <w:t>）本基金持有的全部资产支持证券，其市值不得超过基金资产净值的</w:t>
      </w:r>
      <w:r>
        <w:rPr>
          <w:bCs/>
          <w:sz w:val="24"/>
          <w:szCs w:val="24"/>
        </w:rPr>
        <w:t>20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10</w:t>
      </w:r>
      <w:r>
        <w:rPr>
          <w:rFonts w:hAnsi="宋体"/>
          <w:bCs/>
          <w:sz w:val="24"/>
          <w:szCs w:val="24"/>
        </w:rPr>
        <w:t>）本基金持有的同一（指同一信用级别）资产支持证券的比例，不得超过</w:t>
      </w:r>
      <w:r>
        <w:rPr>
          <w:rFonts w:hAnsi="宋体"/>
          <w:bCs/>
          <w:sz w:val="24"/>
          <w:szCs w:val="24"/>
        </w:rPr>
        <w:lastRenderedPageBreak/>
        <w:t>该资产支持证券规模的</w:t>
      </w:r>
      <w:r>
        <w:rPr>
          <w:bCs/>
          <w:sz w:val="24"/>
          <w:szCs w:val="24"/>
        </w:rPr>
        <w:t>10%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11</w:t>
      </w:r>
      <w:r>
        <w:rPr>
          <w:rFonts w:hAnsi="宋体"/>
          <w:bCs/>
          <w:sz w:val="24"/>
          <w:szCs w:val="24"/>
        </w:rPr>
        <w:t>）本基金管理人管理的全部基金投资于同一原始权益人的各类资产支持证券，不得超过其各类资产支持证券合计规模的</w:t>
      </w:r>
      <w:r>
        <w:rPr>
          <w:bCs/>
          <w:sz w:val="24"/>
          <w:szCs w:val="24"/>
        </w:rPr>
        <w:t>10%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12</w:t>
      </w:r>
      <w:r>
        <w:rPr>
          <w:rFonts w:hAnsi="宋体"/>
          <w:bCs/>
          <w:sz w:val="24"/>
          <w:szCs w:val="24"/>
        </w:rPr>
        <w:t>）本基金应投资于信用级别评级为</w:t>
      </w:r>
      <w:r>
        <w:rPr>
          <w:bCs/>
          <w:sz w:val="24"/>
          <w:szCs w:val="24"/>
        </w:rPr>
        <w:t>BBB</w:t>
      </w:r>
      <w:r>
        <w:rPr>
          <w:rFonts w:hAnsi="宋体"/>
          <w:bCs/>
          <w:sz w:val="24"/>
          <w:szCs w:val="24"/>
        </w:rPr>
        <w:t>以上</w:t>
      </w:r>
      <w:r>
        <w:rPr>
          <w:bCs/>
          <w:sz w:val="24"/>
          <w:szCs w:val="24"/>
        </w:rPr>
        <w:t>(</w:t>
      </w:r>
      <w:r>
        <w:rPr>
          <w:rFonts w:hAnsi="宋体"/>
          <w:bCs/>
          <w:sz w:val="24"/>
          <w:szCs w:val="24"/>
        </w:rPr>
        <w:t>含</w:t>
      </w:r>
      <w:r>
        <w:rPr>
          <w:bCs/>
          <w:sz w:val="24"/>
          <w:szCs w:val="24"/>
        </w:rPr>
        <w:t>BBB)</w:t>
      </w:r>
      <w:r>
        <w:rPr>
          <w:rFonts w:hAnsi="宋体"/>
          <w:bCs/>
          <w:sz w:val="24"/>
          <w:szCs w:val="24"/>
        </w:rPr>
        <w:t>的资产支持证券。基金持有资产支持证券期间，如果其信用等级下降、不再符合投资标准，应在评级报告发布之日起</w:t>
      </w:r>
      <w:r>
        <w:rPr>
          <w:bCs/>
          <w:sz w:val="24"/>
          <w:szCs w:val="24"/>
        </w:rPr>
        <w:t>3</w:t>
      </w:r>
      <w:r>
        <w:rPr>
          <w:rFonts w:hAnsi="宋体"/>
          <w:bCs/>
          <w:sz w:val="24"/>
          <w:szCs w:val="24"/>
        </w:rPr>
        <w:t>个月内予以全部卖出；</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13</w:t>
      </w:r>
      <w:r>
        <w:rPr>
          <w:rFonts w:hAnsi="宋体"/>
          <w:bCs/>
          <w:sz w:val="24"/>
          <w:szCs w:val="24"/>
        </w:rPr>
        <w:t>）基金财产参与股票发行申购，本基金所申报的金额不超过本基金的总资产，本基金所申报的股票数量不超过拟发行股票公司本次发行股票的总量；</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14</w:t>
      </w:r>
      <w:r>
        <w:rPr>
          <w:rFonts w:hAnsi="宋体"/>
          <w:bCs/>
          <w:sz w:val="24"/>
          <w:szCs w:val="24"/>
        </w:rPr>
        <w:t>）本基金进入全国银行间同业市场进行债券回购的资金余额不得超过基金资产净值的</w:t>
      </w:r>
      <w:r>
        <w:rPr>
          <w:bCs/>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15</w:t>
      </w:r>
      <w:r>
        <w:rPr>
          <w:rFonts w:hAnsi="宋体"/>
          <w:bCs/>
          <w:sz w:val="24"/>
          <w:szCs w:val="24"/>
        </w:rPr>
        <w:t>）法律法规及中国证监会规定的和基金合同约定的其他投资限制。</w:t>
      </w:r>
    </w:p>
    <w:p w:rsidR="00B67D8A" w:rsidRDefault="00B67D8A">
      <w:pPr>
        <w:adjustRightInd w:val="0"/>
        <w:snapToGrid w:val="0"/>
        <w:spacing w:line="360" w:lineRule="auto"/>
        <w:ind w:firstLineChars="200" w:firstLine="480"/>
        <w:rPr>
          <w:bCs/>
          <w:sz w:val="24"/>
          <w:szCs w:val="24"/>
        </w:rPr>
      </w:pPr>
      <w:r>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Pr>
          <w:bCs/>
          <w:sz w:val="24"/>
          <w:szCs w:val="24"/>
        </w:rPr>
        <w:t>10</w:t>
      </w:r>
      <w:r>
        <w:rPr>
          <w:rFonts w:hAnsi="宋体"/>
          <w:bCs/>
          <w:sz w:val="24"/>
          <w:szCs w:val="24"/>
        </w:rPr>
        <w:t>个交易日内进行调整，法律法规另有规定的从其规定。</w:t>
      </w:r>
    </w:p>
    <w:p w:rsidR="00B67D8A" w:rsidRDefault="00B67D8A">
      <w:pPr>
        <w:adjustRightInd w:val="0"/>
        <w:snapToGrid w:val="0"/>
        <w:spacing w:line="360" w:lineRule="auto"/>
        <w:ind w:firstLineChars="200" w:firstLine="480"/>
        <w:rPr>
          <w:bCs/>
          <w:sz w:val="24"/>
          <w:szCs w:val="24"/>
        </w:rPr>
      </w:pPr>
      <w:r>
        <w:rPr>
          <w:rFonts w:hAnsi="宋体"/>
          <w:bCs/>
          <w:sz w:val="24"/>
          <w:szCs w:val="24"/>
        </w:rPr>
        <w:t>基金管理人应当自基金合同生效之日起</w:t>
      </w:r>
      <w:r>
        <w:rPr>
          <w:bCs/>
          <w:sz w:val="24"/>
          <w:szCs w:val="24"/>
        </w:rPr>
        <w:t>6</w:t>
      </w:r>
      <w:r>
        <w:rPr>
          <w:rFonts w:hAnsi="宋体"/>
          <w:bCs/>
          <w:sz w:val="24"/>
          <w:szCs w:val="24"/>
        </w:rPr>
        <w:t>个月内使基金的投资组合比例符合基金合同的有关约定。基金托管人对基金的投资的监督与检查自本基金合同生效之日起开始。</w:t>
      </w:r>
    </w:p>
    <w:p w:rsidR="00B67D8A" w:rsidRDefault="00B67D8A">
      <w:pPr>
        <w:adjustRightInd w:val="0"/>
        <w:snapToGrid w:val="0"/>
        <w:spacing w:line="360" w:lineRule="auto"/>
        <w:ind w:firstLineChars="200" w:firstLine="480"/>
        <w:rPr>
          <w:bCs/>
          <w:sz w:val="24"/>
          <w:szCs w:val="24"/>
        </w:rPr>
      </w:pPr>
      <w:r>
        <w:rPr>
          <w:rFonts w:hAnsi="宋体"/>
          <w:bCs/>
          <w:sz w:val="24"/>
          <w:szCs w:val="24"/>
        </w:rPr>
        <w:t>法律法规或监管部门取消或修改上述限制，如适用于本基金，基金管理人在履行适当程序后，则本基金投资所受限制相应调整。</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、禁止行为</w:t>
      </w:r>
    </w:p>
    <w:p w:rsidR="00B67D8A" w:rsidRDefault="00B67D8A">
      <w:pPr>
        <w:adjustRightInd w:val="0"/>
        <w:snapToGrid w:val="0"/>
        <w:spacing w:line="360" w:lineRule="auto"/>
        <w:ind w:firstLineChars="200" w:firstLine="480"/>
        <w:rPr>
          <w:bCs/>
          <w:sz w:val="24"/>
          <w:szCs w:val="24"/>
        </w:rPr>
      </w:pPr>
      <w:r>
        <w:rPr>
          <w:rFonts w:hAnsi="宋体"/>
          <w:bCs/>
          <w:sz w:val="24"/>
          <w:szCs w:val="24"/>
        </w:rPr>
        <w:t>为维护基金份额持有人的合法权益，基金财产不得用于下列投资或者活动：</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）承销证券；</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）向他人贷款或者提供担保；</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）从事承担无限责任的投资；</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）买卖其他基金份额，但是国务院另有规定的除外；</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）向其基金管理人、基金托管人出资或者买卖其基金管理人、基金托管人发行的股票或者债券；</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）买卖与其基金管理人、基金托管人有控股关系的股东或者与其基金管理人、</w:t>
      </w:r>
      <w:r>
        <w:rPr>
          <w:rFonts w:hAnsi="宋体"/>
          <w:bCs/>
          <w:sz w:val="24"/>
          <w:szCs w:val="24"/>
        </w:rPr>
        <w:lastRenderedPageBreak/>
        <w:t>基金托管人有其他重大利害关系的公司发行的证券或者承销期内承销的证券；</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）从事内幕交易、操纵证券交易价格及其他不正当的证券交易活动；</w:t>
      </w:r>
    </w:p>
    <w:p w:rsidR="00B67D8A" w:rsidRDefault="00B67D8A">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）依照法律法规有关规定，由中国证监会规定禁止的其他活动。</w:t>
      </w:r>
    </w:p>
    <w:p w:rsidR="00B67D8A" w:rsidRDefault="00B67D8A">
      <w:pPr>
        <w:adjustRightInd w:val="0"/>
        <w:snapToGrid w:val="0"/>
        <w:spacing w:line="360" w:lineRule="auto"/>
        <w:ind w:firstLineChars="200" w:firstLine="480"/>
        <w:rPr>
          <w:bCs/>
          <w:sz w:val="24"/>
          <w:szCs w:val="24"/>
        </w:rPr>
      </w:pPr>
      <w:r>
        <w:rPr>
          <w:rFonts w:hAnsi="宋体"/>
          <w:bCs/>
          <w:sz w:val="24"/>
          <w:szCs w:val="24"/>
        </w:rPr>
        <w:t>如法律法规或监管部门取消上述禁止性规定，本基金管理人在履行适当程序后可不受上述规定的限制。</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（五）业绩比较基准</w:t>
      </w:r>
    </w:p>
    <w:p w:rsidR="00B67D8A" w:rsidRDefault="00B67D8A">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收益率</w:t>
      </w:r>
    </w:p>
    <w:p w:rsidR="00B67D8A" w:rsidRDefault="00B67D8A">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rsidR="00B67D8A" w:rsidRDefault="00B67D8A">
      <w:pPr>
        <w:adjustRightInd w:val="0"/>
        <w:snapToGrid w:val="0"/>
        <w:spacing w:line="360" w:lineRule="auto"/>
        <w:ind w:firstLineChars="200" w:firstLine="480"/>
        <w:rPr>
          <w:sz w:val="24"/>
          <w:szCs w:val="24"/>
        </w:rPr>
      </w:pP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B67D8A" w:rsidRDefault="00B67D8A">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rsidR="00B67D8A" w:rsidRDefault="00B67D8A">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B67D8A" w:rsidRDefault="00B67D8A">
      <w:pPr>
        <w:adjustRightInd w:val="0"/>
        <w:snapToGrid w:val="0"/>
        <w:spacing w:line="360" w:lineRule="auto"/>
        <w:ind w:firstLineChars="200" w:firstLine="482"/>
        <w:rPr>
          <w:b/>
          <w:bCs/>
          <w:sz w:val="24"/>
          <w:szCs w:val="24"/>
        </w:rPr>
      </w:pPr>
      <w:r>
        <w:rPr>
          <w:rFonts w:hAnsi="宋体"/>
          <w:b/>
          <w:bCs/>
          <w:sz w:val="24"/>
          <w:szCs w:val="24"/>
        </w:rPr>
        <w:t>（六）风险收益特征</w:t>
      </w:r>
    </w:p>
    <w:p w:rsidR="00B67D8A" w:rsidRDefault="00B67D8A">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（七）基金的融资融券</w:t>
      </w:r>
    </w:p>
    <w:p w:rsidR="00B67D8A" w:rsidRDefault="00B67D8A">
      <w:pPr>
        <w:adjustRightInd w:val="0"/>
        <w:snapToGrid w:val="0"/>
        <w:spacing w:line="360" w:lineRule="auto"/>
        <w:ind w:firstLineChars="200" w:firstLine="480"/>
        <w:rPr>
          <w:bCs/>
          <w:sz w:val="24"/>
          <w:szCs w:val="24"/>
        </w:rPr>
      </w:pPr>
      <w:r>
        <w:rPr>
          <w:rFonts w:hAnsi="宋体"/>
          <w:bCs/>
          <w:sz w:val="24"/>
          <w:szCs w:val="24"/>
        </w:rPr>
        <w:t>本基金可以按照届时有效的有关法律法规和政策的规定进行融资融券。</w:t>
      </w:r>
    </w:p>
    <w:p w:rsidR="00B67D8A" w:rsidRDefault="00B67D8A">
      <w:pPr>
        <w:adjustRightInd w:val="0"/>
        <w:snapToGrid w:val="0"/>
        <w:spacing w:line="360" w:lineRule="auto"/>
        <w:ind w:firstLineChars="200" w:firstLine="482"/>
        <w:rPr>
          <w:b/>
          <w:bCs/>
          <w:sz w:val="24"/>
          <w:szCs w:val="24"/>
        </w:rPr>
      </w:pPr>
      <w:r>
        <w:rPr>
          <w:rFonts w:hAnsi="宋体"/>
          <w:b/>
          <w:bCs/>
          <w:sz w:val="24"/>
          <w:szCs w:val="24"/>
        </w:rPr>
        <w:t>（八）基金管理人代表基金行使股东及债权人权利的处理原则及方法</w:t>
      </w:r>
    </w:p>
    <w:p w:rsidR="00B67D8A" w:rsidRDefault="00B67D8A">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、基金管理人按照国家有关规定代表基金独立行使</w:t>
      </w:r>
      <w:r>
        <w:rPr>
          <w:rFonts w:hAnsi="宋体" w:hint="eastAsia"/>
          <w:bCs/>
          <w:sz w:val="24"/>
          <w:szCs w:val="24"/>
        </w:rPr>
        <w:t>股东及</w:t>
      </w:r>
      <w:r>
        <w:rPr>
          <w:rFonts w:hAnsi="宋体"/>
          <w:bCs/>
          <w:sz w:val="24"/>
          <w:szCs w:val="24"/>
        </w:rPr>
        <w:t>债权人权利，保护基</w:t>
      </w:r>
      <w:r>
        <w:rPr>
          <w:rFonts w:hAnsi="宋体"/>
          <w:bCs/>
          <w:sz w:val="24"/>
          <w:szCs w:val="24"/>
        </w:rPr>
        <w:lastRenderedPageBreak/>
        <w:t>金份额持有人的利益；</w:t>
      </w:r>
    </w:p>
    <w:p w:rsidR="00B67D8A" w:rsidRDefault="00B67D8A">
      <w:pPr>
        <w:adjustRightInd w:val="0"/>
        <w:snapToGrid w:val="0"/>
        <w:spacing w:line="360" w:lineRule="auto"/>
        <w:ind w:firstLineChars="200" w:firstLine="480"/>
        <w:rPr>
          <w:bCs/>
          <w:sz w:val="24"/>
          <w:szCs w:val="24"/>
        </w:rPr>
      </w:pPr>
      <w:r>
        <w:rPr>
          <w:bCs/>
          <w:sz w:val="24"/>
          <w:szCs w:val="24"/>
        </w:rPr>
        <w:t>2</w:t>
      </w:r>
      <w:r>
        <w:rPr>
          <w:rFonts w:hAnsi="宋体"/>
          <w:bCs/>
          <w:sz w:val="24"/>
          <w:szCs w:val="24"/>
        </w:rPr>
        <w:t>、不谋求对上市公司的控股，不参与所投资上市公司的经营管理；</w:t>
      </w:r>
    </w:p>
    <w:p w:rsidR="00B67D8A" w:rsidRDefault="00B67D8A">
      <w:pPr>
        <w:adjustRightInd w:val="0"/>
        <w:snapToGrid w:val="0"/>
        <w:spacing w:line="360" w:lineRule="auto"/>
        <w:ind w:firstLineChars="200" w:firstLine="480"/>
        <w:rPr>
          <w:bCs/>
          <w:sz w:val="24"/>
          <w:szCs w:val="24"/>
        </w:rPr>
      </w:pPr>
      <w:r>
        <w:rPr>
          <w:bCs/>
          <w:sz w:val="24"/>
          <w:szCs w:val="24"/>
        </w:rPr>
        <w:t>3</w:t>
      </w:r>
      <w:r>
        <w:rPr>
          <w:rFonts w:hAnsi="宋体"/>
          <w:bCs/>
          <w:sz w:val="24"/>
          <w:szCs w:val="24"/>
        </w:rPr>
        <w:t>、有利于基金财产的安全与增值；</w:t>
      </w:r>
    </w:p>
    <w:p w:rsidR="00B67D8A" w:rsidRDefault="00B67D8A">
      <w:pPr>
        <w:adjustRightInd w:val="0"/>
        <w:snapToGrid w:val="0"/>
        <w:spacing w:line="360" w:lineRule="auto"/>
        <w:ind w:firstLineChars="200" w:firstLine="480"/>
        <w:rPr>
          <w:sz w:val="24"/>
          <w:szCs w:val="24"/>
        </w:rPr>
      </w:pPr>
      <w:r>
        <w:rPr>
          <w:bCs/>
          <w:sz w:val="24"/>
          <w:szCs w:val="24"/>
        </w:rPr>
        <w:t>4</w:t>
      </w:r>
      <w:r>
        <w:rPr>
          <w:rFonts w:hAnsi="宋体"/>
          <w:bCs/>
          <w:sz w:val="24"/>
          <w:szCs w:val="24"/>
        </w:rPr>
        <w:t>、不通过关联交易为自身、雇员、授权代理人或任何存在利害关系的第三人牟取任何不当利益。</w:t>
      </w: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7"/>
      <w:bookmarkEnd w:id="58"/>
      <w:bookmarkEnd w:id="59"/>
      <w:bookmarkEnd w:id="61"/>
      <w:bookmarkEnd w:id="62"/>
      <w:bookmarkEnd w:id="63"/>
      <w:bookmarkEnd w:id="64"/>
      <w:bookmarkEnd w:id="65"/>
      <w:bookmarkEnd w:id="66"/>
      <w:bookmarkEnd w:id="67"/>
      <w:bookmarkEnd w:id="68"/>
    </w:p>
    <w:p w:rsidR="00B67D8A" w:rsidRDefault="00B67D8A">
      <w:pPr>
        <w:adjustRightInd w:val="0"/>
        <w:snapToGrid w:val="0"/>
        <w:spacing w:line="360" w:lineRule="auto"/>
        <w:ind w:firstLineChars="200" w:firstLine="482"/>
        <w:rPr>
          <w:b/>
          <w:sz w:val="24"/>
          <w:szCs w:val="24"/>
        </w:rPr>
      </w:pPr>
      <w:r>
        <w:rPr>
          <w:rFonts w:hAnsi="宋体"/>
          <w:b/>
          <w:sz w:val="24"/>
          <w:szCs w:val="24"/>
        </w:rPr>
        <w:t>（九）投资决策依据和投资流程</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rsidR="00B67D8A" w:rsidRDefault="00B67D8A">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B67D8A" w:rsidRDefault="00B67D8A">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rsidR="00B67D8A" w:rsidRDefault="00B67D8A">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w:t>
      </w:r>
      <w:proofErr w:type="gramStart"/>
      <w:r>
        <w:rPr>
          <w:rFonts w:hAnsi="宋体"/>
          <w:sz w:val="24"/>
          <w:szCs w:val="24"/>
        </w:rPr>
        <w:t>规</w:t>
      </w:r>
      <w:proofErr w:type="gramEnd"/>
      <w:r>
        <w:rPr>
          <w:rFonts w:hAnsi="宋体"/>
          <w:sz w:val="24"/>
          <w:szCs w:val="24"/>
        </w:rPr>
        <w:t>的前提下得到高效的执行。</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rsidR="00B67D8A" w:rsidRDefault="00B67D8A">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w:t>
      </w:r>
      <w:r>
        <w:rPr>
          <w:rFonts w:hAnsi="宋体"/>
          <w:sz w:val="24"/>
          <w:szCs w:val="24"/>
        </w:rPr>
        <w:lastRenderedPageBreak/>
        <w:t>并讨论股票、债券的投资重点等；</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w:t>
      </w:r>
      <w:proofErr w:type="gramStart"/>
      <w:r>
        <w:rPr>
          <w:rFonts w:hAnsi="宋体"/>
          <w:sz w:val="24"/>
          <w:szCs w:val="24"/>
        </w:rPr>
        <w:t>通过风控系统</w:t>
      </w:r>
      <w:proofErr w:type="gramEnd"/>
      <w:r>
        <w:rPr>
          <w:rFonts w:hAnsi="宋体"/>
          <w:sz w:val="24"/>
          <w:szCs w:val="24"/>
        </w:rPr>
        <w:t>的自动合</w:t>
      </w:r>
      <w:proofErr w:type="gramStart"/>
      <w:r>
        <w:rPr>
          <w:rFonts w:hAnsi="宋体"/>
          <w:sz w:val="24"/>
          <w:szCs w:val="24"/>
        </w:rPr>
        <w:t>规</w:t>
      </w:r>
      <w:proofErr w:type="gramEnd"/>
      <w:r>
        <w:rPr>
          <w:rFonts w:hAnsi="宋体"/>
          <w:sz w:val="24"/>
          <w:szCs w:val="24"/>
        </w:rPr>
        <w:t>核查后，由中央交易室执行，中央交易室对交易情况及时反馈；</w:t>
      </w:r>
      <w:r>
        <w:rPr>
          <w:sz w:val="24"/>
          <w:szCs w:val="24"/>
        </w:rPr>
        <w:t xml:space="preserve"> </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rsidR="00B67D8A" w:rsidRDefault="00B67D8A">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w:t>
      </w:r>
      <w:proofErr w:type="gramStart"/>
      <w:r>
        <w:rPr>
          <w:rFonts w:hAnsi="宋体"/>
          <w:sz w:val="24"/>
          <w:szCs w:val="24"/>
        </w:rPr>
        <w:t>作出</w:t>
      </w:r>
      <w:proofErr w:type="gramEnd"/>
      <w:r>
        <w:rPr>
          <w:rFonts w:hAnsi="宋体"/>
          <w:sz w:val="24"/>
          <w:szCs w:val="24"/>
        </w:rPr>
        <w:t>调整。</w:t>
      </w:r>
      <w:bookmarkStart w:id="71" w:name="_Toc78208364"/>
    </w:p>
    <w:p w:rsidR="00B67D8A" w:rsidRDefault="00B67D8A">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w:t>
      </w:r>
      <w:r>
        <w:rPr>
          <w:rFonts w:hAnsi="宋体" w:hint="eastAsia"/>
          <w:b/>
          <w:sz w:val="24"/>
          <w:szCs w:val="24"/>
        </w:rPr>
        <w:t>基金投资组合报告</w:t>
      </w:r>
    </w:p>
    <w:p w:rsidR="00B67D8A" w:rsidRDefault="00B67D8A">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B67D8A" w:rsidRDefault="00B67D8A">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3B1D3E">
        <w:rPr>
          <w:sz w:val="24"/>
        </w:rPr>
        <w:t>2014</w:t>
      </w:r>
      <w:r w:rsidR="003B1D3E">
        <w:rPr>
          <w:rFonts w:hint="eastAsia"/>
          <w:sz w:val="24"/>
        </w:rPr>
        <w:t>年</w:t>
      </w:r>
      <w:r w:rsidR="002E12E3" w:rsidRPr="002E12E3">
        <w:rPr>
          <w:sz w:val="24"/>
        </w:rPr>
        <w:t>7</w:t>
      </w:r>
      <w:r w:rsidR="00465D3C" w:rsidRPr="004E44EA">
        <w:rPr>
          <w:rFonts w:hint="eastAsia"/>
          <w:sz w:val="24"/>
        </w:rPr>
        <w:t>月</w:t>
      </w:r>
      <w:r w:rsidR="003B1D3E">
        <w:rPr>
          <w:sz w:val="24"/>
        </w:rPr>
        <w:t>1</w:t>
      </w:r>
      <w:r w:rsidR="002E12E3" w:rsidRPr="002E12E3">
        <w:rPr>
          <w:sz w:val="24"/>
        </w:rPr>
        <w:t>8</w:t>
      </w:r>
      <w:r>
        <w:rPr>
          <w:sz w:val="24"/>
        </w:rPr>
        <w:t>日复核了本报告中的财务指标、净值表现和投资组合报告等内容</w:t>
      </w:r>
      <w:r>
        <w:rPr>
          <w:sz w:val="24"/>
        </w:rPr>
        <w:t>,</w:t>
      </w:r>
      <w:r>
        <w:rPr>
          <w:sz w:val="24"/>
        </w:rPr>
        <w:t>保证复核内容不存在虚假记载、误导性陈述或者重大遗漏。</w:t>
      </w:r>
    </w:p>
    <w:p w:rsidR="00B67D8A" w:rsidRDefault="00B67D8A">
      <w:pPr>
        <w:spacing w:line="360" w:lineRule="auto"/>
        <w:ind w:firstLineChars="200" w:firstLine="480"/>
        <w:rPr>
          <w:sz w:val="24"/>
        </w:rPr>
      </w:pPr>
      <w:r>
        <w:rPr>
          <w:sz w:val="24"/>
        </w:rPr>
        <w:t>本报告期为</w:t>
      </w:r>
      <w:r>
        <w:rPr>
          <w:sz w:val="24"/>
        </w:rPr>
        <w:t>201</w:t>
      </w:r>
      <w:r w:rsidR="00485D76">
        <w:rPr>
          <w:rFonts w:hint="eastAsia"/>
          <w:sz w:val="24"/>
        </w:rPr>
        <w:t>4</w:t>
      </w:r>
      <w:r>
        <w:rPr>
          <w:sz w:val="24"/>
        </w:rPr>
        <w:t>年</w:t>
      </w:r>
      <w:r w:rsidR="00C427C0">
        <w:rPr>
          <w:rFonts w:hint="eastAsia"/>
          <w:sz w:val="24"/>
        </w:rPr>
        <w:t>4</w:t>
      </w:r>
      <w:r>
        <w:rPr>
          <w:sz w:val="24"/>
        </w:rPr>
        <w:t>月</w:t>
      </w:r>
      <w:r>
        <w:rPr>
          <w:sz w:val="24"/>
        </w:rPr>
        <w:t>1</w:t>
      </w:r>
      <w:r>
        <w:rPr>
          <w:sz w:val="24"/>
        </w:rPr>
        <w:t>日至</w:t>
      </w:r>
      <w:r>
        <w:rPr>
          <w:sz w:val="24"/>
        </w:rPr>
        <w:t>201</w:t>
      </w:r>
      <w:r w:rsidR="00485D76">
        <w:rPr>
          <w:rFonts w:hint="eastAsia"/>
          <w:sz w:val="24"/>
        </w:rPr>
        <w:t>4</w:t>
      </w:r>
      <w:r>
        <w:rPr>
          <w:sz w:val="24"/>
        </w:rPr>
        <w:t>年</w:t>
      </w:r>
      <w:r w:rsidR="00485D76">
        <w:rPr>
          <w:rFonts w:hint="eastAsia"/>
          <w:sz w:val="24"/>
        </w:rPr>
        <w:t>6</w:t>
      </w:r>
      <w:r>
        <w:rPr>
          <w:sz w:val="24"/>
        </w:rPr>
        <w:t>月</w:t>
      </w:r>
      <w:r>
        <w:rPr>
          <w:sz w:val="24"/>
        </w:rPr>
        <w:t>3</w:t>
      </w:r>
      <w:r w:rsidR="00485D76">
        <w:rPr>
          <w:rFonts w:hint="eastAsia"/>
          <w:sz w:val="24"/>
        </w:rPr>
        <w:t>0</w:t>
      </w:r>
      <w:r>
        <w:rPr>
          <w:sz w:val="24"/>
        </w:rPr>
        <w:t>日。本报告财务资料未经审计师审计。</w:t>
      </w:r>
    </w:p>
    <w:p w:rsidR="00B67D8A" w:rsidRDefault="00B67D8A">
      <w:pPr>
        <w:spacing w:line="360" w:lineRule="auto"/>
        <w:ind w:firstLineChars="200" w:firstLine="480"/>
        <w:rPr>
          <w:sz w:val="24"/>
        </w:rPr>
      </w:pPr>
      <w:r>
        <w:rPr>
          <w:sz w:val="24"/>
        </w:rPr>
        <w:t xml:space="preserve">1 </w:t>
      </w:r>
      <w:r>
        <w:rPr>
          <w:sz w:val="24"/>
        </w:rPr>
        <w:t>、报告期末基金资产组合情况</w:t>
      </w:r>
    </w:p>
    <w:tbl>
      <w:tblPr>
        <w:tblW w:w="0" w:type="auto"/>
        <w:tblInd w:w="108" w:type="dxa"/>
        <w:tblLayout w:type="fixed"/>
        <w:tblLook w:val="0000" w:firstRow="0" w:lastRow="0" w:firstColumn="0" w:lastColumn="0" w:noHBand="0" w:noVBand="0"/>
      </w:tblPr>
      <w:tblGrid>
        <w:gridCol w:w="906"/>
        <w:gridCol w:w="3401"/>
        <w:gridCol w:w="2477"/>
        <w:gridCol w:w="1964"/>
      </w:tblGrid>
      <w:tr w:rsidR="00145A62">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center"/>
              <w:rPr>
                <w:color w:val="000000"/>
                <w:kern w:val="0"/>
                <w:sz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center"/>
              <w:rPr>
                <w:color w:val="000000"/>
                <w:kern w:val="0"/>
                <w:sz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center"/>
              <w:rPr>
                <w:color w:val="000000"/>
                <w:kern w:val="0"/>
                <w:sz w:val="24"/>
              </w:rPr>
            </w:pPr>
            <w:r w:rsidRPr="00414345">
              <w:rPr>
                <w:color w:val="000000"/>
                <w:sz w:val="24"/>
                <w:szCs w:val="24"/>
              </w:rPr>
              <w:t>金额</w:t>
            </w:r>
            <w:r w:rsidRPr="00414345">
              <w:rPr>
                <w:color w:val="000000"/>
                <w:sz w:val="24"/>
              </w:rPr>
              <w:t>（元）</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center"/>
              <w:rPr>
                <w:color w:val="000000"/>
                <w:kern w:val="0"/>
                <w:sz w:val="24"/>
              </w:rPr>
            </w:pPr>
            <w:r w:rsidRPr="00414345">
              <w:rPr>
                <w:color w:val="000000"/>
                <w:sz w:val="24"/>
                <w:szCs w:val="24"/>
              </w:rPr>
              <w:t>占基金总资产的比例</w:t>
            </w:r>
            <w:r w:rsidRPr="00414345">
              <w:rPr>
                <w:color w:val="000000"/>
                <w:sz w:val="24"/>
              </w:rPr>
              <w:t>（％）</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170,369,974.46</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47.39</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170,369,974.46</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47.39</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169,037,235.74</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47.02</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169,037,235.74</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47.02</w:t>
            </w:r>
          </w:p>
        </w:tc>
      </w:tr>
      <w:tr w:rsidR="00145A62">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left"/>
              <w:rPr>
                <w:color w:val="000000"/>
                <w:kern w:val="0"/>
                <w:sz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145A62">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pPr>
              <w:spacing w:line="288" w:lineRule="auto"/>
              <w:jc w:val="center"/>
              <w:rPr>
                <w:color w:val="000000"/>
                <w:sz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left"/>
              <w:rPr>
                <w:color w:val="000000"/>
                <w:kern w:val="0"/>
                <w:sz w:val="24"/>
              </w:rPr>
            </w:pPr>
            <w:r w:rsidRPr="00414345">
              <w:rPr>
                <w:rFonts w:hAnsi="宋体"/>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145A62">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pPr>
              <w:spacing w:line="288" w:lineRule="auto"/>
              <w:jc w:val="center"/>
              <w:rPr>
                <w:color w:val="000000"/>
                <w:sz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left"/>
              <w:rPr>
                <w:color w:val="000000"/>
                <w:kern w:val="0"/>
                <w:sz w:val="24"/>
              </w:rPr>
            </w:pPr>
            <w:r w:rsidRPr="00414345">
              <w:rPr>
                <w:color w:val="000000"/>
                <w:sz w:val="24"/>
                <w:szCs w:val="24"/>
              </w:rPr>
              <w:t>金融衍生</w:t>
            </w:r>
            <w:proofErr w:type="gramStart"/>
            <w:r w:rsidRPr="00414345">
              <w:rPr>
                <w:color w:val="000000"/>
                <w:sz w:val="24"/>
                <w:szCs w:val="24"/>
              </w:rPr>
              <w:t>品投资</w:t>
            </w:r>
            <w:proofErr w:type="gramEnd"/>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145A62">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pPr>
              <w:spacing w:line="288" w:lineRule="auto"/>
              <w:jc w:val="center"/>
              <w:rPr>
                <w:color w:val="000000"/>
                <w:sz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left"/>
              <w:rPr>
                <w:color w:val="000000"/>
                <w:kern w:val="0"/>
                <w:sz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13,535,602.20</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3.77</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6,528,703.61</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1.82</w:t>
            </w:r>
          </w:p>
        </w:tc>
      </w:tr>
      <w:tr w:rsidR="00145A62" w:rsidTr="00092013">
        <w:tc>
          <w:tcPr>
            <w:tcW w:w="906"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spacing w:line="288" w:lineRule="auto"/>
              <w:jc w:val="center"/>
              <w:rPr>
                <w:color w:val="000000"/>
                <w:sz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rsidR="00145A62" w:rsidRDefault="00145A62" w:rsidP="00123E15">
            <w:pPr>
              <w:autoSpaceDE w:val="0"/>
              <w:autoSpaceDN w:val="0"/>
              <w:adjustRightInd w:val="0"/>
              <w:spacing w:before="29" w:line="288" w:lineRule="auto"/>
              <w:ind w:left="15"/>
              <w:jc w:val="left"/>
              <w:rPr>
                <w:color w:val="000000"/>
                <w:kern w:val="0"/>
                <w:sz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rsidR="00145A62" w:rsidRPr="00123E15"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359,471,516.01</w:t>
            </w:r>
          </w:p>
        </w:tc>
        <w:tc>
          <w:tcPr>
            <w:tcW w:w="1964" w:type="dxa"/>
            <w:tcBorders>
              <w:top w:val="single" w:sz="8" w:space="0" w:color="000000"/>
              <w:left w:val="single" w:sz="8" w:space="0" w:color="000000"/>
              <w:bottom w:val="single" w:sz="8" w:space="0" w:color="000000"/>
              <w:right w:val="single" w:sz="8" w:space="0" w:color="000000"/>
            </w:tcBorders>
            <w:vAlign w:val="center"/>
          </w:tcPr>
          <w:p w:rsidR="00145A62" w:rsidRPr="00123E15" w:rsidRDefault="00145A62" w:rsidP="00123E15">
            <w:pPr>
              <w:autoSpaceDE w:val="0"/>
              <w:autoSpaceDN w:val="0"/>
              <w:adjustRightInd w:val="0"/>
              <w:spacing w:before="29" w:line="288" w:lineRule="auto"/>
              <w:ind w:left="15"/>
              <w:jc w:val="right"/>
              <w:rPr>
                <w:color w:val="000000"/>
                <w:kern w:val="0"/>
                <w:sz w:val="24"/>
              </w:rPr>
            </w:pPr>
            <w:r w:rsidRPr="00414345">
              <w:rPr>
                <w:color w:val="000000"/>
                <w:sz w:val="24"/>
                <w:szCs w:val="24"/>
              </w:rPr>
              <w:t>100.00</w:t>
            </w:r>
          </w:p>
        </w:tc>
      </w:tr>
    </w:tbl>
    <w:p w:rsidR="00B67D8A" w:rsidRDefault="00B67D8A">
      <w:pPr>
        <w:spacing w:line="360" w:lineRule="auto"/>
        <w:ind w:firstLineChars="200" w:firstLine="480"/>
        <w:rPr>
          <w:sz w:val="24"/>
        </w:rPr>
      </w:pPr>
    </w:p>
    <w:p w:rsidR="00B67D8A" w:rsidRDefault="00B67D8A">
      <w:pPr>
        <w:spacing w:line="360" w:lineRule="auto"/>
        <w:ind w:firstLineChars="200" w:firstLine="480"/>
        <w:rPr>
          <w:sz w:val="24"/>
        </w:rPr>
      </w:pPr>
      <w:r>
        <w:rPr>
          <w:sz w:val="24"/>
        </w:rPr>
        <w:t>2</w:t>
      </w:r>
      <w:r>
        <w:rPr>
          <w:sz w:val="24"/>
        </w:rPr>
        <w:t>、报告期末按行业分类的股票投资组合</w:t>
      </w:r>
    </w:p>
    <w:tbl>
      <w:tblPr>
        <w:tblW w:w="0" w:type="auto"/>
        <w:tblInd w:w="108" w:type="dxa"/>
        <w:tblLayout w:type="fixed"/>
        <w:tblLook w:val="0000" w:firstRow="0" w:lastRow="0" w:firstColumn="0" w:lastColumn="0" w:noHBand="0" w:noVBand="0"/>
      </w:tblPr>
      <w:tblGrid>
        <w:gridCol w:w="961"/>
        <w:gridCol w:w="3308"/>
        <w:gridCol w:w="2479"/>
        <w:gridCol w:w="2000"/>
      </w:tblGrid>
      <w:tr w:rsidR="00B67D8A">
        <w:tc>
          <w:tcPr>
            <w:tcW w:w="961"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kern w:val="0"/>
                <w:sz w:val="24"/>
              </w:rPr>
            </w:pPr>
            <w:r>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7,378,000.00</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2.15</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141,965,302.67</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41.37</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7,462,000.00</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2.17</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9,088,250.00</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2.65</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1,291,621.79</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0.38</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3,184,800.00</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0.93</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lastRenderedPageBreak/>
              <w:t>P</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123E15" w:rsidTr="001976B4">
        <w:tc>
          <w:tcPr>
            <w:tcW w:w="961"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170,369,974.46</w:t>
            </w:r>
          </w:p>
        </w:tc>
        <w:tc>
          <w:tcPr>
            <w:tcW w:w="2000"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49.65</w:t>
            </w:r>
          </w:p>
        </w:tc>
      </w:tr>
    </w:tbl>
    <w:p w:rsidR="00B67D8A" w:rsidRDefault="00B67D8A">
      <w:pPr>
        <w:spacing w:line="360" w:lineRule="auto"/>
        <w:ind w:firstLineChars="200" w:firstLine="480"/>
        <w:rPr>
          <w:sz w:val="24"/>
        </w:rPr>
      </w:pPr>
    </w:p>
    <w:p w:rsidR="00B67D8A" w:rsidRDefault="00B67D8A">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0" w:type="auto"/>
        <w:tblInd w:w="108" w:type="dxa"/>
        <w:tblLayout w:type="fixed"/>
        <w:tblLook w:val="0000" w:firstRow="0" w:lastRow="0" w:firstColumn="0" w:lastColumn="0" w:noHBand="0" w:noVBand="0"/>
      </w:tblPr>
      <w:tblGrid>
        <w:gridCol w:w="905"/>
        <w:gridCol w:w="1385"/>
        <w:gridCol w:w="1338"/>
        <w:gridCol w:w="1735"/>
        <w:gridCol w:w="1784"/>
        <w:gridCol w:w="1601"/>
      </w:tblGrid>
      <w:tr w:rsidR="00B67D8A">
        <w:tc>
          <w:tcPr>
            <w:tcW w:w="905"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kern w:val="0"/>
                <w:sz w:val="24"/>
              </w:rPr>
            </w:pPr>
            <w:r>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002008</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大族激光</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729,976</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12,657,783.84</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3.69</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000423</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东阿阿胶</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370,000</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12,328,400.00</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3.59</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002317</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众生药业</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543,204</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10,847,783.88</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3.16</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600887</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伊利股份</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319,964</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10,597,207.68</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3.09</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600150</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中国船舶</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400,000</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8,424,000.00</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2.46</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002325</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洪涛股份</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910,000</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7,462,000.00</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2.17</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600028</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中国石化</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1,400,000</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7,378,000.00</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2.15</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000919</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金陵药业</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500,000</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6,960,000.00</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2.03</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002415</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proofErr w:type="gramStart"/>
            <w:r w:rsidRPr="002E12E3">
              <w:rPr>
                <w:rFonts w:hint="eastAsia"/>
                <w:color w:val="000000"/>
                <w:kern w:val="0"/>
                <w:sz w:val="24"/>
              </w:rPr>
              <w:t>海康威视</w:t>
            </w:r>
            <w:proofErr w:type="gramEnd"/>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363,291</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6,154,149.54</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1.79</w:t>
            </w:r>
          </w:p>
        </w:tc>
      </w:tr>
      <w:tr w:rsidR="00123E15" w:rsidTr="001976B4">
        <w:tc>
          <w:tcPr>
            <w:tcW w:w="905" w:type="dxa"/>
            <w:tcBorders>
              <w:top w:val="single" w:sz="8" w:space="0" w:color="000000"/>
              <w:left w:val="single" w:sz="8" w:space="0" w:color="000000"/>
              <w:bottom w:val="single" w:sz="8" w:space="0" w:color="000000"/>
              <w:right w:val="single" w:sz="8" w:space="0" w:color="000000"/>
            </w:tcBorders>
            <w:vAlign w:val="center"/>
          </w:tcPr>
          <w:p w:rsidR="00123E15" w:rsidRDefault="00123E15" w:rsidP="00123E15">
            <w:pPr>
              <w:autoSpaceDE w:val="0"/>
              <w:autoSpaceDN w:val="0"/>
              <w:adjustRightInd w:val="0"/>
              <w:spacing w:before="29" w:line="288" w:lineRule="auto"/>
              <w:ind w:left="15"/>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color w:val="000000"/>
                <w:kern w:val="0"/>
                <w:sz w:val="24"/>
              </w:rPr>
              <w:t>600872</w:t>
            </w:r>
          </w:p>
        </w:tc>
        <w:tc>
          <w:tcPr>
            <w:tcW w:w="1338"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中</w:t>
            </w:r>
            <w:proofErr w:type="gramStart"/>
            <w:r w:rsidRPr="002E12E3">
              <w:rPr>
                <w:rFonts w:hint="eastAsia"/>
                <w:color w:val="000000"/>
                <w:kern w:val="0"/>
                <w:sz w:val="24"/>
              </w:rPr>
              <w:t>炬</w:t>
            </w:r>
            <w:proofErr w:type="gramEnd"/>
            <w:r w:rsidRPr="002E12E3">
              <w:rPr>
                <w:rFonts w:hint="eastAsia"/>
                <w:color w:val="000000"/>
                <w:kern w:val="0"/>
                <w:sz w:val="24"/>
              </w:rPr>
              <w:t>高新</w:t>
            </w:r>
          </w:p>
        </w:tc>
        <w:tc>
          <w:tcPr>
            <w:tcW w:w="1735"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550,000</w:t>
            </w:r>
          </w:p>
        </w:tc>
        <w:tc>
          <w:tcPr>
            <w:tcW w:w="1784"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5,868,500.00</w:t>
            </w:r>
          </w:p>
        </w:tc>
        <w:tc>
          <w:tcPr>
            <w:tcW w:w="1601" w:type="dxa"/>
            <w:tcBorders>
              <w:top w:val="single" w:sz="8" w:space="0" w:color="000000"/>
              <w:left w:val="single" w:sz="8" w:space="0" w:color="000000"/>
              <w:bottom w:val="single" w:sz="8" w:space="0" w:color="000000"/>
              <w:right w:val="single" w:sz="8" w:space="0" w:color="000000"/>
            </w:tcBorders>
          </w:tcPr>
          <w:p w:rsidR="00123E15" w:rsidRDefault="002E12E3" w:rsidP="00123E15">
            <w:pPr>
              <w:autoSpaceDE w:val="0"/>
              <w:autoSpaceDN w:val="0"/>
              <w:adjustRightInd w:val="0"/>
              <w:spacing w:before="29" w:line="288" w:lineRule="auto"/>
              <w:ind w:left="15"/>
              <w:jc w:val="right"/>
              <w:rPr>
                <w:color w:val="000000"/>
                <w:kern w:val="0"/>
                <w:sz w:val="24"/>
              </w:rPr>
            </w:pPr>
            <w:r w:rsidRPr="002E12E3">
              <w:rPr>
                <w:color w:val="000000"/>
                <w:kern w:val="0"/>
                <w:sz w:val="24"/>
              </w:rPr>
              <w:t>1.71</w:t>
            </w:r>
          </w:p>
        </w:tc>
      </w:tr>
    </w:tbl>
    <w:p w:rsidR="00B67D8A" w:rsidRDefault="00B67D8A">
      <w:pPr>
        <w:spacing w:line="360" w:lineRule="auto"/>
        <w:ind w:firstLineChars="200" w:firstLine="480"/>
        <w:rPr>
          <w:sz w:val="24"/>
        </w:rPr>
      </w:pPr>
    </w:p>
    <w:p w:rsidR="00B67D8A" w:rsidRDefault="00B67D8A">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0" w:type="auto"/>
        <w:tblInd w:w="108" w:type="dxa"/>
        <w:tblLayout w:type="fixed"/>
        <w:tblLook w:val="0000" w:firstRow="0" w:lastRow="0" w:firstColumn="0" w:lastColumn="0" w:noHBand="0" w:noVBand="0"/>
      </w:tblPr>
      <w:tblGrid>
        <w:gridCol w:w="921"/>
        <w:gridCol w:w="3399"/>
        <w:gridCol w:w="2463"/>
        <w:gridCol w:w="1965"/>
      </w:tblGrid>
      <w:tr w:rsidR="00B67D8A">
        <w:tc>
          <w:tcPr>
            <w:tcW w:w="921"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3399"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kern w:val="0"/>
                <w:sz w:val="24"/>
              </w:rPr>
            </w:pPr>
            <w:r>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8,845,200.00</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2.58</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20,004,000.00</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5.83</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20,004,000.00</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5.83</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15,837,226.74</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4.62</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企业短期融资</w:t>
            </w:r>
            <w:proofErr w:type="gramStart"/>
            <w:r>
              <w:rPr>
                <w:rFonts w:hint="eastAsia"/>
                <w:color w:val="000000"/>
                <w:kern w:val="0"/>
                <w:sz w:val="24"/>
              </w:rPr>
              <w:t>券</w:t>
            </w:r>
            <w:proofErr w:type="gramEnd"/>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50,618,000.00</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14.75</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lastRenderedPageBreak/>
              <w:t>6</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可转债</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73,732,809.00</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21.49</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8</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E67C2E" w:rsidTr="001976B4">
        <w:tc>
          <w:tcPr>
            <w:tcW w:w="921"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169,037,235.74</w:t>
            </w:r>
          </w:p>
        </w:tc>
        <w:tc>
          <w:tcPr>
            <w:tcW w:w="1965"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49.26</w:t>
            </w:r>
          </w:p>
        </w:tc>
      </w:tr>
    </w:tbl>
    <w:p w:rsidR="00B67D8A" w:rsidRDefault="00B67D8A">
      <w:pPr>
        <w:spacing w:line="360" w:lineRule="auto"/>
        <w:ind w:firstLineChars="200" w:firstLine="480"/>
        <w:rPr>
          <w:sz w:val="24"/>
        </w:rPr>
      </w:pPr>
    </w:p>
    <w:p w:rsidR="00B67D8A" w:rsidRDefault="00B67D8A">
      <w:pPr>
        <w:spacing w:line="360" w:lineRule="auto"/>
        <w:ind w:firstLineChars="200" w:firstLine="480"/>
        <w:rPr>
          <w:sz w:val="24"/>
        </w:rPr>
      </w:pPr>
      <w:r>
        <w:rPr>
          <w:sz w:val="24"/>
        </w:rPr>
        <w:t>5</w:t>
      </w:r>
      <w:r>
        <w:rPr>
          <w:rFonts w:hint="eastAsia"/>
          <w:sz w:val="24"/>
        </w:rPr>
        <w:t>、</w:t>
      </w:r>
      <w:r>
        <w:rPr>
          <w:sz w:val="24"/>
        </w:rPr>
        <w:t>报告期末按公允价值占基金资产净值比例大小</w:t>
      </w:r>
      <w:r w:rsidR="00A141C0">
        <w:rPr>
          <w:sz w:val="24"/>
        </w:rPr>
        <w:t>排</w:t>
      </w:r>
      <w:r w:rsidR="00A141C0">
        <w:rPr>
          <w:rFonts w:hint="eastAsia"/>
          <w:sz w:val="24"/>
        </w:rPr>
        <w:t>序</w:t>
      </w:r>
      <w:r>
        <w:rPr>
          <w:sz w:val="24"/>
        </w:rPr>
        <w:t>的前五名债券投资明细</w:t>
      </w:r>
    </w:p>
    <w:tbl>
      <w:tblPr>
        <w:tblW w:w="0" w:type="auto"/>
        <w:tblInd w:w="108" w:type="dxa"/>
        <w:tblLayout w:type="fixed"/>
        <w:tblLook w:val="0000" w:firstRow="0" w:lastRow="0" w:firstColumn="0" w:lastColumn="0" w:noHBand="0" w:noVBand="0"/>
      </w:tblPr>
      <w:tblGrid>
        <w:gridCol w:w="897"/>
        <w:gridCol w:w="1316"/>
        <w:gridCol w:w="1733"/>
        <w:gridCol w:w="1437"/>
        <w:gridCol w:w="1782"/>
        <w:gridCol w:w="1583"/>
      </w:tblGrid>
      <w:tr w:rsidR="00B67D8A">
        <w:tc>
          <w:tcPr>
            <w:tcW w:w="897"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316"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E67C2E" w:rsidTr="001976B4">
        <w:tc>
          <w:tcPr>
            <w:tcW w:w="897"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kern w:val="0"/>
                <w:sz w:val="24"/>
              </w:rPr>
            </w:pPr>
            <w:r>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110020</w:t>
            </w:r>
          </w:p>
        </w:tc>
        <w:tc>
          <w:tcPr>
            <w:tcW w:w="173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南山转债</w:t>
            </w:r>
          </w:p>
        </w:tc>
        <w:tc>
          <w:tcPr>
            <w:tcW w:w="1437"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270,000</w:t>
            </w:r>
          </w:p>
        </w:tc>
        <w:tc>
          <w:tcPr>
            <w:tcW w:w="1782"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25,660,800.00</w:t>
            </w:r>
          </w:p>
        </w:tc>
        <w:tc>
          <w:tcPr>
            <w:tcW w:w="158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7.48</w:t>
            </w:r>
          </w:p>
        </w:tc>
      </w:tr>
      <w:tr w:rsidR="00E67C2E" w:rsidTr="001976B4">
        <w:tc>
          <w:tcPr>
            <w:tcW w:w="897"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110023</w:t>
            </w:r>
          </w:p>
        </w:tc>
        <w:tc>
          <w:tcPr>
            <w:tcW w:w="173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rFonts w:hint="eastAsia"/>
                <w:color w:val="000000"/>
                <w:kern w:val="0"/>
                <w:sz w:val="24"/>
              </w:rPr>
              <w:t>民生转债</w:t>
            </w:r>
          </w:p>
        </w:tc>
        <w:tc>
          <w:tcPr>
            <w:tcW w:w="1437"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268,510</w:t>
            </w:r>
          </w:p>
        </w:tc>
        <w:tc>
          <w:tcPr>
            <w:tcW w:w="1782"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24,917,728.00</w:t>
            </w:r>
          </w:p>
        </w:tc>
        <w:tc>
          <w:tcPr>
            <w:tcW w:w="158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7.26</w:t>
            </w:r>
          </w:p>
        </w:tc>
      </w:tr>
      <w:tr w:rsidR="00E67C2E" w:rsidTr="001976B4">
        <w:tc>
          <w:tcPr>
            <w:tcW w:w="897"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041356025</w:t>
            </w:r>
          </w:p>
        </w:tc>
        <w:tc>
          <w:tcPr>
            <w:tcW w:w="173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13</w:t>
            </w:r>
            <w:r w:rsidRPr="002E12E3">
              <w:rPr>
                <w:rFonts w:hint="eastAsia"/>
                <w:color w:val="000000"/>
                <w:kern w:val="0"/>
                <w:sz w:val="24"/>
              </w:rPr>
              <w:t>美克</w:t>
            </w:r>
            <w:r w:rsidRPr="002E12E3">
              <w:rPr>
                <w:color w:val="000000"/>
                <w:kern w:val="0"/>
                <w:sz w:val="24"/>
              </w:rPr>
              <w:t>CP001</w:t>
            </w:r>
          </w:p>
        </w:tc>
        <w:tc>
          <w:tcPr>
            <w:tcW w:w="1437"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200,000</w:t>
            </w:r>
          </w:p>
        </w:tc>
        <w:tc>
          <w:tcPr>
            <w:tcW w:w="1782"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20,264,000.00</w:t>
            </w:r>
          </w:p>
        </w:tc>
        <w:tc>
          <w:tcPr>
            <w:tcW w:w="158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5.91</w:t>
            </w:r>
          </w:p>
        </w:tc>
      </w:tr>
      <w:tr w:rsidR="00E67C2E" w:rsidTr="001976B4">
        <w:tc>
          <w:tcPr>
            <w:tcW w:w="897"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4</w:t>
            </w:r>
          </w:p>
        </w:tc>
        <w:tc>
          <w:tcPr>
            <w:tcW w:w="1316"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041359073</w:t>
            </w:r>
          </w:p>
        </w:tc>
        <w:tc>
          <w:tcPr>
            <w:tcW w:w="173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13</w:t>
            </w:r>
            <w:r w:rsidRPr="002E12E3">
              <w:rPr>
                <w:rFonts w:hint="eastAsia"/>
                <w:color w:val="000000"/>
                <w:kern w:val="0"/>
                <w:sz w:val="24"/>
              </w:rPr>
              <w:t>雏鹰</w:t>
            </w:r>
            <w:r w:rsidRPr="002E12E3">
              <w:rPr>
                <w:color w:val="000000"/>
                <w:kern w:val="0"/>
                <w:sz w:val="24"/>
              </w:rPr>
              <w:t>CP002</w:t>
            </w:r>
          </w:p>
        </w:tc>
        <w:tc>
          <w:tcPr>
            <w:tcW w:w="1437"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200,000</w:t>
            </w:r>
          </w:p>
        </w:tc>
        <w:tc>
          <w:tcPr>
            <w:tcW w:w="1782"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20,220,000.00</w:t>
            </w:r>
          </w:p>
        </w:tc>
        <w:tc>
          <w:tcPr>
            <w:tcW w:w="158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5.89</w:t>
            </w:r>
          </w:p>
        </w:tc>
      </w:tr>
      <w:tr w:rsidR="00E67C2E" w:rsidTr="001976B4">
        <w:tc>
          <w:tcPr>
            <w:tcW w:w="897" w:type="dxa"/>
            <w:tcBorders>
              <w:top w:val="single" w:sz="8" w:space="0" w:color="000000"/>
              <w:left w:val="single" w:sz="8" w:space="0" w:color="000000"/>
              <w:bottom w:val="single" w:sz="8" w:space="0" w:color="000000"/>
              <w:right w:val="single" w:sz="8" w:space="0" w:color="000000"/>
            </w:tcBorders>
            <w:vAlign w:val="center"/>
          </w:tcPr>
          <w:p w:rsidR="00E67C2E" w:rsidRDefault="00E67C2E" w:rsidP="00E67C2E">
            <w:pPr>
              <w:autoSpaceDE w:val="0"/>
              <w:autoSpaceDN w:val="0"/>
              <w:adjustRightInd w:val="0"/>
              <w:spacing w:before="29" w:line="288" w:lineRule="auto"/>
              <w:ind w:left="15"/>
              <w:jc w:val="center"/>
              <w:rPr>
                <w:color w:val="000000"/>
                <w:sz w:val="24"/>
              </w:rPr>
            </w:pPr>
            <w:r>
              <w:rPr>
                <w:color w:val="000000"/>
                <w:sz w:val="24"/>
              </w:rPr>
              <w:t>5</w:t>
            </w:r>
          </w:p>
        </w:tc>
        <w:tc>
          <w:tcPr>
            <w:tcW w:w="1316"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130236</w:t>
            </w:r>
          </w:p>
        </w:tc>
        <w:tc>
          <w:tcPr>
            <w:tcW w:w="173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center"/>
              <w:rPr>
                <w:color w:val="000000"/>
                <w:kern w:val="0"/>
                <w:sz w:val="24"/>
              </w:rPr>
            </w:pPr>
            <w:r w:rsidRPr="002E12E3">
              <w:rPr>
                <w:color w:val="000000"/>
                <w:kern w:val="0"/>
                <w:sz w:val="24"/>
              </w:rPr>
              <w:t>13</w:t>
            </w:r>
            <w:r w:rsidRPr="002E12E3">
              <w:rPr>
                <w:rFonts w:hint="eastAsia"/>
                <w:color w:val="000000"/>
                <w:kern w:val="0"/>
                <w:sz w:val="24"/>
              </w:rPr>
              <w:t>国开</w:t>
            </w:r>
            <w:r w:rsidRPr="002E12E3">
              <w:rPr>
                <w:color w:val="000000"/>
                <w:kern w:val="0"/>
                <w:sz w:val="24"/>
              </w:rPr>
              <w:t>36</w:t>
            </w:r>
          </w:p>
        </w:tc>
        <w:tc>
          <w:tcPr>
            <w:tcW w:w="1437"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200,000</w:t>
            </w:r>
          </w:p>
        </w:tc>
        <w:tc>
          <w:tcPr>
            <w:tcW w:w="1782"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20,004,000.00</w:t>
            </w:r>
          </w:p>
        </w:tc>
        <w:tc>
          <w:tcPr>
            <w:tcW w:w="1583" w:type="dxa"/>
            <w:tcBorders>
              <w:top w:val="single" w:sz="8" w:space="0" w:color="000000"/>
              <w:left w:val="single" w:sz="8" w:space="0" w:color="000000"/>
              <w:bottom w:val="single" w:sz="8" w:space="0" w:color="000000"/>
              <w:right w:val="single" w:sz="8" w:space="0" w:color="000000"/>
            </w:tcBorders>
          </w:tcPr>
          <w:p w:rsidR="00E67C2E" w:rsidRDefault="002E12E3" w:rsidP="00E67C2E">
            <w:pPr>
              <w:autoSpaceDE w:val="0"/>
              <w:autoSpaceDN w:val="0"/>
              <w:adjustRightInd w:val="0"/>
              <w:spacing w:before="29" w:line="288" w:lineRule="auto"/>
              <w:ind w:left="15"/>
              <w:jc w:val="right"/>
              <w:rPr>
                <w:color w:val="000000"/>
                <w:kern w:val="0"/>
                <w:sz w:val="24"/>
              </w:rPr>
            </w:pPr>
            <w:r w:rsidRPr="002E12E3">
              <w:rPr>
                <w:color w:val="000000"/>
                <w:kern w:val="0"/>
                <w:sz w:val="24"/>
              </w:rPr>
              <w:t>5.83</w:t>
            </w:r>
          </w:p>
        </w:tc>
      </w:tr>
    </w:tbl>
    <w:p w:rsidR="00B67D8A" w:rsidRDefault="00B67D8A">
      <w:pPr>
        <w:spacing w:line="360" w:lineRule="auto"/>
        <w:ind w:firstLineChars="200" w:firstLine="480"/>
        <w:rPr>
          <w:sz w:val="24"/>
        </w:rPr>
      </w:pPr>
    </w:p>
    <w:p w:rsidR="00B67D8A" w:rsidRDefault="00B67D8A">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sidR="007C63F9">
        <w:rPr>
          <w:rFonts w:hint="eastAsia"/>
          <w:sz w:val="24"/>
        </w:rPr>
        <w:t>序</w:t>
      </w:r>
      <w:r>
        <w:rPr>
          <w:sz w:val="24"/>
        </w:rPr>
        <w:t>的前十名资产支持证券投资明细</w:t>
      </w:r>
    </w:p>
    <w:p w:rsidR="00B67D8A" w:rsidRDefault="00B67D8A">
      <w:pPr>
        <w:spacing w:line="360" w:lineRule="auto"/>
        <w:ind w:firstLineChars="200" w:firstLine="480"/>
        <w:rPr>
          <w:sz w:val="24"/>
        </w:rPr>
      </w:pPr>
      <w:r>
        <w:rPr>
          <w:rFonts w:hint="eastAsia"/>
          <w:sz w:val="24"/>
        </w:rPr>
        <w:t>本基金本报告期末未持有资产支持证券。</w:t>
      </w:r>
    </w:p>
    <w:p w:rsidR="00B67D8A" w:rsidRDefault="00B67D8A">
      <w:pPr>
        <w:spacing w:line="360" w:lineRule="auto"/>
        <w:ind w:firstLineChars="200" w:firstLine="480"/>
        <w:rPr>
          <w:sz w:val="24"/>
        </w:rPr>
      </w:pPr>
    </w:p>
    <w:p w:rsidR="002E12E3" w:rsidRPr="002E12E3" w:rsidRDefault="00B67D8A" w:rsidP="002E12E3">
      <w:pPr>
        <w:autoSpaceDE w:val="0"/>
        <w:autoSpaceDN w:val="0"/>
        <w:adjustRightInd w:val="0"/>
        <w:spacing w:before="29" w:line="288" w:lineRule="auto"/>
        <w:ind w:firstLineChars="200" w:firstLine="480"/>
        <w:jc w:val="left"/>
        <w:rPr>
          <w:sz w:val="24"/>
        </w:rPr>
      </w:pPr>
      <w:r>
        <w:rPr>
          <w:sz w:val="24"/>
        </w:rPr>
        <w:t>7</w:t>
      </w:r>
      <w:r>
        <w:rPr>
          <w:rFonts w:hint="eastAsia"/>
          <w:sz w:val="24"/>
        </w:rPr>
        <w:t>、</w:t>
      </w:r>
      <w:r w:rsidR="002E12E3" w:rsidRPr="002E12E3">
        <w:rPr>
          <w:sz w:val="24"/>
        </w:rPr>
        <w:t>报告期末按公允价值占基金资产净值比例大小排序的前五名贵金属投资明细</w:t>
      </w:r>
    </w:p>
    <w:p w:rsidR="00B67D8A" w:rsidRDefault="00D11A48" w:rsidP="00D11A48">
      <w:pPr>
        <w:spacing w:line="360" w:lineRule="auto"/>
        <w:ind w:firstLineChars="200" w:firstLine="480"/>
        <w:rPr>
          <w:sz w:val="24"/>
        </w:rPr>
      </w:pPr>
      <w:r w:rsidRPr="00D11A48">
        <w:rPr>
          <w:sz w:val="24"/>
        </w:rPr>
        <w:t>本基金本报告期末未持有贵金属。</w:t>
      </w:r>
    </w:p>
    <w:p w:rsidR="00B67D8A" w:rsidRDefault="00B67D8A">
      <w:pPr>
        <w:spacing w:line="360" w:lineRule="auto"/>
        <w:ind w:firstLineChars="200" w:firstLine="480"/>
        <w:rPr>
          <w:sz w:val="24"/>
        </w:rPr>
      </w:pPr>
    </w:p>
    <w:p w:rsidR="002E12E3" w:rsidRPr="002E12E3" w:rsidRDefault="00B67D8A" w:rsidP="002E12E3">
      <w:pPr>
        <w:autoSpaceDE w:val="0"/>
        <w:autoSpaceDN w:val="0"/>
        <w:adjustRightInd w:val="0"/>
        <w:spacing w:before="29" w:line="288" w:lineRule="auto"/>
        <w:ind w:firstLineChars="200" w:firstLine="480"/>
        <w:jc w:val="left"/>
        <w:rPr>
          <w:sz w:val="24"/>
        </w:rPr>
      </w:pPr>
      <w:r>
        <w:rPr>
          <w:sz w:val="24"/>
        </w:rPr>
        <w:t>8</w:t>
      </w:r>
      <w:r>
        <w:rPr>
          <w:rFonts w:hint="eastAsia"/>
          <w:sz w:val="24"/>
        </w:rPr>
        <w:t>、</w:t>
      </w:r>
      <w:r w:rsidR="002E12E3" w:rsidRPr="002E12E3">
        <w:rPr>
          <w:rFonts w:hint="eastAsia"/>
          <w:sz w:val="24"/>
        </w:rPr>
        <w:t>报告期末按公允价值占基金资产净值比例大小排序的前五名权证投资明细</w:t>
      </w:r>
    </w:p>
    <w:p w:rsidR="002E12E3" w:rsidRPr="002E12E3" w:rsidRDefault="002E12E3" w:rsidP="002E12E3">
      <w:pPr>
        <w:autoSpaceDE w:val="0"/>
        <w:autoSpaceDN w:val="0"/>
        <w:adjustRightInd w:val="0"/>
        <w:spacing w:before="29" w:line="288" w:lineRule="auto"/>
        <w:ind w:firstLineChars="200" w:firstLine="480"/>
        <w:jc w:val="left"/>
        <w:rPr>
          <w:sz w:val="24"/>
        </w:rPr>
      </w:pPr>
      <w:r w:rsidRPr="002E12E3">
        <w:rPr>
          <w:rFonts w:hint="eastAsia"/>
          <w:sz w:val="24"/>
        </w:rPr>
        <w:t>本基金本报告期末未持有权证。</w:t>
      </w:r>
    </w:p>
    <w:p w:rsidR="00B67D8A" w:rsidRDefault="00B67D8A" w:rsidP="000E1D40">
      <w:pPr>
        <w:spacing w:line="360" w:lineRule="auto"/>
        <w:ind w:firstLineChars="200" w:firstLine="480"/>
        <w:rPr>
          <w:sz w:val="24"/>
        </w:rPr>
      </w:pPr>
    </w:p>
    <w:p w:rsidR="002E12E3" w:rsidRPr="002E12E3" w:rsidRDefault="00B67D8A" w:rsidP="002E12E3">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w:t>
      </w:r>
      <w:r w:rsidR="002E12E3" w:rsidRPr="002E12E3">
        <w:rPr>
          <w:rFonts w:hint="eastAsia"/>
          <w:sz w:val="24"/>
        </w:rPr>
        <w:t>报告期末本基金投资的股指期货交易情况说明</w:t>
      </w:r>
    </w:p>
    <w:p w:rsidR="002E12E3" w:rsidRPr="002E12E3" w:rsidRDefault="002E12E3" w:rsidP="002E12E3">
      <w:pPr>
        <w:autoSpaceDE w:val="0"/>
        <w:autoSpaceDN w:val="0"/>
        <w:adjustRightInd w:val="0"/>
        <w:spacing w:before="29" w:line="288" w:lineRule="auto"/>
        <w:ind w:firstLineChars="200" w:firstLine="480"/>
        <w:jc w:val="left"/>
        <w:rPr>
          <w:sz w:val="24"/>
        </w:rPr>
      </w:pPr>
      <w:r w:rsidRPr="002E12E3">
        <w:rPr>
          <w:rFonts w:hint="eastAsia"/>
          <w:sz w:val="24"/>
        </w:rPr>
        <w:t>本基金本报告期末未持有股指期货。</w:t>
      </w:r>
    </w:p>
    <w:p w:rsidR="00D11A48" w:rsidRDefault="00D11A48" w:rsidP="00D11A48">
      <w:pPr>
        <w:autoSpaceDE w:val="0"/>
        <w:autoSpaceDN w:val="0"/>
        <w:adjustRightInd w:val="0"/>
        <w:spacing w:before="29" w:line="288" w:lineRule="auto"/>
        <w:jc w:val="left"/>
        <w:rPr>
          <w:color w:val="000000"/>
          <w:sz w:val="24"/>
          <w:szCs w:val="24"/>
        </w:rPr>
      </w:pPr>
    </w:p>
    <w:p w:rsidR="002E12E3" w:rsidRPr="002E12E3" w:rsidRDefault="00D11A48" w:rsidP="002E12E3">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sidR="002E12E3" w:rsidRPr="002E12E3">
        <w:rPr>
          <w:rFonts w:hint="eastAsia"/>
          <w:sz w:val="24"/>
        </w:rPr>
        <w:t>报告期末本基金投资的国债期货交易情况说明</w:t>
      </w:r>
    </w:p>
    <w:p w:rsidR="002E12E3" w:rsidRPr="002E12E3" w:rsidRDefault="002E12E3" w:rsidP="002E12E3">
      <w:pPr>
        <w:autoSpaceDE w:val="0"/>
        <w:autoSpaceDN w:val="0"/>
        <w:adjustRightInd w:val="0"/>
        <w:spacing w:before="29" w:line="288" w:lineRule="auto"/>
        <w:ind w:firstLineChars="200" w:firstLine="480"/>
        <w:jc w:val="left"/>
        <w:rPr>
          <w:sz w:val="24"/>
        </w:rPr>
      </w:pPr>
      <w:r w:rsidRPr="002E12E3">
        <w:rPr>
          <w:rFonts w:hint="eastAsia"/>
          <w:sz w:val="24"/>
        </w:rPr>
        <w:t>本基金本报告期末未持有国债期货。</w:t>
      </w:r>
    </w:p>
    <w:p w:rsidR="00D11A48" w:rsidRPr="00D11A48" w:rsidRDefault="00D11A48" w:rsidP="00D11A48">
      <w:pPr>
        <w:autoSpaceDE w:val="0"/>
        <w:autoSpaceDN w:val="0"/>
        <w:adjustRightInd w:val="0"/>
        <w:spacing w:before="29" w:line="288" w:lineRule="auto"/>
        <w:jc w:val="left"/>
        <w:rPr>
          <w:color w:val="000000"/>
          <w:sz w:val="24"/>
          <w:szCs w:val="24"/>
        </w:rPr>
      </w:pPr>
    </w:p>
    <w:p w:rsidR="00B67D8A" w:rsidRDefault="00B67D8A">
      <w:pPr>
        <w:spacing w:line="360" w:lineRule="auto"/>
        <w:ind w:firstLineChars="200" w:firstLine="480"/>
        <w:rPr>
          <w:sz w:val="24"/>
        </w:rPr>
      </w:pPr>
      <w:r>
        <w:rPr>
          <w:rFonts w:hint="eastAsia"/>
          <w:sz w:val="24"/>
        </w:rPr>
        <w:lastRenderedPageBreak/>
        <w:t>1</w:t>
      </w:r>
      <w:r w:rsidR="00CC2A6F">
        <w:rPr>
          <w:rFonts w:hint="eastAsia"/>
          <w:sz w:val="24"/>
        </w:rPr>
        <w:t>1</w:t>
      </w:r>
      <w:r>
        <w:rPr>
          <w:rFonts w:hint="eastAsia"/>
          <w:sz w:val="24"/>
        </w:rPr>
        <w:t>、</w:t>
      </w:r>
      <w:r>
        <w:rPr>
          <w:sz w:val="24"/>
        </w:rPr>
        <w:t>投资组合报告附注</w:t>
      </w:r>
    </w:p>
    <w:p w:rsidR="00B67D8A" w:rsidRDefault="00B67D8A">
      <w:pPr>
        <w:spacing w:line="360" w:lineRule="auto"/>
        <w:ind w:firstLineChars="200" w:firstLine="480"/>
        <w:rPr>
          <w:color w:val="000000"/>
          <w:kern w:val="0"/>
          <w:sz w:val="24"/>
        </w:rPr>
      </w:pPr>
      <w:r>
        <w:rPr>
          <w:rFonts w:hint="eastAsia"/>
          <w:sz w:val="24"/>
        </w:rPr>
        <w:t>1</w:t>
      </w:r>
      <w:r w:rsidR="00CE3B1B">
        <w:rPr>
          <w:rFonts w:hint="eastAsia"/>
          <w:sz w:val="24"/>
        </w:rPr>
        <w:t>1</w:t>
      </w:r>
      <w:r>
        <w:rPr>
          <w:rFonts w:hint="eastAsia"/>
          <w:sz w:val="24"/>
        </w:rPr>
        <w:t>.1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B67D8A" w:rsidRDefault="00CC2A6F">
      <w:pPr>
        <w:spacing w:line="360" w:lineRule="auto"/>
        <w:ind w:firstLineChars="200" w:firstLine="480"/>
        <w:rPr>
          <w:color w:val="000000"/>
          <w:kern w:val="0"/>
          <w:sz w:val="24"/>
        </w:rPr>
      </w:pPr>
      <w:r>
        <w:rPr>
          <w:rFonts w:hint="eastAsia"/>
          <w:sz w:val="24"/>
        </w:rPr>
        <w:t>11</w:t>
      </w:r>
      <w:r w:rsidR="00B67D8A">
        <w:rPr>
          <w:rFonts w:hint="eastAsia"/>
          <w:sz w:val="24"/>
        </w:rPr>
        <w:t>.2</w:t>
      </w:r>
      <w:r w:rsidR="00B67D8A">
        <w:rPr>
          <w:rFonts w:hint="eastAsia"/>
          <w:color w:val="000000"/>
          <w:kern w:val="0"/>
          <w:sz w:val="24"/>
        </w:rPr>
        <w:t>本基金投资的前十名股票中，没有超出基金合同规定的备选股票库之外的股票。</w:t>
      </w:r>
    </w:p>
    <w:p w:rsidR="00B67D8A" w:rsidRDefault="00CC2A6F">
      <w:pPr>
        <w:spacing w:line="360" w:lineRule="auto"/>
        <w:ind w:firstLineChars="200" w:firstLine="480"/>
        <w:rPr>
          <w:sz w:val="24"/>
        </w:rPr>
      </w:pPr>
      <w:r>
        <w:rPr>
          <w:rFonts w:hint="eastAsia"/>
          <w:sz w:val="24"/>
        </w:rPr>
        <w:t>11</w:t>
      </w:r>
      <w:r w:rsidR="00B67D8A">
        <w:rPr>
          <w:rFonts w:hint="eastAsia"/>
          <w:sz w:val="24"/>
        </w:rPr>
        <w:t xml:space="preserve">.3 </w:t>
      </w:r>
      <w:r w:rsidR="00B67D8A">
        <w:rPr>
          <w:rFonts w:hint="eastAsia"/>
          <w:sz w:val="24"/>
        </w:rPr>
        <w:t>其他资产构成</w:t>
      </w:r>
    </w:p>
    <w:tbl>
      <w:tblPr>
        <w:tblW w:w="0" w:type="auto"/>
        <w:tblInd w:w="108" w:type="dxa"/>
        <w:tblLayout w:type="fixed"/>
        <w:tblLook w:val="0000" w:firstRow="0" w:lastRow="0" w:firstColumn="0" w:lastColumn="0" w:noHBand="0" w:noVBand="0"/>
      </w:tblPr>
      <w:tblGrid>
        <w:gridCol w:w="928"/>
        <w:gridCol w:w="3434"/>
        <w:gridCol w:w="4386"/>
      </w:tblGrid>
      <w:tr w:rsidR="00B67D8A">
        <w:tc>
          <w:tcPr>
            <w:tcW w:w="92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343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名称</w:t>
            </w:r>
          </w:p>
        </w:tc>
        <w:tc>
          <w:tcPr>
            <w:tcW w:w="4386"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金额（元）</w:t>
            </w:r>
          </w:p>
        </w:tc>
      </w:tr>
      <w:tr w:rsidR="00485D76" w:rsidTr="00E03742">
        <w:tc>
          <w:tcPr>
            <w:tcW w:w="928"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rPr>
              <w:t>1</w:t>
            </w:r>
          </w:p>
        </w:tc>
        <w:tc>
          <w:tcPr>
            <w:tcW w:w="343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存出保证金</w:t>
            </w:r>
          </w:p>
        </w:tc>
        <w:tc>
          <w:tcPr>
            <w:tcW w:w="4386" w:type="dxa"/>
            <w:tcBorders>
              <w:top w:val="single" w:sz="8" w:space="0" w:color="000000"/>
              <w:left w:val="single" w:sz="8" w:space="0" w:color="000000"/>
              <w:bottom w:val="single" w:sz="8" w:space="0" w:color="000000"/>
              <w:right w:val="single" w:sz="8" w:space="0" w:color="000000"/>
            </w:tcBorders>
          </w:tcPr>
          <w:p w:rsidR="00485D76" w:rsidRDefault="002E12E3" w:rsidP="00485D76">
            <w:pPr>
              <w:autoSpaceDE w:val="0"/>
              <w:autoSpaceDN w:val="0"/>
              <w:adjustRightInd w:val="0"/>
              <w:spacing w:before="29" w:line="288" w:lineRule="auto"/>
              <w:ind w:left="15"/>
              <w:jc w:val="right"/>
              <w:rPr>
                <w:color w:val="000000"/>
                <w:kern w:val="0"/>
                <w:sz w:val="24"/>
              </w:rPr>
            </w:pPr>
            <w:r w:rsidRPr="002E12E3">
              <w:rPr>
                <w:color w:val="000000"/>
                <w:kern w:val="0"/>
                <w:sz w:val="24"/>
              </w:rPr>
              <w:t>169,163.80</w:t>
            </w:r>
          </w:p>
        </w:tc>
      </w:tr>
      <w:tr w:rsidR="00485D76" w:rsidTr="00E03742">
        <w:tc>
          <w:tcPr>
            <w:tcW w:w="928"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2</w:t>
            </w:r>
          </w:p>
        </w:tc>
        <w:tc>
          <w:tcPr>
            <w:tcW w:w="343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应收证券清算款</w:t>
            </w:r>
          </w:p>
        </w:tc>
        <w:tc>
          <w:tcPr>
            <w:tcW w:w="4386" w:type="dxa"/>
            <w:tcBorders>
              <w:top w:val="single" w:sz="8" w:space="0" w:color="000000"/>
              <w:left w:val="single" w:sz="8" w:space="0" w:color="000000"/>
              <w:bottom w:val="single" w:sz="8" w:space="0" w:color="000000"/>
              <w:right w:val="single" w:sz="8" w:space="0" w:color="000000"/>
            </w:tcBorders>
          </w:tcPr>
          <w:p w:rsidR="00485D76" w:rsidRDefault="002E12E3" w:rsidP="00485D76">
            <w:pPr>
              <w:autoSpaceDE w:val="0"/>
              <w:autoSpaceDN w:val="0"/>
              <w:adjustRightInd w:val="0"/>
              <w:spacing w:before="29" w:line="288" w:lineRule="auto"/>
              <w:ind w:left="15"/>
              <w:jc w:val="right"/>
              <w:rPr>
                <w:color w:val="000000"/>
                <w:kern w:val="0"/>
                <w:sz w:val="24"/>
              </w:rPr>
            </w:pPr>
            <w:r w:rsidRPr="002E12E3">
              <w:rPr>
                <w:color w:val="000000"/>
                <w:kern w:val="0"/>
                <w:sz w:val="24"/>
              </w:rPr>
              <w:t>1,983,780.70</w:t>
            </w:r>
          </w:p>
        </w:tc>
      </w:tr>
      <w:tr w:rsidR="00485D76" w:rsidTr="00E03742">
        <w:tc>
          <w:tcPr>
            <w:tcW w:w="928"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3</w:t>
            </w:r>
          </w:p>
        </w:tc>
        <w:tc>
          <w:tcPr>
            <w:tcW w:w="343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应收股利</w:t>
            </w:r>
          </w:p>
        </w:tc>
        <w:tc>
          <w:tcPr>
            <w:tcW w:w="4386" w:type="dxa"/>
            <w:tcBorders>
              <w:top w:val="single" w:sz="8" w:space="0" w:color="000000"/>
              <w:left w:val="single" w:sz="8" w:space="0" w:color="000000"/>
              <w:bottom w:val="single" w:sz="8" w:space="0" w:color="000000"/>
              <w:right w:val="single" w:sz="8" w:space="0" w:color="000000"/>
            </w:tcBorders>
          </w:tcPr>
          <w:p w:rsidR="00485D76" w:rsidRDefault="002E12E3" w:rsidP="00485D76">
            <w:pPr>
              <w:autoSpaceDE w:val="0"/>
              <w:autoSpaceDN w:val="0"/>
              <w:adjustRightInd w:val="0"/>
              <w:spacing w:before="29" w:line="288" w:lineRule="auto"/>
              <w:ind w:left="15"/>
              <w:jc w:val="right"/>
              <w:rPr>
                <w:color w:val="000000"/>
                <w:kern w:val="0"/>
                <w:sz w:val="24"/>
              </w:rPr>
            </w:pPr>
            <w:r w:rsidRPr="002E12E3">
              <w:rPr>
                <w:color w:val="000000"/>
                <w:kern w:val="0"/>
                <w:sz w:val="24"/>
              </w:rPr>
              <w:t>-</w:t>
            </w:r>
          </w:p>
        </w:tc>
      </w:tr>
      <w:tr w:rsidR="00485D76" w:rsidTr="00E03742">
        <w:tc>
          <w:tcPr>
            <w:tcW w:w="928"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4</w:t>
            </w:r>
          </w:p>
        </w:tc>
        <w:tc>
          <w:tcPr>
            <w:tcW w:w="343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应收利息</w:t>
            </w:r>
          </w:p>
        </w:tc>
        <w:tc>
          <w:tcPr>
            <w:tcW w:w="4386" w:type="dxa"/>
            <w:tcBorders>
              <w:top w:val="single" w:sz="8" w:space="0" w:color="000000"/>
              <w:left w:val="single" w:sz="8" w:space="0" w:color="000000"/>
              <w:bottom w:val="single" w:sz="8" w:space="0" w:color="000000"/>
              <w:right w:val="single" w:sz="8" w:space="0" w:color="000000"/>
            </w:tcBorders>
          </w:tcPr>
          <w:p w:rsidR="00485D76" w:rsidRDefault="002E12E3" w:rsidP="00485D76">
            <w:pPr>
              <w:autoSpaceDE w:val="0"/>
              <w:autoSpaceDN w:val="0"/>
              <w:adjustRightInd w:val="0"/>
              <w:spacing w:before="29" w:line="288" w:lineRule="auto"/>
              <w:ind w:left="15"/>
              <w:jc w:val="right"/>
              <w:rPr>
                <w:color w:val="000000"/>
                <w:kern w:val="0"/>
                <w:sz w:val="24"/>
              </w:rPr>
            </w:pPr>
            <w:r w:rsidRPr="002E12E3">
              <w:rPr>
                <w:color w:val="000000"/>
                <w:kern w:val="0"/>
                <w:sz w:val="24"/>
              </w:rPr>
              <w:t>4,374,379.79</w:t>
            </w:r>
          </w:p>
        </w:tc>
      </w:tr>
      <w:tr w:rsidR="00485D76" w:rsidTr="00E03742">
        <w:tc>
          <w:tcPr>
            <w:tcW w:w="928"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5</w:t>
            </w:r>
          </w:p>
        </w:tc>
        <w:tc>
          <w:tcPr>
            <w:tcW w:w="343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应收申购款</w:t>
            </w:r>
          </w:p>
        </w:tc>
        <w:tc>
          <w:tcPr>
            <w:tcW w:w="4386" w:type="dxa"/>
            <w:tcBorders>
              <w:top w:val="single" w:sz="8" w:space="0" w:color="000000"/>
              <w:left w:val="single" w:sz="8" w:space="0" w:color="000000"/>
              <w:bottom w:val="single" w:sz="8" w:space="0" w:color="000000"/>
              <w:right w:val="single" w:sz="8" w:space="0" w:color="000000"/>
            </w:tcBorders>
          </w:tcPr>
          <w:p w:rsidR="00485D76" w:rsidRDefault="002E12E3" w:rsidP="00485D76">
            <w:pPr>
              <w:autoSpaceDE w:val="0"/>
              <w:autoSpaceDN w:val="0"/>
              <w:adjustRightInd w:val="0"/>
              <w:spacing w:before="29" w:line="288" w:lineRule="auto"/>
              <w:ind w:left="15"/>
              <w:jc w:val="right"/>
              <w:rPr>
                <w:color w:val="000000"/>
                <w:kern w:val="0"/>
                <w:sz w:val="24"/>
              </w:rPr>
            </w:pPr>
            <w:r w:rsidRPr="002E12E3">
              <w:rPr>
                <w:color w:val="000000"/>
                <w:kern w:val="0"/>
                <w:sz w:val="24"/>
              </w:rPr>
              <w:t>1,379.32</w:t>
            </w:r>
          </w:p>
        </w:tc>
      </w:tr>
      <w:tr w:rsidR="00B67D8A">
        <w:tc>
          <w:tcPr>
            <w:tcW w:w="92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sz w:val="24"/>
              </w:rPr>
            </w:pPr>
            <w:r>
              <w:rPr>
                <w:color w:val="000000"/>
                <w:sz w:val="24"/>
              </w:rPr>
              <w:t>6</w:t>
            </w:r>
          </w:p>
        </w:tc>
        <w:tc>
          <w:tcPr>
            <w:tcW w:w="343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left"/>
              <w:rPr>
                <w:color w:val="000000"/>
                <w:kern w:val="0"/>
                <w:sz w:val="24"/>
              </w:rPr>
            </w:pPr>
            <w:r>
              <w:rPr>
                <w:rFonts w:hint="eastAsia"/>
                <w:color w:val="000000"/>
                <w:kern w:val="0"/>
                <w:sz w:val="24"/>
              </w:rPr>
              <w:t>其他应收款</w:t>
            </w:r>
          </w:p>
        </w:tc>
        <w:tc>
          <w:tcPr>
            <w:tcW w:w="4386"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right"/>
              <w:rPr>
                <w:color w:val="000000"/>
                <w:kern w:val="0"/>
                <w:sz w:val="24"/>
              </w:rPr>
            </w:pPr>
            <w:r>
              <w:rPr>
                <w:color w:val="000000"/>
                <w:kern w:val="0"/>
                <w:sz w:val="24"/>
              </w:rPr>
              <w:t>-</w:t>
            </w:r>
          </w:p>
        </w:tc>
      </w:tr>
      <w:tr w:rsidR="00B67D8A">
        <w:tc>
          <w:tcPr>
            <w:tcW w:w="92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sz w:val="24"/>
              </w:rPr>
            </w:pPr>
            <w:r>
              <w:rPr>
                <w:color w:val="000000"/>
                <w:sz w:val="24"/>
              </w:rPr>
              <w:t>7</w:t>
            </w:r>
          </w:p>
        </w:tc>
        <w:tc>
          <w:tcPr>
            <w:tcW w:w="343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left"/>
              <w:rPr>
                <w:color w:val="000000"/>
                <w:kern w:val="0"/>
                <w:sz w:val="24"/>
              </w:rPr>
            </w:pPr>
            <w:r>
              <w:rPr>
                <w:rFonts w:hint="eastAsia"/>
                <w:color w:val="000000"/>
                <w:kern w:val="0"/>
                <w:sz w:val="24"/>
              </w:rPr>
              <w:t>待摊费用</w:t>
            </w:r>
          </w:p>
        </w:tc>
        <w:tc>
          <w:tcPr>
            <w:tcW w:w="4386"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right"/>
              <w:rPr>
                <w:color w:val="000000"/>
                <w:kern w:val="0"/>
                <w:sz w:val="24"/>
              </w:rPr>
            </w:pPr>
            <w:r>
              <w:rPr>
                <w:color w:val="000000"/>
                <w:kern w:val="0"/>
                <w:sz w:val="24"/>
              </w:rPr>
              <w:t>-</w:t>
            </w:r>
          </w:p>
        </w:tc>
      </w:tr>
      <w:tr w:rsidR="00B67D8A">
        <w:tc>
          <w:tcPr>
            <w:tcW w:w="92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sz w:val="24"/>
              </w:rPr>
            </w:pPr>
            <w:r>
              <w:rPr>
                <w:color w:val="000000"/>
                <w:sz w:val="24"/>
              </w:rPr>
              <w:t>8</w:t>
            </w:r>
          </w:p>
        </w:tc>
        <w:tc>
          <w:tcPr>
            <w:tcW w:w="343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4386"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right"/>
              <w:rPr>
                <w:color w:val="000000"/>
                <w:kern w:val="0"/>
                <w:sz w:val="24"/>
              </w:rPr>
            </w:pPr>
            <w:r>
              <w:rPr>
                <w:color w:val="000000"/>
                <w:kern w:val="0"/>
                <w:sz w:val="24"/>
              </w:rPr>
              <w:t>-</w:t>
            </w:r>
          </w:p>
        </w:tc>
      </w:tr>
      <w:tr w:rsidR="00B67D8A">
        <w:tc>
          <w:tcPr>
            <w:tcW w:w="928"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sz w:val="24"/>
              </w:rPr>
            </w:pPr>
            <w:r>
              <w:rPr>
                <w:color w:val="000000"/>
                <w:sz w:val="24"/>
              </w:rPr>
              <w:t>9</w:t>
            </w:r>
          </w:p>
        </w:tc>
        <w:tc>
          <w:tcPr>
            <w:tcW w:w="343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4386" w:type="dxa"/>
            <w:tcBorders>
              <w:top w:val="single" w:sz="8" w:space="0" w:color="000000"/>
              <w:left w:val="single" w:sz="8" w:space="0" w:color="000000"/>
              <w:bottom w:val="single" w:sz="8" w:space="0" w:color="000000"/>
              <w:right w:val="single" w:sz="8" w:space="0" w:color="000000"/>
            </w:tcBorders>
            <w:vAlign w:val="center"/>
          </w:tcPr>
          <w:p w:rsidR="00B67D8A" w:rsidRDefault="00485D76">
            <w:pPr>
              <w:autoSpaceDE w:val="0"/>
              <w:autoSpaceDN w:val="0"/>
              <w:adjustRightInd w:val="0"/>
              <w:spacing w:before="29" w:line="288" w:lineRule="auto"/>
              <w:ind w:left="15"/>
              <w:jc w:val="right"/>
              <w:rPr>
                <w:color w:val="000000"/>
                <w:kern w:val="0"/>
                <w:sz w:val="24"/>
              </w:rPr>
            </w:pPr>
            <w:r w:rsidRPr="00414345">
              <w:rPr>
                <w:color w:val="000000"/>
                <w:sz w:val="24"/>
                <w:szCs w:val="24"/>
              </w:rPr>
              <w:t>6,528,703.61</w:t>
            </w:r>
          </w:p>
        </w:tc>
      </w:tr>
    </w:tbl>
    <w:p w:rsidR="00B67D8A" w:rsidRDefault="00B67D8A">
      <w:pPr>
        <w:spacing w:line="360" w:lineRule="auto"/>
        <w:ind w:firstLineChars="200" w:firstLine="480"/>
        <w:rPr>
          <w:sz w:val="24"/>
        </w:rPr>
      </w:pPr>
    </w:p>
    <w:p w:rsidR="00B67D8A" w:rsidRDefault="00CC2A6F">
      <w:pPr>
        <w:spacing w:line="360" w:lineRule="auto"/>
        <w:ind w:firstLineChars="200" w:firstLine="480"/>
        <w:rPr>
          <w:sz w:val="24"/>
        </w:rPr>
      </w:pPr>
      <w:r>
        <w:rPr>
          <w:sz w:val="24"/>
        </w:rPr>
        <w:t>1</w:t>
      </w:r>
      <w:r>
        <w:rPr>
          <w:rFonts w:hint="eastAsia"/>
          <w:sz w:val="24"/>
        </w:rPr>
        <w:t>1</w:t>
      </w:r>
      <w:r w:rsidR="00B67D8A">
        <w:rPr>
          <w:sz w:val="24"/>
        </w:rPr>
        <w:t xml:space="preserve">.4 </w:t>
      </w:r>
      <w:r w:rsidR="00B67D8A">
        <w:rPr>
          <w:sz w:val="24"/>
        </w:rPr>
        <w:t>报告期末持有的处于转股期的可转换债券明细</w:t>
      </w:r>
    </w:p>
    <w:tbl>
      <w:tblPr>
        <w:tblW w:w="0" w:type="auto"/>
        <w:tblInd w:w="108" w:type="dxa"/>
        <w:tblLayout w:type="fixed"/>
        <w:tblLook w:val="0000" w:firstRow="0" w:lastRow="0" w:firstColumn="0" w:lastColumn="0" w:noHBand="0" w:noVBand="0"/>
      </w:tblPr>
      <w:tblGrid>
        <w:gridCol w:w="1432"/>
        <w:gridCol w:w="1491"/>
        <w:gridCol w:w="1514"/>
        <w:gridCol w:w="2649"/>
        <w:gridCol w:w="1662"/>
      </w:tblGrid>
      <w:tr w:rsidR="00B67D8A">
        <w:tc>
          <w:tcPr>
            <w:tcW w:w="1432" w:type="dxa"/>
            <w:tcBorders>
              <w:top w:val="single" w:sz="8" w:space="0" w:color="000000"/>
              <w:left w:val="single" w:sz="8" w:space="0" w:color="000000"/>
              <w:bottom w:val="single" w:sz="8" w:space="0" w:color="000000"/>
              <w:right w:val="single" w:sz="8" w:space="0" w:color="000000"/>
            </w:tcBorders>
            <w:vAlign w:val="center"/>
          </w:tcPr>
          <w:p w:rsidR="00B67D8A" w:rsidRDefault="00B67D8A">
            <w:pPr>
              <w:spacing w:line="288" w:lineRule="auto"/>
              <w:jc w:val="center"/>
              <w:rPr>
                <w:color w:val="000000"/>
                <w:sz w:val="24"/>
              </w:rPr>
            </w:pPr>
            <w:r>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vAlign w:val="center"/>
          </w:tcPr>
          <w:p w:rsidR="00B67D8A" w:rsidRDefault="00B67D8A">
            <w:pPr>
              <w:spacing w:line="288" w:lineRule="auto"/>
              <w:jc w:val="center"/>
              <w:rPr>
                <w:color w:val="000000"/>
                <w:sz w:val="24"/>
              </w:rPr>
            </w:pPr>
            <w:r>
              <w:rPr>
                <w:color w:val="000000"/>
                <w:sz w:val="24"/>
              </w:rPr>
              <w:t>债券代码</w:t>
            </w:r>
          </w:p>
        </w:tc>
        <w:tc>
          <w:tcPr>
            <w:tcW w:w="1514" w:type="dxa"/>
            <w:tcBorders>
              <w:top w:val="single" w:sz="8" w:space="0" w:color="000000"/>
              <w:left w:val="single" w:sz="8" w:space="0" w:color="000000"/>
              <w:bottom w:val="single" w:sz="8" w:space="0" w:color="000000"/>
              <w:right w:val="single" w:sz="8" w:space="0" w:color="000000"/>
            </w:tcBorders>
            <w:vAlign w:val="center"/>
          </w:tcPr>
          <w:p w:rsidR="00B67D8A" w:rsidRDefault="00B67D8A">
            <w:pPr>
              <w:spacing w:line="288" w:lineRule="auto"/>
              <w:jc w:val="center"/>
              <w:rPr>
                <w:color w:val="000000"/>
                <w:sz w:val="24"/>
              </w:rPr>
            </w:pPr>
            <w:r>
              <w:rPr>
                <w:color w:val="000000"/>
                <w:sz w:val="24"/>
              </w:rPr>
              <w:t>债券名称</w:t>
            </w:r>
          </w:p>
        </w:tc>
        <w:tc>
          <w:tcPr>
            <w:tcW w:w="2649" w:type="dxa"/>
            <w:tcBorders>
              <w:top w:val="single" w:sz="8" w:space="0" w:color="000000"/>
              <w:left w:val="single" w:sz="8" w:space="0" w:color="000000"/>
              <w:bottom w:val="single" w:sz="8" w:space="0" w:color="000000"/>
              <w:right w:val="single" w:sz="8" w:space="0" w:color="000000"/>
            </w:tcBorders>
            <w:vAlign w:val="center"/>
          </w:tcPr>
          <w:p w:rsidR="00B67D8A" w:rsidRDefault="00B67D8A">
            <w:pPr>
              <w:spacing w:line="288" w:lineRule="auto"/>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62" w:type="dxa"/>
            <w:tcBorders>
              <w:top w:val="single" w:sz="8" w:space="0" w:color="000000"/>
              <w:left w:val="single" w:sz="8" w:space="0" w:color="000000"/>
              <w:bottom w:val="single" w:sz="8" w:space="0" w:color="000000"/>
              <w:right w:val="single" w:sz="8" w:space="0" w:color="000000"/>
            </w:tcBorders>
            <w:vAlign w:val="center"/>
          </w:tcPr>
          <w:p w:rsidR="00B67D8A" w:rsidRDefault="00B67D8A">
            <w:pPr>
              <w:spacing w:line="288" w:lineRule="auto"/>
              <w:jc w:val="center"/>
              <w:rPr>
                <w:color w:val="000000"/>
                <w:sz w:val="24"/>
              </w:rPr>
            </w:pPr>
            <w:r>
              <w:rPr>
                <w:color w:val="000000"/>
                <w:sz w:val="24"/>
              </w:rPr>
              <w:t>占基金资产净值比例</w:t>
            </w:r>
            <w:r>
              <w:rPr>
                <w:color w:val="000000"/>
                <w:kern w:val="0"/>
                <w:sz w:val="24"/>
              </w:rPr>
              <w:t>（％）</w:t>
            </w:r>
          </w:p>
        </w:tc>
      </w:tr>
      <w:tr w:rsidR="00485D76" w:rsidTr="00E03742">
        <w:tc>
          <w:tcPr>
            <w:tcW w:w="143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110020</w:t>
            </w:r>
          </w:p>
        </w:tc>
        <w:tc>
          <w:tcPr>
            <w:tcW w:w="151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南山转债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25,660,800.00</w:t>
            </w:r>
          </w:p>
        </w:tc>
        <w:tc>
          <w:tcPr>
            <w:tcW w:w="166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7.48</w:t>
            </w:r>
          </w:p>
        </w:tc>
      </w:tr>
      <w:tr w:rsidR="00485D76" w:rsidTr="00E03742">
        <w:tc>
          <w:tcPr>
            <w:tcW w:w="143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110023</w:t>
            </w:r>
          </w:p>
        </w:tc>
        <w:tc>
          <w:tcPr>
            <w:tcW w:w="151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民生转债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24,917,728.00</w:t>
            </w:r>
          </w:p>
        </w:tc>
        <w:tc>
          <w:tcPr>
            <w:tcW w:w="166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7.26</w:t>
            </w:r>
          </w:p>
        </w:tc>
      </w:tr>
      <w:tr w:rsidR="00485D76" w:rsidTr="00E03742">
        <w:tc>
          <w:tcPr>
            <w:tcW w:w="143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3</w:t>
            </w:r>
          </w:p>
        </w:tc>
        <w:tc>
          <w:tcPr>
            <w:tcW w:w="1491"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113001</w:t>
            </w:r>
          </w:p>
        </w:tc>
        <w:tc>
          <w:tcPr>
            <w:tcW w:w="151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中行转债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13,232,700.00</w:t>
            </w:r>
          </w:p>
        </w:tc>
        <w:tc>
          <w:tcPr>
            <w:tcW w:w="166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3.86</w:t>
            </w:r>
          </w:p>
        </w:tc>
      </w:tr>
      <w:tr w:rsidR="00485D76" w:rsidTr="00E03742">
        <w:tc>
          <w:tcPr>
            <w:tcW w:w="143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sz w:val="24"/>
              </w:rPr>
            </w:pPr>
            <w:r>
              <w:rPr>
                <w:color w:val="000000"/>
                <w:sz w:val="24"/>
              </w:rPr>
              <w:t>4</w:t>
            </w:r>
          </w:p>
        </w:tc>
        <w:tc>
          <w:tcPr>
            <w:tcW w:w="1491"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110015</w:t>
            </w:r>
          </w:p>
        </w:tc>
        <w:tc>
          <w:tcPr>
            <w:tcW w:w="151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石化转债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6,661,749.00</w:t>
            </w:r>
          </w:p>
        </w:tc>
        <w:tc>
          <w:tcPr>
            <w:tcW w:w="1662"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right"/>
              <w:rPr>
                <w:color w:val="000000"/>
                <w:kern w:val="0"/>
                <w:sz w:val="24"/>
              </w:rPr>
            </w:pPr>
            <w:r>
              <w:rPr>
                <w:color w:val="000000"/>
                <w:sz w:val="24"/>
                <w:szCs w:val="24"/>
              </w:rPr>
              <w:t>1.94</w:t>
            </w:r>
          </w:p>
        </w:tc>
      </w:tr>
    </w:tbl>
    <w:p w:rsidR="00B67D8A" w:rsidRDefault="00B67D8A">
      <w:pPr>
        <w:spacing w:line="360" w:lineRule="auto"/>
        <w:ind w:firstLineChars="200" w:firstLine="480"/>
        <w:rPr>
          <w:color w:val="000000"/>
          <w:sz w:val="24"/>
        </w:rPr>
      </w:pPr>
    </w:p>
    <w:p w:rsidR="00B67D8A" w:rsidRDefault="00CC2A6F">
      <w:pPr>
        <w:spacing w:line="360" w:lineRule="auto"/>
        <w:ind w:firstLineChars="200" w:firstLine="480"/>
        <w:rPr>
          <w:sz w:val="24"/>
        </w:rPr>
      </w:pPr>
      <w:r>
        <w:rPr>
          <w:sz w:val="24"/>
        </w:rPr>
        <w:t>1</w:t>
      </w:r>
      <w:r>
        <w:rPr>
          <w:rFonts w:hint="eastAsia"/>
          <w:sz w:val="24"/>
        </w:rPr>
        <w:t>1</w:t>
      </w:r>
      <w:r w:rsidR="00B67D8A">
        <w:rPr>
          <w:sz w:val="24"/>
        </w:rPr>
        <w:t xml:space="preserve">.5 </w:t>
      </w:r>
      <w:r w:rsidR="00B67D8A">
        <w:rPr>
          <w:sz w:val="24"/>
        </w:rPr>
        <w:t>报告</w:t>
      </w:r>
      <w:proofErr w:type="gramStart"/>
      <w:r w:rsidR="00B67D8A">
        <w:rPr>
          <w:sz w:val="24"/>
        </w:rPr>
        <w:t>期末前</w:t>
      </w:r>
      <w:proofErr w:type="gramEnd"/>
      <w:r w:rsidR="00B67D8A">
        <w:rPr>
          <w:sz w:val="24"/>
        </w:rPr>
        <w:t>十名股票中存在流通受限情况的说明</w:t>
      </w:r>
    </w:p>
    <w:p w:rsidR="00B67D8A" w:rsidRDefault="00B67D8A">
      <w:pPr>
        <w:spacing w:line="360" w:lineRule="auto"/>
        <w:ind w:firstLineChars="200" w:firstLine="480"/>
        <w:rPr>
          <w:bCs/>
          <w:color w:val="000000"/>
          <w:sz w:val="24"/>
        </w:rPr>
      </w:pPr>
      <w:r>
        <w:rPr>
          <w:rFonts w:hint="eastAsia"/>
          <w:bCs/>
          <w:color w:val="000000"/>
          <w:sz w:val="24"/>
        </w:rPr>
        <w:t>本基金本报告</w:t>
      </w:r>
      <w:proofErr w:type="gramStart"/>
      <w:r>
        <w:rPr>
          <w:rFonts w:hint="eastAsia"/>
          <w:bCs/>
          <w:color w:val="000000"/>
          <w:sz w:val="24"/>
        </w:rPr>
        <w:t>期末前</w:t>
      </w:r>
      <w:proofErr w:type="gramEnd"/>
      <w:r>
        <w:rPr>
          <w:rFonts w:hint="eastAsia"/>
          <w:bCs/>
          <w:color w:val="000000"/>
          <w:sz w:val="24"/>
        </w:rPr>
        <w:t>十名股票中不存在流通受限的情况。</w:t>
      </w:r>
    </w:p>
    <w:p w:rsidR="00B67D8A" w:rsidRDefault="00B67D8A">
      <w:pPr>
        <w:spacing w:line="360" w:lineRule="auto"/>
        <w:ind w:firstLineChars="200" w:firstLine="480"/>
        <w:rPr>
          <w:bCs/>
          <w:color w:val="000000"/>
          <w:sz w:val="24"/>
        </w:rPr>
      </w:pPr>
    </w:p>
    <w:p w:rsidR="00B67D8A" w:rsidRDefault="00CC2A6F">
      <w:pPr>
        <w:spacing w:line="360" w:lineRule="auto"/>
        <w:ind w:firstLineChars="200" w:firstLine="480"/>
        <w:rPr>
          <w:sz w:val="24"/>
        </w:rPr>
      </w:pPr>
      <w:r>
        <w:rPr>
          <w:rFonts w:hint="eastAsia"/>
          <w:sz w:val="24"/>
        </w:rPr>
        <w:t>11</w:t>
      </w:r>
      <w:r w:rsidR="00B67D8A">
        <w:rPr>
          <w:rFonts w:hint="eastAsia"/>
          <w:sz w:val="24"/>
        </w:rPr>
        <w:t xml:space="preserve">.6 </w:t>
      </w:r>
      <w:r w:rsidR="00B67D8A">
        <w:rPr>
          <w:rFonts w:hint="eastAsia"/>
          <w:sz w:val="24"/>
        </w:rPr>
        <w:t>投资组合报告附注的其他文字描述部分</w:t>
      </w:r>
    </w:p>
    <w:p w:rsidR="00B67D8A" w:rsidRDefault="00B67D8A">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rsidR="00B67D8A" w:rsidRDefault="00B67D8A">
      <w:pPr>
        <w:adjustRightInd w:val="0"/>
        <w:snapToGrid w:val="0"/>
        <w:spacing w:line="360" w:lineRule="auto"/>
        <w:ind w:firstLineChars="200" w:firstLine="482"/>
        <w:rPr>
          <w:b/>
          <w:kern w:val="0"/>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72" w:name="_Toc381197149"/>
      <w:bookmarkStart w:id="73" w:name="_Toc382321323"/>
      <w:r>
        <w:rPr>
          <w:rFonts w:ascii="宋体" w:hAnsi="宋体"/>
          <w:b/>
          <w:kern w:val="0"/>
          <w:sz w:val="30"/>
        </w:rPr>
        <w:t>十</w:t>
      </w:r>
      <w:r>
        <w:rPr>
          <w:rFonts w:ascii="宋体" w:hAnsi="宋体" w:hint="eastAsia"/>
          <w:b/>
          <w:kern w:val="0"/>
          <w:sz w:val="30"/>
        </w:rPr>
        <w:t>二</w:t>
      </w:r>
      <w:r>
        <w:rPr>
          <w:rFonts w:ascii="宋体" w:hAnsi="宋体"/>
          <w:b/>
          <w:kern w:val="0"/>
          <w:sz w:val="30"/>
        </w:rPr>
        <w:t>、基金的</w:t>
      </w:r>
      <w:r>
        <w:rPr>
          <w:rFonts w:ascii="宋体" w:hAnsi="宋体" w:hint="eastAsia"/>
          <w:b/>
          <w:kern w:val="0"/>
          <w:sz w:val="30"/>
        </w:rPr>
        <w:t>业绩</w:t>
      </w:r>
      <w:bookmarkEnd w:id="72"/>
      <w:bookmarkEnd w:id="73"/>
    </w:p>
    <w:p w:rsidR="00B67D8A" w:rsidRDefault="00B67D8A">
      <w:pPr>
        <w:pStyle w:val="ab"/>
        <w:spacing w:after="0" w:line="360" w:lineRule="auto"/>
        <w:ind w:rightChars="-85" w:right="-178" w:firstLineChars="200" w:firstLine="480"/>
        <w:rPr>
          <w:sz w:val="24"/>
        </w:rPr>
      </w:pPr>
      <w:r>
        <w:rPr>
          <w:sz w:val="24"/>
        </w:rPr>
        <w:t>基金业绩截止日为</w:t>
      </w:r>
      <w:r w:rsidR="00DC71E3">
        <w:rPr>
          <w:rFonts w:ascii="宋体" w:hAnsi="宋体"/>
          <w:sz w:val="24"/>
        </w:rPr>
        <w:t>20</w:t>
      </w:r>
      <w:r w:rsidR="00DC71E3">
        <w:rPr>
          <w:rFonts w:ascii="宋体" w:hAnsi="宋体" w:hint="eastAsia"/>
          <w:sz w:val="24"/>
        </w:rPr>
        <w:t>14</w:t>
      </w:r>
      <w:r>
        <w:rPr>
          <w:rFonts w:ascii="宋体" w:hAnsi="宋体"/>
          <w:sz w:val="24"/>
        </w:rPr>
        <w:t>年</w:t>
      </w:r>
      <w:r w:rsidR="00DC71E3">
        <w:rPr>
          <w:rFonts w:ascii="宋体" w:hAnsi="宋体" w:hint="eastAsia"/>
          <w:sz w:val="24"/>
        </w:rPr>
        <w:t>6</w:t>
      </w:r>
      <w:r>
        <w:rPr>
          <w:rFonts w:ascii="宋体" w:hAnsi="宋体"/>
          <w:sz w:val="24"/>
        </w:rPr>
        <w:t>月</w:t>
      </w:r>
      <w:r>
        <w:rPr>
          <w:rFonts w:ascii="宋体" w:hAnsi="宋体" w:hint="eastAsia"/>
          <w:sz w:val="24"/>
        </w:rPr>
        <w:t>3</w:t>
      </w:r>
      <w:r w:rsidR="00DC71E3">
        <w:rPr>
          <w:rFonts w:ascii="宋体" w:hAnsi="宋体" w:hint="eastAsia"/>
          <w:sz w:val="24"/>
        </w:rPr>
        <w:t>0</w:t>
      </w:r>
      <w:r>
        <w:rPr>
          <w:rFonts w:ascii="宋体" w:hAnsi="宋体"/>
          <w:sz w:val="24"/>
        </w:rPr>
        <w:t>日</w:t>
      </w:r>
      <w:r>
        <w:rPr>
          <w:sz w:val="24"/>
        </w:rPr>
        <w:t>，所载财务数据未经审计师审计。</w:t>
      </w:r>
    </w:p>
    <w:p w:rsidR="00B67D8A" w:rsidRDefault="00B67D8A">
      <w:pPr>
        <w:pStyle w:val="ab"/>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B67D8A" w:rsidRDefault="00B67D8A">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0" w:type="auto"/>
        <w:tblInd w:w="108" w:type="dxa"/>
        <w:tblLayout w:type="fixed"/>
        <w:tblLook w:val="0000" w:firstRow="0" w:lastRow="0" w:firstColumn="0" w:lastColumn="0" w:noHBand="0" w:noVBand="0"/>
      </w:tblPr>
      <w:tblGrid>
        <w:gridCol w:w="1560"/>
        <w:gridCol w:w="1275"/>
        <w:gridCol w:w="1134"/>
        <w:gridCol w:w="1276"/>
        <w:gridCol w:w="1559"/>
        <w:gridCol w:w="993"/>
        <w:gridCol w:w="951"/>
      </w:tblGrid>
      <w:tr w:rsidR="00B67D8A">
        <w:tc>
          <w:tcPr>
            <w:tcW w:w="1560"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rsidR="00B67D8A" w:rsidRDefault="00B67D8A">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485D76">
        <w:tc>
          <w:tcPr>
            <w:tcW w:w="1560"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5.61%</w:t>
            </w:r>
          </w:p>
        </w:tc>
        <w:tc>
          <w:tcPr>
            <w:tcW w:w="1134"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0.53%</w:t>
            </w:r>
          </w:p>
        </w:tc>
        <w:tc>
          <w:tcPr>
            <w:tcW w:w="1276"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0.99%</w:t>
            </w:r>
          </w:p>
        </w:tc>
        <w:tc>
          <w:tcPr>
            <w:tcW w:w="1559"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0.48%</w:t>
            </w:r>
          </w:p>
        </w:tc>
        <w:tc>
          <w:tcPr>
            <w:tcW w:w="993"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4.62%</w:t>
            </w:r>
          </w:p>
        </w:tc>
        <w:tc>
          <w:tcPr>
            <w:tcW w:w="951" w:type="dxa"/>
            <w:tcBorders>
              <w:top w:val="single" w:sz="8" w:space="0" w:color="000000"/>
              <w:left w:val="single" w:sz="8" w:space="0" w:color="000000"/>
              <w:bottom w:val="single" w:sz="8" w:space="0" w:color="000000"/>
              <w:right w:val="single" w:sz="8" w:space="0" w:color="000000"/>
            </w:tcBorders>
            <w:vAlign w:val="center"/>
          </w:tcPr>
          <w:p w:rsidR="00485D76" w:rsidRDefault="00485D76" w:rsidP="00485D76">
            <w:pPr>
              <w:autoSpaceDE w:val="0"/>
              <w:autoSpaceDN w:val="0"/>
              <w:adjustRightInd w:val="0"/>
              <w:spacing w:before="29" w:line="288" w:lineRule="auto"/>
              <w:ind w:left="15"/>
              <w:jc w:val="center"/>
              <w:rPr>
                <w:color w:val="000000"/>
                <w:kern w:val="0"/>
                <w:sz w:val="24"/>
              </w:rPr>
            </w:pPr>
            <w:r>
              <w:rPr>
                <w:color w:val="000000"/>
                <w:sz w:val="24"/>
                <w:szCs w:val="24"/>
              </w:rPr>
              <w:t>0.05%</w:t>
            </w:r>
          </w:p>
        </w:tc>
      </w:tr>
      <w:tr w:rsidR="008477BF">
        <w:tc>
          <w:tcPr>
            <w:tcW w:w="1560"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年度上半年</w:t>
            </w:r>
          </w:p>
        </w:tc>
        <w:tc>
          <w:tcPr>
            <w:tcW w:w="1275"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center"/>
              <w:rPr>
                <w:color w:val="000000"/>
                <w:sz w:val="24"/>
                <w:szCs w:val="24"/>
              </w:rPr>
            </w:pPr>
            <w:r>
              <w:rPr>
                <w:color w:val="000000"/>
                <w:sz w:val="24"/>
              </w:rPr>
              <w:t>2.17%</w:t>
            </w:r>
          </w:p>
        </w:tc>
        <w:tc>
          <w:tcPr>
            <w:tcW w:w="1134"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center"/>
              <w:rPr>
                <w:color w:val="000000"/>
                <w:sz w:val="24"/>
                <w:szCs w:val="24"/>
              </w:rPr>
            </w:pPr>
            <w:r>
              <w:rPr>
                <w:color w:val="000000"/>
                <w:sz w:val="24"/>
              </w:rPr>
              <w:t>0.55%</w:t>
            </w:r>
          </w:p>
        </w:tc>
        <w:tc>
          <w:tcPr>
            <w:tcW w:w="1276"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center"/>
              <w:rPr>
                <w:color w:val="000000"/>
                <w:sz w:val="24"/>
                <w:szCs w:val="24"/>
              </w:rPr>
            </w:pPr>
            <w:r>
              <w:rPr>
                <w:color w:val="000000"/>
                <w:sz w:val="24"/>
              </w:rPr>
              <w:t>1.25%</w:t>
            </w:r>
          </w:p>
        </w:tc>
        <w:tc>
          <w:tcPr>
            <w:tcW w:w="1559"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center"/>
              <w:rPr>
                <w:color w:val="000000"/>
                <w:sz w:val="24"/>
                <w:szCs w:val="24"/>
              </w:rPr>
            </w:pPr>
            <w:r>
              <w:rPr>
                <w:color w:val="000000"/>
                <w:sz w:val="24"/>
              </w:rPr>
              <w:t>0.54%</w:t>
            </w:r>
          </w:p>
        </w:tc>
        <w:tc>
          <w:tcPr>
            <w:tcW w:w="993"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center"/>
              <w:rPr>
                <w:color w:val="000000"/>
                <w:sz w:val="24"/>
                <w:szCs w:val="24"/>
              </w:rPr>
            </w:pPr>
            <w:r>
              <w:rPr>
                <w:color w:val="000000"/>
                <w:sz w:val="24"/>
              </w:rPr>
              <w:t>0.92%</w:t>
            </w:r>
          </w:p>
        </w:tc>
        <w:tc>
          <w:tcPr>
            <w:tcW w:w="951" w:type="dxa"/>
            <w:tcBorders>
              <w:top w:val="single" w:sz="8" w:space="0" w:color="000000"/>
              <w:left w:val="single" w:sz="8" w:space="0" w:color="000000"/>
              <w:bottom w:val="single" w:sz="8" w:space="0" w:color="000000"/>
              <w:right w:val="single" w:sz="8" w:space="0" w:color="000000"/>
            </w:tcBorders>
            <w:vAlign w:val="center"/>
          </w:tcPr>
          <w:p w:rsidR="008477BF" w:rsidRDefault="008477BF" w:rsidP="00485D76">
            <w:pPr>
              <w:autoSpaceDE w:val="0"/>
              <w:autoSpaceDN w:val="0"/>
              <w:adjustRightInd w:val="0"/>
              <w:spacing w:before="29" w:line="288" w:lineRule="auto"/>
              <w:ind w:left="15"/>
              <w:jc w:val="center"/>
              <w:rPr>
                <w:color w:val="000000"/>
                <w:sz w:val="24"/>
                <w:szCs w:val="24"/>
              </w:rPr>
            </w:pPr>
            <w:r>
              <w:rPr>
                <w:color w:val="000000"/>
                <w:sz w:val="24"/>
              </w:rPr>
              <w:t>0.01%</w:t>
            </w:r>
          </w:p>
        </w:tc>
      </w:tr>
      <w:tr w:rsidR="00AD7A52" w:rsidTr="00A40143">
        <w:tc>
          <w:tcPr>
            <w:tcW w:w="1560" w:type="dxa"/>
            <w:tcBorders>
              <w:top w:val="single" w:sz="8" w:space="0" w:color="000000"/>
              <w:left w:val="single" w:sz="8" w:space="0" w:color="000000"/>
              <w:bottom w:val="single" w:sz="8" w:space="0" w:color="000000"/>
              <w:right w:val="single" w:sz="8" w:space="0" w:color="000000"/>
            </w:tcBorders>
            <w:vAlign w:val="center"/>
          </w:tcPr>
          <w:p w:rsidR="00AD7A52" w:rsidRPr="0011420E" w:rsidRDefault="00AD7A52" w:rsidP="007E659A">
            <w:pPr>
              <w:autoSpaceDE w:val="0"/>
              <w:autoSpaceDN w:val="0"/>
              <w:adjustRightInd w:val="0"/>
              <w:spacing w:before="29" w:line="288" w:lineRule="auto"/>
              <w:ind w:left="15"/>
              <w:jc w:val="left"/>
              <w:rPr>
                <w:color w:val="000000"/>
                <w:kern w:val="0"/>
                <w:sz w:val="24"/>
              </w:rPr>
            </w:pPr>
            <w:r w:rsidRPr="0011420E">
              <w:rPr>
                <w:rFonts w:hint="eastAsia"/>
                <w:color w:val="000000"/>
                <w:sz w:val="24"/>
              </w:rPr>
              <w:t>2013</w:t>
            </w:r>
            <w:r w:rsidR="002E12E3" w:rsidRPr="002E12E3">
              <w:rPr>
                <w:rFonts w:hAnsi="宋体" w:hint="eastAsia"/>
                <w:color w:val="000000"/>
                <w:sz w:val="24"/>
              </w:rPr>
              <w:t>年度（自基金合同生效日起至</w:t>
            </w:r>
            <w:r w:rsidR="002E12E3" w:rsidRPr="002E12E3">
              <w:rPr>
                <w:color w:val="000000"/>
                <w:sz w:val="24"/>
              </w:rPr>
              <w:t>2013</w:t>
            </w:r>
            <w:r w:rsidR="002E12E3" w:rsidRPr="002E12E3">
              <w:rPr>
                <w:rFonts w:hAnsi="宋体" w:hint="eastAsia"/>
                <w:color w:val="000000"/>
                <w:sz w:val="24"/>
              </w:rPr>
              <w:t>年</w:t>
            </w:r>
            <w:r w:rsidR="002E12E3" w:rsidRPr="002E12E3">
              <w:rPr>
                <w:color w:val="000000"/>
                <w:sz w:val="24"/>
              </w:rPr>
              <w:t>12</w:t>
            </w:r>
            <w:r w:rsidR="002E12E3" w:rsidRPr="002E12E3">
              <w:rPr>
                <w:rFonts w:hAnsi="宋体" w:hint="eastAsia"/>
                <w:color w:val="000000"/>
                <w:sz w:val="24"/>
              </w:rPr>
              <w:t>月</w:t>
            </w:r>
            <w:r w:rsidR="002E12E3" w:rsidRPr="002E12E3">
              <w:rPr>
                <w:color w:val="000000"/>
                <w:sz w:val="24"/>
              </w:rPr>
              <w:t>31</w:t>
            </w:r>
            <w:r w:rsidR="002E12E3" w:rsidRPr="002E12E3">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rsidR="002E12E3" w:rsidRPr="002E12E3" w:rsidRDefault="00AD7A52" w:rsidP="001E2DA6">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rsidR="002E12E3" w:rsidRPr="002E12E3" w:rsidRDefault="00AD7A52" w:rsidP="001E2DA6">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rsidR="002E12E3" w:rsidRPr="002E12E3" w:rsidRDefault="00AD7A52" w:rsidP="001E2DA6">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rsidR="002E12E3" w:rsidRPr="002E12E3" w:rsidRDefault="00AD7A52" w:rsidP="001E2DA6">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rsidR="002E12E3" w:rsidRPr="002E12E3" w:rsidRDefault="00AD7A52" w:rsidP="001E2DA6">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rsidR="002E12E3" w:rsidRPr="002E12E3" w:rsidRDefault="00AD7A52" w:rsidP="001E2DA6">
            <w:pPr>
              <w:autoSpaceDE w:val="0"/>
              <w:autoSpaceDN w:val="0"/>
              <w:adjustRightInd w:val="0"/>
              <w:spacing w:before="240" w:after="240" w:line="288" w:lineRule="auto"/>
              <w:ind w:left="15"/>
              <w:jc w:val="center"/>
              <w:rPr>
                <w:color w:val="000000"/>
                <w:sz w:val="24"/>
              </w:rPr>
            </w:pPr>
            <w:r>
              <w:rPr>
                <w:color w:val="000000"/>
                <w:sz w:val="24"/>
              </w:rPr>
              <w:t>-0.50%</w:t>
            </w:r>
          </w:p>
        </w:tc>
      </w:tr>
    </w:tbl>
    <w:p w:rsidR="00B67D8A" w:rsidRDefault="00B67D8A">
      <w:pPr>
        <w:adjustRightInd w:val="0"/>
        <w:snapToGrid w:val="0"/>
        <w:spacing w:line="360" w:lineRule="auto"/>
        <w:ind w:firstLineChars="200" w:firstLine="480"/>
        <w:rPr>
          <w:sz w:val="24"/>
          <w:szCs w:val="24"/>
        </w:rPr>
      </w:pPr>
    </w:p>
    <w:p w:rsidR="00B67D8A" w:rsidRDefault="00B67D8A">
      <w:pPr>
        <w:pStyle w:val="ab"/>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rsidR="00B67D8A" w:rsidRDefault="00B67D8A">
      <w:pPr>
        <w:spacing w:line="288" w:lineRule="auto"/>
        <w:jc w:val="center"/>
        <w:rPr>
          <w:color w:val="000000"/>
          <w:sz w:val="24"/>
        </w:rPr>
      </w:pPr>
      <w:r>
        <w:rPr>
          <w:rFonts w:hint="eastAsia"/>
          <w:color w:val="000000"/>
          <w:sz w:val="24"/>
        </w:rPr>
        <w:t>交银施罗德定期支付双</w:t>
      </w:r>
      <w:proofErr w:type="gramStart"/>
      <w:r>
        <w:rPr>
          <w:rFonts w:hint="eastAsia"/>
          <w:color w:val="000000"/>
          <w:sz w:val="24"/>
        </w:rPr>
        <w:t>息平衡</w:t>
      </w:r>
      <w:proofErr w:type="gramEnd"/>
      <w:r>
        <w:rPr>
          <w:rFonts w:hint="eastAsia"/>
          <w:color w:val="000000"/>
          <w:sz w:val="24"/>
        </w:rPr>
        <w:t>混合型证券投资基金</w:t>
      </w:r>
    </w:p>
    <w:p w:rsidR="00B67D8A" w:rsidRDefault="00B67D8A">
      <w:pPr>
        <w:pStyle w:val="a8"/>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B67D8A" w:rsidRDefault="00B67D8A">
      <w:pPr>
        <w:adjustRightInd w:val="0"/>
        <w:snapToGrid w:val="0"/>
        <w:spacing w:line="360" w:lineRule="auto"/>
        <w:ind w:firstLineChars="200" w:firstLine="480"/>
        <w:jc w:val="center"/>
        <w:rPr>
          <w:color w:val="000000"/>
          <w:sz w:val="24"/>
          <w:szCs w:val="24"/>
        </w:rPr>
      </w:pPr>
      <w:r>
        <w:rPr>
          <w:rFonts w:hint="eastAsia"/>
          <w:color w:val="000000"/>
          <w:sz w:val="24"/>
          <w:szCs w:val="24"/>
        </w:rPr>
        <w:t>（</w:t>
      </w:r>
      <w:r>
        <w:rPr>
          <w:rFonts w:hint="eastAsia"/>
          <w:color w:val="000000"/>
          <w:sz w:val="24"/>
          <w:szCs w:val="24"/>
        </w:rPr>
        <w:t>2013</w:t>
      </w:r>
      <w:r>
        <w:rPr>
          <w:rFonts w:hint="eastAsia"/>
          <w:color w:val="000000"/>
          <w:sz w:val="24"/>
          <w:szCs w:val="24"/>
        </w:rPr>
        <w:t>年</w:t>
      </w:r>
      <w:r>
        <w:rPr>
          <w:rFonts w:hint="eastAsia"/>
          <w:color w:val="000000"/>
          <w:sz w:val="24"/>
          <w:szCs w:val="24"/>
        </w:rPr>
        <w:t>9</w:t>
      </w:r>
      <w:r>
        <w:rPr>
          <w:rFonts w:hint="eastAsia"/>
          <w:color w:val="000000"/>
          <w:sz w:val="24"/>
          <w:szCs w:val="24"/>
        </w:rPr>
        <w:t>月</w:t>
      </w:r>
      <w:r>
        <w:rPr>
          <w:rFonts w:hint="eastAsia"/>
          <w:color w:val="000000"/>
          <w:sz w:val="24"/>
          <w:szCs w:val="24"/>
        </w:rPr>
        <w:t>4</w:t>
      </w:r>
      <w:r>
        <w:rPr>
          <w:rFonts w:hint="eastAsia"/>
          <w:color w:val="000000"/>
          <w:sz w:val="24"/>
          <w:szCs w:val="24"/>
        </w:rPr>
        <w:t>日至</w:t>
      </w:r>
      <w:r>
        <w:rPr>
          <w:rFonts w:hint="eastAsia"/>
          <w:color w:val="000000"/>
          <w:sz w:val="24"/>
          <w:szCs w:val="24"/>
        </w:rPr>
        <w:t>201</w:t>
      </w:r>
      <w:r w:rsidR="007E659A">
        <w:rPr>
          <w:rFonts w:hint="eastAsia"/>
          <w:color w:val="000000"/>
          <w:sz w:val="24"/>
          <w:szCs w:val="24"/>
        </w:rPr>
        <w:t>4</w:t>
      </w:r>
      <w:r>
        <w:rPr>
          <w:rFonts w:hint="eastAsia"/>
          <w:color w:val="000000"/>
          <w:sz w:val="24"/>
          <w:szCs w:val="24"/>
        </w:rPr>
        <w:t>年</w:t>
      </w:r>
      <w:r w:rsidR="007E659A">
        <w:rPr>
          <w:rFonts w:hint="eastAsia"/>
          <w:color w:val="000000"/>
          <w:sz w:val="24"/>
          <w:szCs w:val="24"/>
        </w:rPr>
        <w:t>6</w:t>
      </w:r>
      <w:r>
        <w:rPr>
          <w:rFonts w:hint="eastAsia"/>
          <w:color w:val="000000"/>
          <w:sz w:val="24"/>
          <w:szCs w:val="24"/>
        </w:rPr>
        <w:t>月</w:t>
      </w:r>
      <w:r>
        <w:rPr>
          <w:rFonts w:hint="eastAsia"/>
          <w:color w:val="000000"/>
          <w:sz w:val="24"/>
          <w:szCs w:val="24"/>
        </w:rPr>
        <w:t>3</w:t>
      </w:r>
      <w:r w:rsidR="007E659A">
        <w:rPr>
          <w:rFonts w:hint="eastAsia"/>
          <w:color w:val="000000"/>
          <w:sz w:val="24"/>
          <w:szCs w:val="24"/>
        </w:rPr>
        <w:t>0</w:t>
      </w:r>
      <w:r>
        <w:rPr>
          <w:rFonts w:hint="eastAsia"/>
          <w:color w:val="000000"/>
          <w:sz w:val="24"/>
          <w:szCs w:val="24"/>
        </w:rPr>
        <w:t>日）</w:t>
      </w:r>
    </w:p>
    <w:p w:rsidR="00B67D8A" w:rsidRDefault="00C20234">
      <w:pPr>
        <w:adjustRightInd w:val="0"/>
        <w:snapToGrid w:val="0"/>
        <w:spacing w:line="360" w:lineRule="auto"/>
        <w:jc w:val="left"/>
        <w:rPr>
          <w:color w:val="000000"/>
          <w:sz w:val="24"/>
          <w:szCs w:val="24"/>
        </w:rPr>
      </w:pPr>
      <w:r>
        <w:rPr>
          <w:noProof/>
          <w:color w:val="000000"/>
          <w:sz w:val="24"/>
          <w:szCs w:val="24"/>
        </w:rPr>
        <w:lastRenderedPageBreak/>
        <w:drawing>
          <wp:inline distT="0" distB="0" distL="0" distR="0">
            <wp:extent cx="5734050" cy="3352800"/>
            <wp:effectExtent l="1905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6" cstate="print"/>
                    <a:srcRect/>
                    <a:stretch>
                      <a:fillRect/>
                    </a:stretch>
                  </pic:blipFill>
                  <pic:spPr bwMode="auto">
                    <a:xfrm>
                      <a:off x="0" y="0"/>
                      <a:ext cx="5734050" cy="3352800"/>
                    </a:xfrm>
                    <a:prstGeom prst="rect">
                      <a:avLst/>
                    </a:prstGeom>
                    <a:noFill/>
                    <a:ln w="9525">
                      <a:noFill/>
                      <a:miter lim="800000"/>
                      <a:headEnd/>
                      <a:tailEnd/>
                    </a:ln>
                  </pic:spPr>
                </pic:pic>
              </a:graphicData>
            </a:graphic>
          </wp:inline>
        </w:drawing>
      </w:r>
    </w:p>
    <w:p w:rsidR="00B67D8A" w:rsidRDefault="00B7466C">
      <w:pPr>
        <w:adjustRightInd w:val="0"/>
        <w:snapToGrid w:val="0"/>
        <w:spacing w:line="360" w:lineRule="auto"/>
        <w:ind w:firstLineChars="200" w:firstLine="480"/>
        <w:rPr>
          <w:sz w:val="24"/>
          <w:szCs w:val="24"/>
        </w:rPr>
      </w:pPr>
      <w:r w:rsidRPr="00035D71">
        <w:rPr>
          <w:rFonts w:hint="eastAsia"/>
          <w:kern w:val="0"/>
          <w:sz w:val="24"/>
        </w:rPr>
        <w:t>注：本</w:t>
      </w:r>
      <w:proofErr w:type="gramStart"/>
      <w:r w:rsidRPr="00035D71">
        <w:rPr>
          <w:rFonts w:hint="eastAsia"/>
          <w:kern w:val="0"/>
          <w:sz w:val="24"/>
        </w:rPr>
        <w:t>基金基金</w:t>
      </w:r>
      <w:proofErr w:type="gramEnd"/>
      <w:r w:rsidRPr="00035D71">
        <w:rPr>
          <w:rFonts w:hint="eastAsia"/>
          <w:kern w:val="0"/>
          <w:sz w:val="24"/>
        </w:rPr>
        <w:t>合同生效日为</w:t>
      </w:r>
      <w:r w:rsidRPr="00035D71">
        <w:rPr>
          <w:kern w:val="0"/>
          <w:sz w:val="24"/>
        </w:rPr>
        <w:t>2013</w:t>
      </w:r>
      <w:r w:rsidRPr="00035D71">
        <w:rPr>
          <w:rFonts w:hint="eastAsia"/>
          <w:kern w:val="0"/>
          <w:sz w:val="24"/>
        </w:rPr>
        <w:t>年</w:t>
      </w:r>
      <w:r w:rsidRPr="00035D71">
        <w:rPr>
          <w:kern w:val="0"/>
          <w:sz w:val="24"/>
        </w:rPr>
        <w:t>9</w:t>
      </w:r>
      <w:r w:rsidRPr="00035D71">
        <w:rPr>
          <w:rFonts w:hint="eastAsia"/>
          <w:kern w:val="0"/>
          <w:sz w:val="24"/>
        </w:rPr>
        <w:t>月</w:t>
      </w:r>
      <w:r w:rsidRPr="00035D71">
        <w:rPr>
          <w:kern w:val="0"/>
          <w:sz w:val="24"/>
        </w:rPr>
        <w:t>4</w:t>
      </w:r>
      <w:r w:rsidRPr="00035D71">
        <w:rPr>
          <w:rFonts w:hint="eastAsia"/>
          <w:kern w:val="0"/>
          <w:sz w:val="24"/>
        </w:rPr>
        <w:t>日，基金合同生效日至报告期期末，本基金运作时间未满一年。本基金建仓期为自基金合同生效日起的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74" w:name="_Toc382321324"/>
      <w:r>
        <w:rPr>
          <w:rFonts w:ascii="宋体" w:hAnsi="宋体" w:hint="eastAsia"/>
          <w:b/>
          <w:kern w:val="0"/>
          <w:sz w:val="30"/>
        </w:rPr>
        <w:t>十三、基金的财产</w:t>
      </w:r>
      <w:bookmarkEnd w:id="74"/>
    </w:p>
    <w:p w:rsidR="00B67D8A" w:rsidRDefault="00B67D8A">
      <w:pPr>
        <w:widowControl/>
        <w:adjustRightInd w:val="0"/>
        <w:snapToGrid w:val="0"/>
        <w:spacing w:line="360" w:lineRule="auto"/>
        <w:ind w:firstLineChars="200" w:firstLine="482"/>
        <w:outlineLvl w:val="1"/>
        <w:rPr>
          <w:b/>
          <w:kern w:val="0"/>
          <w:sz w:val="24"/>
        </w:rPr>
      </w:pPr>
      <w:r>
        <w:rPr>
          <w:b/>
          <w:kern w:val="0"/>
          <w:sz w:val="24"/>
        </w:rPr>
        <w:t>（一）基金资产总值</w:t>
      </w:r>
      <w:r>
        <w:rPr>
          <w:b/>
          <w:kern w:val="0"/>
          <w:sz w:val="24"/>
        </w:rPr>
        <w:t xml:space="preserve"> </w:t>
      </w:r>
    </w:p>
    <w:p w:rsidR="00B67D8A" w:rsidRDefault="00B67D8A">
      <w:pPr>
        <w:widowControl/>
        <w:adjustRightInd w:val="0"/>
        <w:snapToGrid w:val="0"/>
        <w:spacing w:line="360" w:lineRule="auto"/>
        <w:ind w:firstLineChars="200" w:firstLine="480"/>
        <w:rPr>
          <w:kern w:val="0"/>
          <w:sz w:val="24"/>
        </w:rPr>
      </w:pPr>
      <w:r>
        <w:rPr>
          <w:sz w:val="24"/>
          <w:szCs w:val="21"/>
        </w:rPr>
        <w:t>基金资产总值是指</w:t>
      </w:r>
      <w:r>
        <w:rPr>
          <w:bCs/>
          <w:sz w:val="24"/>
        </w:rPr>
        <w:t>基金拥有的各类有价证券、银行存款本息、基金应收申购款及其他资产的价值总和</w:t>
      </w:r>
      <w:bookmarkStart w:id="75" w:name="_Toc311810245"/>
      <w:bookmarkEnd w:id="71"/>
      <w:r>
        <w:rPr>
          <w:sz w:val="24"/>
          <w:szCs w:val="21"/>
        </w:rPr>
        <w:t>。</w:t>
      </w:r>
    </w:p>
    <w:p w:rsidR="00B67D8A" w:rsidRDefault="00B67D8A">
      <w:pPr>
        <w:widowControl/>
        <w:adjustRightInd w:val="0"/>
        <w:snapToGrid w:val="0"/>
        <w:spacing w:line="360" w:lineRule="auto"/>
        <w:ind w:firstLineChars="200" w:firstLine="482"/>
        <w:outlineLvl w:val="1"/>
        <w:rPr>
          <w:b/>
          <w:kern w:val="0"/>
          <w:sz w:val="24"/>
        </w:rPr>
      </w:pPr>
      <w:r>
        <w:rPr>
          <w:b/>
          <w:kern w:val="0"/>
          <w:sz w:val="24"/>
        </w:rPr>
        <w:t>（二）基金资</w:t>
      </w:r>
      <w:bookmarkEnd w:id="75"/>
      <w:r>
        <w:rPr>
          <w:b/>
          <w:kern w:val="0"/>
          <w:sz w:val="24"/>
        </w:rPr>
        <w:t>产</w:t>
      </w:r>
      <w:bookmarkEnd w:id="69"/>
      <w:bookmarkEnd w:id="70"/>
      <w:r>
        <w:rPr>
          <w:b/>
          <w:kern w:val="0"/>
          <w:sz w:val="24"/>
        </w:rPr>
        <w:t>净</w:t>
      </w:r>
      <w:bookmarkStart w:id="76" w:name="_Toc109537391"/>
      <w:r>
        <w:rPr>
          <w:b/>
          <w:kern w:val="0"/>
          <w:sz w:val="24"/>
        </w:rPr>
        <w:t>值</w:t>
      </w:r>
      <w:r>
        <w:rPr>
          <w:b/>
          <w:kern w:val="0"/>
          <w:sz w:val="24"/>
        </w:rPr>
        <w:t xml:space="preserve"> </w:t>
      </w:r>
    </w:p>
    <w:p w:rsidR="00B67D8A" w:rsidRDefault="00B67D8A">
      <w:pPr>
        <w:widowControl/>
        <w:adjustRightInd w:val="0"/>
        <w:snapToGrid w:val="0"/>
        <w:spacing w:line="360" w:lineRule="auto"/>
        <w:ind w:firstLine="200"/>
        <w:rPr>
          <w:kern w:val="0"/>
          <w:sz w:val="24"/>
        </w:rPr>
      </w:pPr>
      <w:r>
        <w:rPr>
          <w:kern w:val="0"/>
          <w:sz w:val="24"/>
        </w:rPr>
        <w:t xml:space="preserve">    </w:t>
      </w:r>
      <w:r>
        <w:rPr>
          <w:kern w:val="0"/>
          <w:sz w:val="24"/>
        </w:rPr>
        <w:t>基</w:t>
      </w:r>
      <w:bookmarkEnd w:id="76"/>
      <w:r>
        <w:rPr>
          <w:kern w:val="0"/>
          <w:sz w:val="24"/>
        </w:rPr>
        <w:t>金资产净值是指基金资产总值</w:t>
      </w:r>
      <w:bookmarkStart w:id="77" w:name="_Toc79392635"/>
      <w:bookmarkStart w:id="78" w:name="_Toc79556449"/>
      <w:r>
        <w:rPr>
          <w:kern w:val="0"/>
          <w:sz w:val="24"/>
        </w:rPr>
        <w:t>减去基金负债后的价值。</w:t>
      </w:r>
    </w:p>
    <w:p w:rsidR="00B67D8A" w:rsidRDefault="00B67D8A">
      <w:pPr>
        <w:widowControl/>
        <w:adjustRightInd w:val="0"/>
        <w:snapToGrid w:val="0"/>
        <w:spacing w:line="360" w:lineRule="auto"/>
        <w:ind w:firstLineChars="200" w:firstLine="482"/>
        <w:outlineLvl w:val="1"/>
        <w:rPr>
          <w:b/>
          <w:kern w:val="0"/>
          <w:sz w:val="24"/>
        </w:rPr>
      </w:pPr>
      <w:r>
        <w:rPr>
          <w:b/>
          <w:kern w:val="0"/>
          <w:sz w:val="24"/>
        </w:rPr>
        <w:t>（三）基金财产的账户</w:t>
      </w:r>
      <w:r>
        <w:rPr>
          <w:b/>
          <w:kern w:val="0"/>
          <w:sz w:val="24"/>
        </w:rPr>
        <w:t xml:space="preserve"> </w:t>
      </w:r>
    </w:p>
    <w:p w:rsidR="00B67D8A" w:rsidRDefault="00B67D8A">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基金托管人根据相关法律法规、规范性文件为本基金开立资金账户、证券账户以及投资所需的其他专用账户。开立的基金专用账户与基金管理人、基</w:t>
      </w:r>
      <w:bookmarkEnd w:id="77"/>
      <w:bookmarkEnd w:id="78"/>
      <w:r>
        <w:rPr>
          <w:bCs/>
          <w:sz w:val="24"/>
        </w:rPr>
        <w:t>金托管人、基金销售机构和基金登记机构自有的财产账户以及其他基金财产账户相独立。</w:t>
      </w:r>
    </w:p>
    <w:p w:rsidR="00B67D8A" w:rsidRDefault="00B67D8A">
      <w:pPr>
        <w:widowControl/>
        <w:adjustRightInd w:val="0"/>
        <w:snapToGrid w:val="0"/>
        <w:spacing w:line="360" w:lineRule="auto"/>
        <w:ind w:firstLineChars="200" w:firstLine="482"/>
        <w:outlineLvl w:val="1"/>
        <w:rPr>
          <w:b/>
          <w:kern w:val="0"/>
          <w:sz w:val="24"/>
        </w:rPr>
      </w:pPr>
      <w:r>
        <w:rPr>
          <w:b/>
          <w:kern w:val="0"/>
          <w:sz w:val="24"/>
        </w:rPr>
        <w:t>（四）基金财产的保管和处分</w:t>
      </w:r>
      <w:r>
        <w:rPr>
          <w:b/>
          <w:kern w:val="0"/>
          <w:sz w:val="24"/>
        </w:rPr>
        <w:t xml:space="preserve"> </w:t>
      </w:r>
    </w:p>
    <w:p w:rsidR="00B67D8A" w:rsidRDefault="00B67D8A">
      <w:pPr>
        <w:widowControl/>
        <w:adjustRightInd w:val="0"/>
        <w:snapToGrid w:val="0"/>
        <w:spacing w:line="360" w:lineRule="auto"/>
        <w:ind w:firstLineChars="200" w:firstLine="480"/>
        <w:outlineLvl w:val="1"/>
        <w:rPr>
          <w:sz w:val="24"/>
        </w:rPr>
      </w:pPr>
      <w:r>
        <w:rPr>
          <w:sz w:val="24"/>
        </w:rPr>
        <w:lastRenderedPageBreak/>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79" w:name="_Hlt88900045"/>
      <w:bookmarkEnd w:id="79"/>
      <w:r>
        <w:rPr>
          <w:sz w:val="24"/>
        </w:rPr>
        <w:t>押或其他权利。除依法</w:t>
      </w:r>
      <w:proofErr w:type="gramStart"/>
      <w:r>
        <w:rPr>
          <w:sz w:val="24"/>
        </w:rPr>
        <w:t>律法规</w:t>
      </w:r>
      <w:proofErr w:type="gramEnd"/>
      <w:r>
        <w:rPr>
          <w:sz w:val="24"/>
        </w:rPr>
        <w:t>和基金合同的规定处分外，基金财产不得被处分。</w:t>
      </w:r>
    </w:p>
    <w:p w:rsidR="00B67D8A" w:rsidRDefault="00B67D8A">
      <w:pPr>
        <w:widowControl/>
        <w:adjustRightInd w:val="0"/>
        <w:snapToGrid w:val="0"/>
        <w:spacing w:line="360" w:lineRule="auto"/>
        <w:ind w:firstLineChars="200" w:firstLine="480"/>
        <w:rPr>
          <w:kern w:val="0"/>
          <w:sz w:val="24"/>
        </w:rPr>
      </w:pPr>
      <w:r>
        <w:rPr>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sz w:val="24"/>
        </w:rPr>
        <w:t>抵销</w:t>
      </w:r>
      <w:proofErr w:type="gramEnd"/>
      <w:r>
        <w:rPr>
          <w:sz w:val="24"/>
        </w:rPr>
        <w:t>；基金管理人管理运作不同基金的基金财产所产生的债权债务不得相互</w:t>
      </w:r>
      <w:proofErr w:type="gramStart"/>
      <w:r>
        <w:rPr>
          <w:sz w:val="24"/>
        </w:rPr>
        <w:t>抵销</w:t>
      </w:r>
      <w:proofErr w:type="gramEnd"/>
      <w:r>
        <w:rPr>
          <w:sz w:val="24"/>
        </w:rPr>
        <w:t>。</w:t>
      </w:r>
    </w:p>
    <w:p w:rsidR="00B67D8A" w:rsidRDefault="00B67D8A">
      <w:pPr>
        <w:widowControl/>
        <w:adjustRightInd w:val="0"/>
        <w:snapToGrid w:val="0"/>
        <w:spacing w:line="360" w:lineRule="auto"/>
        <w:ind w:firstLineChars="200" w:firstLine="480"/>
        <w:rPr>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80" w:name="_Toc382321325"/>
      <w:r>
        <w:rPr>
          <w:rFonts w:ascii="宋体" w:hAnsi="宋体" w:hint="eastAsia"/>
          <w:b/>
          <w:kern w:val="0"/>
          <w:sz w:val="30"/>
        </w:rPr>
        <w:t>十四、基金资产的估值</w:t>
      </w:r>
      <w:bookmarkEnd w:id="80"/>
    </w:p>
    <w:p w:rsidR="00B67D8A" w:rsidRDefault="00B67D8A">
      <w:pPr>
        <w:adjustRightInd w:val="0"/>
        <w:snapToGrid w:val="0"/>
        <w:spacing w:line="360" w:lineRule="auto"/>
        <w:ind w:firstLineChars="200" w:firstLine="482"/>
        <w:rPr>
          <w:b/>
          <w:sz w:val="24"/>
          <w:szCs w:val="24"/>
        </w:rPr>
      </w:pPr>
      <w:r>
        <w:rPr>
          <w:rFonts w:hAnsi="宋体"/>
          <w:b/>
          <w:sz w:val="24"/>
          <w:szCs w:val="24"/>
        </w:rPr>
        <w:t>（一）估值日</w:t>
      </w:r>
    </w:p>
    <w:p w:rsidR="00B67D8A" w:rsidRDefault="00B67D8A">
      <w:pPr>
        <w:adjustRightInd w:val="0"/>
        <w:snapToGrid w:val="0"/>
        <w:spacing w:line="360" w:lineRule="auto"/>
        <w:ind w:firstLineChars="200" w:firstLine="480"/>
        <w:rPr>
          <w:sz w:val="24"/>
          <w:szCs w:val="24"/>
        </w:rPr>
      </w:pPr>
      <w:r>
        <w:rPr>
          <w:rFonts w:hAnsi="宋体"/>
          <w:sz w:val="24"/>
          <w:szCs w:val="24"/>
        </w:rPr>
        <w:t>本基金的估值日为本基金相关的证券交易场所的交易日以及国家法律法规规定需要对外披露基金净值的</w:t>
      </w:r>
      <w:proofErr w:type="gramStart"/>
      <w:r>
        <w:rPr>
          <w:rFonts w:hAnsi="宋体"/>
          <w:sz w:val="24"/>
          <w:szCs w:val="24"/>
        </w:rPr>
        <w:t>非交易</w:t>
      </w:r>
      <w:proofErr w:type="gramEnd"/>
      <w:r>
        <w:rPr>
          <w:rFonts w:hAnsi="宋体"/>
          <w:sz w:val="24"/>
          <w:szCs w:val="24"/>
        </w:rPr>
        <w:t>日。</w:t>
      </w:r>
    </w:p>
    <w:p w:rsidR="00B67D8A" w:rsidRDefault="00B67D8A">
      <w:pPr>
        <w:adjustRightInd w:val="0"/>
        <w:snapToGrid w:val="0"/>
        <w:spacing w:line="360" w:lineRule="auto"/>
        <w:ind w:firstLineChars="200" w:firstLine="482"/>
        <w:rPr>
          <w:b/>
          <w:bCs/>
          <w:sz w:val="24"/>
          <w:szCs w:val="24"/>
        </w:rPr>
      </w:pPr>
      <w:r>
        <w:rPr>
          <w:rFonts w:hAnsi="宋体"/>
          <w:b/>
          <w:bCs/>
          <w:sz w:val="24"/>
          <w:szCs w:val="24"/>
        </w:rPr>
        <w:t>（二）估值对象</w:t>
      </w:r>
    </w:p>
    <w:p w:rsidR="00B67D8A" w:rsidRDefault="00B67D8A">
      <w:pPr>
        <w:adjustRightInd w:val="0"/>
        <w:snapToGrid w:val="0"/>
        <w:spacing w:line="360" w:lineRule="auto"/>
        <w:ind w:firstLineChars="200" w:firstLine="480"/>
        <w:rPr>
          <w:sz w:val="24"/>
          <w:szCs w:val="24"/>
        </w:rPr>
      </w:pPr>
      <w:r>
        <w:rPr>
          <w:rFonts w:hAnsi="宋体"/>
          <w:bCs/>
          <w:sz w:val="24"/>
          <w:szCs w:val="24"/>
        </w:rPr>
        <w:t>基金所拥有的股票、权证、债券和银行存款本息、应收款项、其它投资等资产及负债。</w:t>
      </w:r>
    </w:p>
    <w:p w:rsidR="00B67D8A" w:rsidRDefault="00B67D8A">
      <w:pPr>
        <w:adjustRightInd w:val="0"/>
        <w:snapToGrid w:val="0"/>
        <w:spacing w:line="360" w:lineRule="auto"/>
        <w:ind w:firstLineChars="200" w:firstLine="482"/>
        <w:rPr>
          <w:b/>
          <w:sz w:val="24"/>
          <w:szCs w:val="24"/>
        </w:rPr>
      </w:pPr>
      <w:r>
        <w:rPr>
          <w:rFonts w:hAnsi="宋体"/>
          <w:b/>
          <w:sz w:val="24"/>
          <w:szCs w:val="24"/>
        </w:rPr>
        <w:t>（三）估值方法</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、证券交易所上市的有价证券的估值</w:t>
      </w:r>
    </w:p>
    <w:p w:rsidR="00B67D8A" w:rsidRDefault="00B67D8A">
      <w:pPr>
        <w:adjustRightInd w:val="0"/>
        <w:snapToGrid w:val="0"/>
        <w:spacing w:line="360" w:lineRule="auto"/>
        <w:ind w:firstLineChars="200" w:firstLine="480"/>
        <w:rPr>
          <w:sz w:val="24"/>
          <w:szCs w:val="24"/>
        </w:rPr>
      </w:pPr>
      <w:r>
        <w:rPr>
          <w:rFonts w:hAnsi="宋体"/>
          <w:bCs/>
          <w:sz w:val="24"/>
          <w:szCs w:val="24"/>
        </w:rPr>
        <w:t>（</w:t>
      </w:r>
      <w:r>
        <w:rPr>
          <w:bCs/>
          <w:sz w:val="24"/>
          <w:szCs w:val="24"/>
        </w:rPr>
        <w:t>1</w:t>
      </w:r>
      <w:r>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w:t>
      </w:r>
      <w:r>
        <w:rPr>
          <w:rFonts w:hAnsi="宋体"/>
          <w:sz w:val="24"/>
          <w:szCs w:val="24"/>
        </w:rPr>
        <w:lastRenderedPageBreak/>
        <w:t>素，调整最近交易市价，确定公允价格；</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、处于未上市期间的有价证券应区分如下情况处理：</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）送股、转增股、配股和公开增发的新股，按估值日在证券交易所挂牌的同一股票的估值方法估值；</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）首次公开发行未上市的股票、债券和权证，采用估值技术确定公允价值，在估值技术难以可靠计量公允价值的情况下，按成本估值；</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、全国银行间债券市场交易的债券、资产支持证券等固定收益品种，采用估值技术确定公允价值。</w:t>
      </w:r>
    </w:p>
    <w:p w:rsidR="00B67D8A" w:rsidRDefault="00B67D8A">
      <w:pPr>
        <w:adjustRightInd w:val="0"/>
        <w:snapToGrid w:val="0"/>
        <w:spacing w:line="360" w:lineRule="auto"/>
        <w:ind w:firstLineChars="200" w:firstLine="480"/>
        <w:rPr>
          <w:sz w:val="24"/>
          <w:szCs w:val="24"/>
        </w:rPr>
      </w:pPr>
      <w:r>
        <w:rPr>
          <w:sz w:val="24"/>
          <w:szCs w:val="24"/>
        </w:rPr>
        <w:t>4</w:t>
      </w:r>
      <w:r>
        <w:rPr>
          <w:rFonts w:hAnsi="宋体"/>
          <w:sz w:val="24"/>
          <w:szCs w:val="24"/>
        </w:rPr>
        <w:t>、同一债券同时在两个或两个以上市场交易的，按债券所处的市场分别估值。</w:t>
      </w:r>
    </w:p>
    <w:p w:rsidR="00B67D8A" w:rsidRDefault="00B67D8A">
      <w:pPr>
        <w:adjustRightInd w:val="0"/>
        <w:snapToGrid w:val="0"/>
        <w:spacing w:line="360" w:lineRule="auto"/>
        <w:ind w:firstLineChars="200" w:firstLine="480"/>
        <w:rPr>
          <w:sz w:val="24"/>
          <w:szCs w:val="24"/>
        </w:rPr>
      </w:pPr>
      <w:r>
        <w:rPr>
          <w:sz w:val="24"/>
          <w:szCs w:val="24"/>
        </w:rPr>
        <w:t>5</w:t>
      </w:r>
      <w:r>
        <w:rPr>
          <w:rFonts w:hAnsi="宋体"/>
          <w:sz w:val="24"/>
          <w:szCs w:val="24"/>
        </w:rPr>
        <w:t>、如有确凿证据表明按上述方法进行估值不能客观反映其公允价值的，基金管理人可根据具体情况与基金托管人商定后，按最能反映公允价值的价格估值。</w:t>
      </w:r>
    </w:p>
    <w:p w:rsidR="00B67D8A" w:rsidRDefault="00B67D8A">
      <w:pPr>
        <w:adjustRightInd w:val="0"/>
        <w:snapToGrid w:val="0"/>
        <w:spacing w:line="360" w:lineRule="auto"/>
        <w:ind w:firstLineChars="200" w:firstLine="480"/>
        <w:rPr>
          <w:sz w:val="24"/>
          <w:szCs w:val="24"/>
        </w:rPr>
      </w:pPr>
      <w:r>
        <w:rPr>
          <w:sz w:val="24"/>
          <w:szCs w:val="24"/>
        </w:rPr>
        <w:t>6</w:t>
      </w:r>
      <w:r>
        <w:rPr>
          <w:rFonts w:hAnsi="宋体"/>
          <w:sz w:val="24"/>
          <w:szCs w:val="24"/>
        </w:rPr>
        <w:t>、相关法律法规以及监管部门有强制规定的，从其规定。如有新增事项，按国家最新规定估值。</w:t>
      </w:r>
    </w:p>
    <w:p w:rsidR="00B67D8A" w:rsidRDefault="00B67D8A">
      <w:pPr>
        <w:adjustRightInd w:val="0"/>
        <w:snapToGrid w:val="0"/>
        <w:spacing w:line="360" w:lineRule="auto"/>
        <w:ind w:firstLineChars="200" w:firstLine="480"/>
        <w:rPr>
          <w:rStyle w:val="read"/>
          <w:sz w:val="24"/>
          <w:szCs w:val="24"/>
        </w:rPr>
      </w:pPr>
      <w:r>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B67D8A" w:rsidRDefault="00B67D8A">
      <w:pPr>
        <w:adjustRightInd w:val="0"/>
        <w:snapToGrid w:val="0"/>
        <w:spacing w:line="360" w:lineRule="auto"/>
        <w:ind w:firstLineChars="200" w:firstLine="480"/>
        <w:rPr>
          <w:sz w:val="24"/>
          <w:szCs w:val="24"/>
        </w:rPr>
      </w:pPr>
      <w:r>
        <w:rPr>
          <w:rFonts w:hAnsi="宋体"/>
          <w:sz w:val="24"/>
          <w:szCs w:val="24"/>
        </w:rPr>
        <w:t>根据有关法律法规，基金资产净值计算和基金会计核算的义务由基金管理人承</w:t>
      </w:r>
      <w:r>
        <w:rPr>
          <w:rFonts w:hAnsi="宋体"/>
          <w:sz w:val="24"/>
          <w:szCs w:val="24"/>
        </w:rPr>
        <w:lastRenderedPageBreak/>
        <w:t>担。本基金的基金会计责任方由基金管理人担任，因此，就与本基金有关的会计问题，如经相关各方在平等基础上充分讨论后，仍无法达成一致的意见，按照基金管理人对基金资产净值的计算结果对外予以公布。</w:t>
      </w:r>
    </w:p>
    <w:p w:rsidR="00B67D8A" w:rsidRDefault="00B67D8A">
      <w:pPr>
        <w:adjustRightInd w:val="0"/>
        <w:snapToGrid w:val="0"/>
        <w:spacing w:line="360" w:lineRule="auto"/>
        <w:ind w:firstLineChars="200" w:firstLine="482"/>
        <w:rPr>
          <w:b/>
          <w:sz w:val="24"/>
          <w:szCs w:val="24"/>
        </w:rPr>
      </w:pPr>
      <w:r>
        <w:rPr>
          <w:rFonts w:hAnsi="宋体"/>
          <w:b/>
          <w:sz w:val="24"/>
          <w:szCs w:val="24"/>
        </w:rPr>
        <w:t>（四）估值程序</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、基金份额净值是按照每个工作日闭市后，基金资产净值除以当日基金份额的余额数量计算，精确到</w:t>
      </w:r>
      <w:r>
        <w:rPr>
          <w:sz w:val="24"/>
          <w:szCs w:val="24"/>
        </w:rPr>
        <w:t>0.001</w:t>
      </w:r>
      <w:r>
        <w:rPr>
          <w:rFonts w:hAnsi="宋体"/>
          <w:sz w:val="24"/>
          <w:szCs w:val="24"/>
        </w:rPr>
        <w:t>元，小数点后第四位四舍五入。国家另有规定的，从其规定。</w:t>
      </w:r>
    </w:p>
    <w:p w:rsidR="00B67D8A" w:rsidRDefault="00B67D8A">
      <w:pPr>
        <w:adjustRightInd w:val="0"/>
        <w:snapToGrid w:val="0"/>
        <w:spacing w:line="360" w:lineRule="auto"/>
        <w:ind w:firstLineChars="200" w:firstLine="480"/>
        <w:rPr>
          <w:sz w:val="24"/>
          <w:szCs w:val="24"/>
        </w:rPr>
      </w:pPr>
      <w:r>
        <w:rPr>
          <w:rFonts w:hAnsi="宋体"/>
          <w:sz w:val="24"/>
          <w:szCs w:val="24"/>
        </w:rPr>
        <w:t>每个工作日计算基金资产净值及基金份额净值，并按规定公告。</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、基金管理人</w:t>
      </w:r>
      <w:proofErr w:type="gramStart"/>
      <w:r>
        <w:rPr>
          <w:rFonts w:hAnsi="宋体"/>
          <w:sz w:val="24"/>
          <w:szCs w:val="24"/>
        </w:rPr>
        <w:t>应每个</w:t>
      </w:r>
      <w:proofErr w:type="gramEnd"/>
      <w:r>
        <w:rPr>
          <w:rFonts w:hAnsi="宋体"/>
          <w:sz w:val="24"/>
          <w:szCs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rsidR="00B67D8A" w:rsidRDefault="00B67D8A">
      <w:pPr>
        <w:adjustRightInd w:val="0"/>
        <w:snapToGrid w:val="0"/>
        <w:spacing w:line="360" w:lineRule="auto"/>
        <w:ind w:firstLineChars="200" w:firstLine="482"/>
        <w:rPr>
          <w:b/>
          <w:sz w:val="24"/>
          <w:szCs w:val="24"/>
        </w:rPr>
      </w:pPr>
      <w:r>
        <w:rPr>
          <w:rFonts w:hAnsi="宋体"/>
          <w:b/>
          <w:sz w:val="24"/>
          <w:szCs w:val="24"/>
        </w:rPr>
        <w:t>（五）估值错误的处理</w:t>
      </w:r>
    </w:p>
    <w:p w:rsidR="00B67D8A" w:rsidRDefault="00B67D8A">
      <w:pPr>
        <w:adjustRightInd w:val="0"/>
        <w:snapToGrid w:val="0"/>
        <w:spacing w:line="360" w:lineRule="auto"/>
        <w:ind w:firstLineChars="200" w:firstLine="480"/>
        <w:rPr>
          <w:sz w:val="24"/>
          <w:szCs w:val="24"/>
        </w:rPr>
      </w:pPr>
      <w:r>
        <w:rPr>
          <w:rFonts w:hAnsi="宋体"/>
          <w:sz w:val="24"/>
          <w:szCs w:val="24"/>
        </w:rPr>
        <w:t>基金管理人和基金托管人将采取必要、适当、合理的措施确保基金资产估值的准确性、及时性。当基金份额净值小数点后</w:t>
      </w:r>
      <w:r>
        <w:rPr>
          <w:rFonts w:hAnsi="宋体" w:hint="eastAsia"/>
          <w:sz w:val="24"/>
          <w:szCs w:val="24"/>
        </w:rPr>
        <w:t>第</w:t>
      </w:r>
      <w:r>
        <w:rPr>
          <w:sz w:val="24"/>
          <w:szCs w:val="24"/>
        </w:rPr>
        <w:t>3</w:t>
      </w:r>
      <w:r>
        <w:rPr>
          <w:rFonts w:hAnsi="宋体"/>
          <w:sz w:val="24"/>
          <w:szCs w:val="24"/>
        </w:rPr>
        <w:t>位以内（含第</w:t>
      </w:r>
      <w:r>
        <w:rPr>
          <w:sz w:val="24"/>
          <w:szCs w:val="24"/>
        </w:rPr>
        <w:t>3</w:t>
      </w:r>
      <w:r>
        <w:rPr>
          <w:rFonts w:hAnsi="宋体"/>
          <w:sz w:val="24"/>
          <w:szCs w:val="24"/>
        </w:rPr>
        <w:t>位）发生</w:t>
      </w:r>
      <w:r>
        <w:rPr>
          <w:rFonts w:hAnsi="宋体"/>
          <w:bCs/>
          <w:sz w:val="24"/>
          <w:szCs w:val="24"/>
        </w:rPr>
        <w:t>估值错误</w:t>
      </w:r>
      <w:r>
        <w:rPr>
          <w:rFonts w:hAnsi="宋体"/>
          <w:sz w:val="24"/>
          <w:szCs w:val="24"/>
        </w:rPr>
        <w:t>时，视为基金份额净值错误。</w:t>
      </w:r>
    </w:p>
    <w:p w:rsidR="00B67D8A" w:rsidRDefault="00B67D8A">
      <w:pPr>
        <w:adjustRightInd w:val="0"/>
        <w:snapToGrid w:val="0"/>
        <w:spacing w:line="360" w:lineRule="auto"/>
        <w:ind w:firstLineChars="200" w:firstLine="480"/>
        <w:rPr>
          <w:sz w:val="24"/>
          <w:szCs w:val="24"/>
        </w:rPr>
      </w:pPr>
      <w:r>
        <w:rPr>
          <w:rFonts w:hAnsi="宋体"/>
          <w:sz w:val="24"/>
          <w:szCs w:val="24"/>
        </w:rPr>
        <w:t>本</w:t>
      </w:r>
      <w:proofErr w:type="gramStart"/>
      <w:r>
        <w:rPr>
          <w:rFonts w:hAnsi="宋体"/>
          <w:sz w:val="24"/>
          <w:szCs w:val="24"/>
        </w:rPr>
        <w:t>基金基金</w:t>
      </w:r>
      <w:proofErr w:type="gramEnd"/>
      <w:r>
        <w:rPr>
          <w:rFonts w:hAnsi="宋体"/>
          <w:sz w:val="24"/>
          <w:szCs w:val="24"/>
        </w:rPr>
        <w:t>合同的当事人应按照以下约定处理：</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w:t>
      </w:r>
      <w:r>
        <w:rPr>
          <w:rFonts w:hAnsi="宋体"/>
          <w:bCs/>
          <w:sz w:val="24"/>
          <w:szCs w:val="24"/>
        </w:rPr>
        <w:t>估值错误</w:t>
      </w:r>
      <w:r>
        <w:rPr>
          <w:rFonts w:hAnsi="宋体"/>
          <w:sz w:val="24"/>
          <w:szCs w:val="24"/>
        </w:rPr>
        <w:t>类型</w:t>
      </w:r>
    </w:p>
    <w:p w:rsidR="00B67D8A" w:rsidRDefault="00B67D8A">
      <w:pPr>
        <w:adjustRightInd w:val="0"/>
        <w:snapToGrid w:val="0"/>
        <w:spacing w:line="360" w:lineRule="auto"/>
        <w:ind w:firstLineChars="200" w:firstLine="480"/>
        <w:rPr>
          <w:sz w:val="24"/>
          <w:szCs w:val="24"/>
        </w:rPr>
      </w:pPr>
      <w:r>
        <w:rPr>
          <w:rFonts w:hAnsi="宋体"/>
          <w:sz w:val="24"/>
          <w:szCs w:val="24"/>
        </w:rPr>
        <w:t>本基金运作过程中，如果由于基金管理人或基金托管人、或登记机构、或销售机构、或投资人自身的过错造成</w:t>
      </w:r>
      <w:r>
        <w:rPr>
          <w:rFonts w:hAnsi="宋体"/>
          <w:bCs/>
          <w:sz w:val="24"/>
          <w:szCs w:val="24"/>
        </w:rPr>
        <w:t>估值错误</w:t>
      </w:r>
      <w:r>
        <w:rPr>
          <w:rFonts w:hAnsi="宋体"/>
          <w:sz w:val="24"/>
          <w:szCs w:val="24"/>
        </w:rPr>
        <w:t>，导致其他当事人遭受损失的，过错的责任人应当对由于该</w:t>
      </w:r>
      <w:r>
        <w:rPr>
          <w:rFonts w:hAnsi="宋体"/>
          <w:bCs/>
          <w:sz w:val="24"/>
          <w:szCs w:val="24"/>
        </w:rPr>
        <w:t>估值错误</w:t>
      </w:r>
      <w:r>
        <w:rPr>
          <w:rFonts w:hAnsi="宋体"/>
          <w:sz w:val="24"/>
          <w:szCs w:val="24"/>
        </w:rPr>
        <w:t>遭受损失当事人（</w:t>
      </w:r>
      <w:r>
        <w:rPr>
          <w:rFonts w:hint="eastAsia"/>
          <w:sz w:val="24"/>
          <w:szCs w:val="24"/>
        </w:rPr>
        <w:t>“</w:t>
      </w:r>
      <w:r>
        <w:rPr>
          <w:rFonts w:hAnsi="宋体"/>
          <w:sz w:val="24"/>
          <w:szCs w:val="24"/>
        </w:rPr>
        <w:t>受损方</w:t>
      </w:r>
      <w:r>
        <w:rPr>
          <w:rFonts w:hint="eastAsia"/>
          <w:sz w:val="24"/>
          <w:szCs w:val="24"/>
        </w:rPr>
        <w:t>”</w:t>
      </w:r>
      <w:r>
        <w:rPr>
          <w:rFonts w:hAnsi="宋体"/>
          <w:sz w:val="24"/>
          <w:szCs w:val="24"/>
        </w:rPr>
        <w:t>）的直接损失按下述</w:t>
      </w:r>
      <w:r>
        <w:rPr>
          <w:rFonts w:hint="eastAsia"/>
          <w:sz w:val="24"/>
          <w:szCs w:val="24"/>
        </w:rPr>
        <w:t>“</w:t>
      </w:r>
      <w:r>
        <w:rPr>
          <w:rFonts w:hAnsi="宋体"/>
          <w:bCs/>
          <w:sz w:val="24"/>
          <w:szCs w:val="24"/>
        </w:rPr>
        <w:t>估值错误</w:t>
      </w:r>
      <w:r>
        <w:rPr>
          <w:rFonts w:hAnsi="宋体"/>
          <w:sz w:val="24"/>
          <w:szCs w:val="24"/>
        </w:rPr>
        <w:t>处理原则</w:t>
      </w:r>
      <w:r>
        <w:rPr>
          <w:rFonts w:hint="eastAsia"/>
          <w:sz w:val="24"/>
          <w:szCs w:val="24"/>
        </w:rPr>
        <w:t>”</w:t>
      </w:r>
      <w:r>
        <w:rPr>
          <w:rFonts w:hAnsi="宋体"/>
          <w:sz w:val="24"/>
          <w:szCs w:val="24"/>
        </w:rPr>
        <w:t>给予赔偿，承担赔偿责任。</w:t>
      </w:r>
    </w:p>
    <w:p w:rsidR="00B67D8A" w:rsidRDefault="00B67D8A">
      <w:pPr>
        <w:adjustRightInd w:val="0"/>
        <w:snapToGrid w:val="0"/>
        <w:spacing w:line="360" w:lineRule="auto"/>
        <w:ind w:firstLineChars="200" w:firstLine="480"/>
        <w:rPr>
          <w:sz w:val="24"/>
          <w:szCs w:val="24"/>
        </w:rPr>
      </w:pPr>
      <w:r>
        <w:rPr>
          <w:rFonts w:hAnsi="宋体"/>
          <w:sz w:val="24"/>
          <w:szCs w:val="24"/>
        </w:rPr>
        <w:t>上述</w:t>
      </w:r>
      <w:r>
        <w:rPr>
          <w:rFonts w:hAnsi="宋体"/>
          <w:bCs/>
          <w:sz w:val="24"/>
          <w:szCs w:val="24"/>
        </w:rPr>
        <w:t>估值错误</w:t>
      </w:r>
      <w:r>
        <w:rPr>
          <w:rFonts w:hAnsi="宋体"/>
          <w:sz w:val="24"/>
          <w:szCs w:val="24"/>
        </w:rPr>
        <w:t>的主要类型包括但不限于：资料申报差错、数据传输差错、数据计算差错、系统故障差错、下达指令差错等。</w:t>
      </w:r>
    </w:p>
    <w:p w:rsidR="00B67D8A" w:rsidRDefault="00B67D8A">
      <w:pPr>
        <w:adjustRightInd w:val="0"/>
        <w:snapToGrid w:val="0"/>
        <w:spacing w:line="360" w:lineRule="auto"/>
        <w:ind w:firstLineChars="200" w:firstLine="480"/>
        <w:rPr>
          <w:sz w:val="24"/>
          <w:szCs w:val="24"/>
        </w:rPr>
      </w:pPr>
      <w:r>
        <w:rPr>
          <w:rFonts w:hAnsi="宋体"/>
          <w:sz w:val="24"/>
          <w:szCs w:val="24"/>
        </w:rPr>
        <w:t>对于因技术原因引起的</w:t>
      </w:r>
      <w:r>
        <w:rPr>
          <w:rFonts w:hAnsi="宋体" w:hint="eastAsia"/>
          <w:bCs/>
          <w:sz w:val="24"/>
          <w:szCs w:val="24"/>
        </w:rPr>
        <w:t>估值错误</w:t>
      </w:r>
      <w:r>
        <w:rPr>
          <w:rFonts w:hAnsi="宋体"/>
          <w:sz w:val="24"/>
          <w:szCs w:val="24"/>
        </w:rPr>
        <w:t>，若系同行业现有技术水平无法预见、无法避免、无法抗拒，则属不可抗力，按照下述规定执行。</w:t>
      </w:r>
    </w:p>
    <w:p w:rsidR="00B67D8A" w:rsidRDefault="00B67D8A">
      <w:pPr>
        <w:adjustRightInd w:val="0"/>
        <w:snapToGrid w:val="0"/>
        <w:spacing w:line="360" w:lineRule="auto"/>
        <w:ind w:firstLineChars="200" w:firstLine="480"/>
        <w:rPr>
          <w:sz w:val="24"/>
          <w:szCs w:val="24"/>
        </w:rPr>
      </w:pPr>
      <w:r>
        <w:rPr>
          <w:rFonts w:hAnsi="宋体"/>
          <w:sz w:val="24"/>
          <w:szCs w:val="24"/>
        </w:rPr>
        <w:t>由于不可抗力原因造成投资人的交易资料灭失或被错误处理或造成其他</w:t>
      </w:r>
      <w:r>
        <w:rPr>
          <w:rFonts w:hAnsi="宋体"/>
          <w:bCs/>
          <w:sz w:val="24"/>
          <w:szCs w:val="24"/>
        </w:rPr>
        <w:t>错误等</w:t>
      </w:r>
      <w:r>
        <w:rPr>
          <w:rFonts w:hAnsi="宋体"/>
          <w:sz w:val="24"/>
          <w:szCs w:val="24"/>
        </w:rPr>
        <w:t>，因不可抗力原因出现</w:t>
      </w:r>
      <w:r>
        <w:rPr>
          <w:rFonts w:hAnsi="宋体"/>
          <w:bCs/>
          <w:sz w:val="24"/>
          <w:szCs w:val="24"/>
        </w:rPr>
        <w:t>估值错误</w:t>
      </w:r>
      <w:r>
        <w:rPr>
          <w:rFonts w:hAnsi="宋体"/>
          <w:sz w:val="24"/>
          <w:szCs w:val="24"/>
        </w:rPr>
        <w:t>的当事人不对其他当事人承担赔偿责任，但因该</w:t>
      </w:r>
      <w:r>
        <w:rPr>
          <w:rFonts w:hAnsi="宋体"/>
          <w:bCs/>
          <w:sz w:val="24"/>
          <w:szCs w:val="24"/>
        </w:rPr>
        <w:t>估值</w:t>
      </w:r>
      <w:r>
        <w:rPr>
          <w:rFonts w:hAnsi="宋体"/>
          <w:bCs/>
          <w:sz w:val="24"/>
          <w:szCs w:val="24"/>
        </w:rPr>
        <w:lastRenderedPageBreak/>
        <w:t>错误</w:t>
      </w:r>
      <w:r>
        <w:rPr>
          <w:rFonts w:hAnsi="宋体"/>
          <w:sz w:val="24"/>
          <w:szCs w:val="24"/>
        </w:rPr>
        <w:t>取得不当得利的当事人仍应负有返还不当得利的义务。</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w:t>
      </w:r>
      <w:r>
        <w:rPr>
          <w:rFonts w:hAnsi="宋体"/>
          <w:bCs/>
          <w:sz w:val="24"/>
          <w:szCs w:val="24"/>
        </w:rPr>
        <w:t>估值错误</w:t>
      </w:r>
      <w:r>
        <w:rPr>
          <w:rFonts w:hAnsi="宋体"/>
          <w:sz w:val="24"/>
          <w:szCs w:val="24"/>
        </w:rPr>
        <w:t>处理原则</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r>
        <w:rPr>
          <w:rFonts w:hAnsi="宋体"/>
          <w:bCs/>
          <w:sz w:val="24"/>
          <w:szCs w:val="24"/>
        </w:rPr>
        <w:t>估值错误</w:t>
      </w:r>
      <w:r>
        <w:rPr>
          <w:rFonts w:hAnsi="宋体"/>
          <w:sz w:val="24"/>
          <w:szCs w:val="24"/>
        </w:rPr>
        <w:t>已发生，但尚未给当事人造成损失时，</w:t>
      </w:r>
      <w:r>
        <w:rPr>
          <w:rFonts w:hAnsi="宋体"/>
          <w:bCs/>
          <w:sz w:val="24"/>
          <w:szCs w:val="24"/>
        </w:rPr>
        <w:t>估值错误</w:t>
      </w:r>
      <w:r>
        <w:rPr>
          <w:rFonts w:hAnsi="宋体"/>
          <w:sz w:val="24"/>
          <w:szCs w:val="24"/>
        </w:rPr>
        <w:t>责任方应及时协调各方，及时进行更正，因更正</w:t>
      </w:r>
      <w:r>
        <w:rPr>
          <w:rFonts w:hAnsi="宋体"/>
          <w:bCs/>
          <w:sz w:val="24"/>
          <w:szCs w:val="24"/>
        </w:rPr>
        <w:t>估值错误</w:t>
      </w:r>
      <w:r>
        <w:rPr>
          <w:rFonts w:hAnsi="宋体"/>
          <w:sz w:val="24"/>
          <w:szCs w:val="24"/>
        </w:rPr>
        <w:t>发生的费用由</w:t>
      </w:r>
      <w:r>
        <w:rPr>
          <w:rFonts w:hAnsi="宋体"/>
          <w:bCs/>
          <w:sz w:val="24"/>
          <w:szCs w:val="24"/>
        </w:rPr>
        <w:t>估值错误</w:t>
      </w:r>
      <w:r>
        <w:rPr>
          <w:rFonts w:hAnsi="宋体"/>
          <w:sz w:val="24"/>
          <w:szCs w:val="24"/>
        </w:rPr>
        <w:t>责任方承担；由于</w:t>
      </w:r>
      <w:r>
        <w:rPr>
          <w:rFonts w:hAnsi="宋体"/>
          <w:bCs/>
          <w:sz w:val="24"/>
          <w:szCs w:val="24"/>
        </w:rPr>
        <w:t>估值错误</w:t>
      </w:r>
      <w:r>
        <w:rPr>
          <w:rFonts w:hAnsi="宋体"/>
          <w:sz w:val="24"/>
          <w:szCs w:val="24"/>
        </w:rPr>
        <w:t>责任方未及时更正已产生的</w:t>
      </w:r>
      <w:r>
        <w:rPr>
          <w:rFonts w:hAnsi="宋体"/>
          <w:bCs/>
          <w:sz w:val="24"/>
          <w:szCs w:val="24"/>
        </w:rPr>
        <w:t>估值错误</w:t>
      </w:r>
      <w:r>
        <w:rPr>
          <w:rFonts w:hAnsi="宋体"/>
          <w:sz w:val="24"/>
          <w:szCs w:val="24"/>
        </w:rPr>
        <w:t>，给当事人造成损失的，由</w:t>
      </w:r>
      <w:r>
        <w:rPr>
          <w:rFonts w:hAnsi="宋体"/>
          <w:bCs/>
          <w:sz w:val="24"/>
          <w:szCs w:val="24"/>
        </w:rPr>
        <w:t>估值错误</w:t>
      </w:r>
      <w:r>
        <w:rPr>
          <w:rFonts w:hAnsi="宋体"/>
          <w:sz w:val="24"/>
          <w:szCs w:val="24"/>
        </w:rPr>
        <w:t>责任方对直接损失承担赔偿责任；若</w:t>
      </w:r>
      <w:r>
        <w:rPr>
          <w:rFonts w:hAnsi="宋体"/>
          <w:bCs/>
          <w:sz w:val="24"/>
          <w:szCs w:val="24"/>
        </w:rPr>
        <w:t>估值错误</w:t>
      </w:r>
      <w:r>
        <w:rPr>
          <w:rFonts w:hAnsi="宋体"/>
          <w:sz w:val="24"/>
          <w:szCs w:val="24"/>
        </w:rPr>
        <w:t>责任方已经积极协调，并且有协助义务的当事人有足够的时间进行更正而未更正，则其应当承担相应赔偿责任。</w:t>
      </w:r>
      <w:r>
        <w:rPr>
          <w:rFonts w:hAnsi="宋体"/>
          <w:bCs/>
          <w:sz w:val="24"/>
          <w:szCs w:val="24"/>
        </w:rPr>
        <w:t>估值错误</w:t>
      </w:r>
      <w:r>
        <w:rPr>
          <w:rFonts w:hAnsi="宋体"/>
          <w:sz w:val="24"/>
          <w:szCs w:val="24"/>
        </w:rPr>
        <w:t>责任方应对更正的情况向有关当事人进行确认，确保</w:t>
      </w:r>
      <w:r>
        <w:rPr>
          <w:rFonts w:hAnsi="宋体"/>
          <w:bCs/>
          <w:sz w:val="24"/>
          <w:szCs w:val="24"/>
        </w:rPr>
        <w:t>估值错误</w:t>
      </w:r>
      <w:r>
        <w:rPr>
          <w:rFonts w:hAnsi="宋体"/>
          <w:sz w:val="24"/>
          <w:szCs w:val="24"/>
        </w:rPr>
        <w:t>已得到更正。</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bCs/>
          <w:sz w:val="24"/>
          <w:szCs w:val="24"/>
        </w:rPr>
        <w:t>估值错误</w:t>
      </w:r>
      <w:r>
        <w:rPr>
          <w:rFonts w:hAnsi="宋体"/>
          <w:sz w:val="24"/>
          <w:szCs w:val="24"/>
        </w:rPr>
        <w:t>的责任方对有关当事人的直接损失负责，不对间接损失负责，并且仅对</w:t>
      </w:r>
      <w:r>
        <w:rPr>
          <w:rFonts w:hAnsi="宋体"/>
          <w:bCs/>
          <w:sz w:val="24"/>
          <w:szCs w:val="24"/>
        </w:rPr>
        <w:t>估值错误</w:t>
      </w:r>
      <w:r>
        <w:rPr>
          <w:rFonts w:hAnsi="宋体"/>
          <w:sz w:val="24"/>
          <w:szCs w:val="24"/>
        </w:rPr>
        <w:t>的有关直接当事人负责，不对第三方负责。</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）因</w:t>
      </w:r>
      <w:r>
        <w:rPr>
          <w:rFonts w:hAnsi="宋体"/>
          <w:bCs/>
          <w:sz w:val="24"/>
          <w:szCs w:val="24"/>
        </w:rPr>
        <w:t>估值错误</w:t>
      </w:r>
      <w:r>
        <w:rPr>
          <w:rFonts w:hAnsi="宋体"/>
          <w:sz w:val="24"/>
          <w:szCs w:val="24"/>
        </w:rPr>
        <w:t>而获得不当得利的当事人负有及时返还不当得利的义务。但</w:t>
      </w:r>
      <w:r>
        <w:rPr>
          <w:rFonts w:hAnsi="宋体"/>
          <w:bCs/>
          <w:sz w:val="24"/>
          <w:szCs w:val="24"/>
        </w:rPr>
        <w:t>估值错误</w:t>
      </w:r>
      <w:r>
        <w:rPr>
          <w:rFonts w:hAnsi="宋体"/>
          <w:sz w:val="24"/>
          <w:szCs w:val="24"/>
        </w:rPr>
        <w:t>责任方仍应对</w:t>
      </w:r>
      <w:r>
        <w:rPr>
          <w:rFonts w:hAnsi="宋体"/>
          <w:bCs/>
          <w:sz w:val="24"/>
          <w:szCs w:val="24"/>
        </w:rPr>
        <w:t>估值错误</w:t>
      </w:r>
      <w:r>
        <w:rPr>
          <w:rFonts w:hAnsi="宋体"/>
          <w:sz w:val="24"/>
          <w:szCs w:val="24"/>
        </w:rPr>
        <w:t>负责。如果由于获得不当得利的当事人</w:t>
      </w:r>
      <w:proofErr w:type="gramStart"/>
      <w:r>
        <w:rPr>
          <w:rFonts w:hAnsi="宋体"/>
          <w:sz w:val="24"/>
          <w:szCs w:val="24"/>
        </w:rPr>
        <w:t>不</w:t>
      </w:r>
      <w:proofErr w:type="gramEnd"/>
      <w:r>
        <w:rPr>
          <w:rFonts w:hAnsi="宋体"/>
          <w:sz w:val="24"/>
          <w:szCs w:val="24"/>
        </w:rPr>
        <w:t>返还或不全部返还不当得利造成其他当事人的利益损失（</w:t>
      </w:r>
      <w:r>
        <w:rPr>
          <w:sz w:val="24"/>
          <w:szCs w:val="24"/>
        </w:rPr>
        <w:t>“</w:t>
      </w:r>
      <w:r>
        <w:rPr>
          <w:rFonts w:hAnsi="宋体"/>
          <w:sz w:val="24"/>
          <w:szCs w:val="24"/>
        </w:rPr>
        <w:t>受损方</w:t>
      </w:r>
      <w:r>
        <w:rPr>
          <w:sz w:val="24"/>
          <w:szCs w:val="24"/>
        </w:rPr>
        <w:t>”</w:t>
      </w:r>
      <w:r>
        <w:rPr>
          <w:rFonts w:hAnsi="宋体"/>
          <w:sz w:val="24"/>
          <w:szCs w:val="24"/>
        </w:rPr>
        <w:t>），则</w:t>
      </w:r>
      <w:r>
        <w:rPr>
          <w:rFonts w:hAnsi="宋体"/>
          <w:bCs/>
          <w:sz w:val="24"/>
          <w:szCs w:val="24"/>
        </w:rPr>
        <w:t>估值错误</w:t>
      </w:r>
      <w:r>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Pr>
          <w:rFonts w:hAnsi="宋体"/>
          <w:bCs/>
          <w:sz w:val="24"/>
          <w:szCs w:val="24"/>
        </w:rPr>
        <w:t>估值错误</w:t>
      </w:r>
      <w:r>
        <w:rPr>
          <w:rFonts w:hAnsi="宋体"/>
          <w:sz w:val="24"/>
          <w:szCs w:val="24"/>
        </w:rPr>
        <w:t>责任方。</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w:t>
      </w:r>
      <w:r>
        <w:rPr>
          <w:rFonts w:hAnsi="宋体"/>
          <w:bCs/>
          <w:sz w:val="24"/>
          <w:szCs w:val="24"/>
        </w:rPr>
        <w:t>估值错误</w:t>
      </w:r>
      <w:r>
        <w:rPr>
          <w:rFonts w:hAnsi="宋体"/>
          <w:sz w:val="24"/>
          <w:szCs w:val="24"/>
        </w:rPr>
        <w:t>调整采用尽量恢复至假设未发生</w:t>
      </w:r>
      <w:r>
        <w:rPr>
          <w:rFonts w:hAnsi="宋体"/>
          <w:bCs/>
          <w:sz w:val="24"/>
          <w:szCs w:val="24"/>
        </w:rPr>
        <w:t>估值错误</w:t>
      </w:r>
      <w:r>
        <w:rPr>
          <w:rFonts w:hAnsi="宋体"/>
          <w:sz w:val="24"/>
          <w:szCs w:val="24"/>
        </w:rPr>
        <w:t>的正确情形的方式。</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）按法律法规规定的其他原则处理</w:t>
      </w:r>
      <w:r>
        <w:rPr>
          <w:rFonts w:hAnsi="宋体"/>
          <w:bCs/>
          <w:sz w:val="24"/>
          <w:szCs w:val="24"/>
        </w:rPr>
        <w:t>估值错误</w:t>
      </w:r>
      <w:r>
        <w:rPr>
          <w:rFonts w:hAnsi="宋体"/>
          <w:sz w:val="24"/>
          <w:szCs w:val="24"/>
        </w:rPr>
        <w:t>。</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估值错误</w:t>
      </w:r>
      <w:r>
        <w:rPr>
          <w:rFonts w:hAnsi="宋体"/>
          <w:sz w:val="24"/>
          <w:szCs w:val="24"/>
        </w:rPr>
        <w:t>处理程序</w:t>
      </w:r>
    </w:p>
    <w:p w:rsidR="00B67D8A" w:rsidRDefault="00B67D8A">
      <w:pPr>
        <w:adjustRightInd w:val="0"/>
        <w:snapToGrid w:val="0"/>
        <w:spacing w:line="360" w:lineRule="auto"/>
        <w:ind w:firstLineChars="200" w:firstLine="480"/>
        <w:rPr>
          <w:sz w:val="24"/>
          <w:szCs w:val="24"/>
        </w:rPr>
      </w:pPr>
      <w:r>
        <w:rPr>
          <w:rFonts w:hAnsi="宋体"/>
          <w:bCs/>
          <w:sz w:val="24"/>
          <w:szCs w:val="24"/>
        </w:rPr>
        <w:t>估值错误</w:t>
      </w:r>
      <w:r>
        <w:rPr>
          <w:rFonts w:hAnsi="宋体"/>
          <w:sz w:val="24"/>
          <w:szCs w:val="24"/>
        </w:rPr>
        <w:t>被发现后，有关的当事人应当及时进行处理，处理的程序如下：</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）查明</w:t>
      </w:r>
      <w:r>
        <w:rPr>
          <w:rFonts w:hAnsi="宋体"/>
          <w:bCs/>
          <w:sz w:val="24"/>
          <w:szCs w:val="24"/>
        </w:rPr>
        <w:t>估值错误</w:t>
      </w:r>
      <w:r>
        <w:rPr>
          <w:rFonts w:hAnsi="宋体"/>
          <w:sz w:val="24"/>
          <w:szCs w:val="24"/>
        </w:rPr>
        <w:t>发生的原因，列明所有的当事人，并根据</w:t>
      </w:r>
      <w:r>
        <w:rPr>
          <w:rFonts w:hAnsi="宋体"/>
          <w:bCs/>
          <w:sz w:val="24"/>
          <w:szCs w:val="24"/>
        </w:rPr>
        <w:t>估值错误</w:t>
      </w:r>
      <w:r>
        <w:rPr>
          <w:rFonts w:hAnsi="宋体"/>
          <w:sz w:val="24"/>
          <w:szCs w:val="24"/>
        </w:rPr>
        <w:t>发生的原因确定</w:t>
      </w:r>
      <w:r>
        <w:rPr>
          <w:rFonts w:hAnsi="宋体"/>
          <w:bCs/>
          <w:sz w:val="24"/>
          <w:szCs w:val="24"/>
        </w:rPr>
        <w:t>估值错误</w:t>
      </w:r>
      <w:r>
        <w:rPr>
          <w:rFonts w:hAnsi="宋体"/>
          <w:sz w:val="24"/>
          <w:szCs w:val="24"/>
        </w:rPr>
        <w:t>的责任方；</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）根据</w:t>
      </w:r>
      <w:r>
        <w:rPr>
          <w:rFonts w:hAnsi="宋体"/>
          <w:bCs/>
          <w:sz w:val="24"/>
          <w:szCs w:val="24"/>
        </w:rPr>
        <w:t>估值错误</w:t>
      </w:r>
      <w:r>
        <w:rPr>
          <w:rFonts w:hAnsi="宋体"/>
          <w:sz w:val="24"/>
          <w:szCs w:val="24"/>
        </w:rPr>
        <w:t>处理原则或当事人协商的方法对因</w:t>
      </w:r>
      <w:r>
        <w:rPr>
          <w:rFonts w:hAnsi="宋体"/>
          <w:bCs/>
          <w:sz w:val="24"/>
          <w:szCs w:val="24"/>
        </w:rPr>
        <w:t>估值错误</w:t>
      </w:r>
      <w:r>
        <w:rPr>
          <w:rFonts w:hAnsi="宋体"/>
          <w:sz w:val="24"/>
          <w:szCs w:val="24"/>
        </w:rPr>
        <w:t>造成的损失进行评估；</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）根据</w:t>
      </w:r>
      <w:r>
        <w:rPr>
          <w:rFonts w:hAnsi="宋体"/>
          <w:bCs/>
          <w:sz w:val="24"/>
          <w:szCs w:val="24"/>
        </w:rPr>
        <w:t>估值错误</w:t>
      </w:r>
      <w:r>
        <w:rPr>
          <w:rFonts w:hAnsi="宋体"/>
          <w:sz w:val="24"/>
          <w:szCs w:val="24"/>
        </w:rPr>
        <w:t>处理原则或当事人协商的方法由</w:t>
      </w:r>
      <w:r>
        <w:rPr>
          <w:rFonts w:hAnsi="宋体"/>
          <w:bCs/>
          <w:sz w:val="24"/>
          <w:szCs w:val="24"/>
        </w:rPr>
        <w:t>估值错误</w:t>
      </w:r>
      <w:r>
        <w:rPr>
          <w:rFonts w:hAnsi="宋体"/>
          <w:sz w:val="24"/>
          <w:szCs w:val="24"/>
        </w:rPr>
        <w:t>的责任方进行更正和赔偿损失；</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）根据</w:t>
      </w:r>
      <w:r>
        <w:rPr>
          <w:rFonts w:hAnsi="宋体"/>
          <w:bCs/>
          <w:sz w:val="24"/>
          <w:szCs w:val="24"/>
        </w:rPr>
        <w:t>估值错误</w:t>
      </w:r>
      <w:r>
        <w:rPr>
          <w:rFonts w:hAnsi="宋体"/>
          <w:sz w:val="24"/>
          <w:szCs w:val="24"/>
        </w:rPr>
        <w:t>处理的方法，需要修改基金登记机构交易数据的，由基金登</w:t>
      </w:r>
      <w:r>
        <w:rPr>
          <w:rFonts w:hAnsi="宋体"/>
          <w:sz w:val="24"/>
          <w:szCs w:val="24"/>
        </w:rPr>
        <w:lastRenderedPageBreak/>
        <w:t>记机构进行更正，并就</w:t>
      </w:r>
      <w:r>
        <w:rPr>
          <w:rFonts w:hAnsi="宋体"/>
          <w:bCs/>
          <w:sz w:val="24"/>
          <w:szCs w:val="24"/>
        </w:rPr>
        <w:t>估值错误</w:t>
      </w:r>
      <w:r>
        <w:rPr>
          <w:rFonts w:hAnsi="宋体"/>
          <w:sz w:val="24"/>
          <w:szCs w:val="24"/>
        </w:rPr>
        <w:t>的更正向有关当事人进行确认。</w:t>
      </w:r>
    </w:p>
    <w:p w:rsidR="00B67D8A" w:rsidRDefault="00B67D8A">
      <w:pPr>
        <w:adjustRightInd w:val="0"/>
        <w:snapToGrid w:val="0"/>
        <w:spacing w:line="360" w:lineRule="auto"/>
        <w:ind w:firstLineChars="200" w:firstLine="480"/>
        <w:rPr>
          <w:sz w:val="24"/>
          <w:szCs w:val="24"/>
        </w:rPr>
      </w:pPr>
      <w:r>
        <w:rPr>
          <w:sz w:val="24"/>
          <w:szCs w:val="24"/>
        </w:rPr>
        <w:t>4</w:t>
      </w:r>
      <w:r>
        <w:rPr>
          <w:rFonts w:hAnsi="宋体"/>
          <w:sz w:val="24"/>
          <w:szCs w:val="24"/>
        </w:rPr>
        <w:t>、基金份额净值</w:t>
      </w:r>
      <w:r>
        <w:rPr>
          <w:rFonts w:hAnsi="宋体"/>
          <w:bCs/>
          <w:sz w:val="24"/>
          <w:szCs w:val="24"/>
        </w:rPr>
        <w:t>估值错误</w:t>
      </w:r>
      <w:r>
        <w:rPr>
          <w:rFonts w:hAnsi="宋体"/>
          <w:sz w:val="24"/>
          <w:szCs w:val="24"/>
        </w:rPr>
        <w:t>处理的方法如下：</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）基金份额净值计算出现错误时，基金管理人应当立即予以纠正，通报基金托管人，并采取合理的措施防止损失进一步扩大。</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）错误偏差达到基金份额净值的</w:t>
      </w:r>
      <w:r>
        <w:rPr>
          <w:sz w:val="24"/>
          <w:szCs w:val="24"/>
        </w:rPr>
        <w:t>0.25%</w:t>
      </w:r>
      <w:r>
        <w:rPr>
          <w:rFonts w:hAnsi="宋体"/>
          <w:sz w:val="24"/>
          <w:szCs w:val="24"/>
        </w:rPr>
        <w:t>时，基金管理人应当通报基金托管人并报中国证监会备案；错误偏差达到基金份额净值的</w:t>
      </w:r>
      <w:r>
        <w:rPr>
          <w:sz w:val="24"/>
          <w:szCs w:val="24"/>
        </w:rPr>
        <w:t>0.5%</w:t>
      </w:r>
      <w:r>
        <w:rPr>
          <w:rFonts w:hAnsi="宋体"/>
          <w:sz w:val="24"/>
          <w:szCs w:val="24"/>
        </w:rPr>
        <w:t>时，基金管理人应当公告。</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）前述内容如法律法规或监管机关另有规定的，从其规定处理。</w:t>
      </w:r>
    </w:p>
    <w:p w:rsidR="00B67D8A" w:rsidRDefault="00B67D8A">
      <w:pPr>
        <w:adjustRightInd w:val="0"/>
        <w:snapToGrid w:val="0"/>
        <w:spacing w:line="360" w:lineRule="auto"/>
        <w:ind w:firstLineChars="200" w:firstLine="482"/>
        <w:rPr>
          <w:b/>
          <w:sz w:val="24"/>
          <w:szCs w:val="24"/>
        </w:rPr>
      </w:pPr>
      <w:r>
        <w:rPr>
          <w:rFonts w:hAnsi="宋体"/>
          <w:b/>
          <w:sz w:val="24"/>
          <w:szCs w:val="24"/>
        </w:rPr>
        <w:t>（六）暂停估值的情形</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、基金投资所涉及的证券交易市场遇法定节假日或因其他原因暂停营业时；</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、因不可抗力致使基金管理人、基金托管人无法准确评估基金资产价值时；</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占基金相当比例的投资品种的估值出现重大转变，而基金管理人为保障基金份额持有人的利益，已决定延迟估值；</w:t>
      </w:r>
    </w:p>
    <w:p w:rsidR="00B67D8A" w:rsidRDefault="00B67D8A">
      <w:pPr>
        <w:adjustRightInd w:val="0"/>
        <w:snapToGrid w:val="0"/>
        <w:spacing w:line="360" w:lineRule="auto"/>
        <w:ind w:firstLineChars="200" w:firstLine="480"/>
        <w:rPr>
          <w:sz w:val="24"/>
          <w:szCs w:val="24"/>
        </w:rPr>
      </w:pPr>
      <w:r>
        <w:rPr>
          <w:sz w:val="24"/>
          <w:szCs w:val="24"/>
        </w:rPr>
        <w:t>4</w:t>
      </w:r>
      <w:r>
        <w:rPr>
          <w:rFonts w:hAnsi="宋体"/>
          <w:sz w:val="24"/>
          <w:szCs w:val="24"/>
        </w:rPr>
        <w:t>、中国证监会和基金合同认定的其它情形。</w:t>
      </w:r>
    </w:p>
    <w:p w:rsidR="00B67D8A" w:rsidRDefault="00B67D8A">
      <w:pPr>
        <w:adjustRightInd w:val="0"/>
        <w:snapToGrid w:val="0"/>
        <w:spacing w:line="360" w:lineRule="auto"/>
        <w:ind w:firstLineChars="200" w:firstLine="482"/>
        <w:rPr>
          <w:b/>
          <w:sz w:val="24"/>
          <w:szCs w:val="24"/>
        </w:rPr>
      </w:pPr>
      <w:r>
        <w:rPr>
          <w:rFonts w:hAnsi="宋体"/>
          <w:b/>
          <w:sz w:val="24"/>
          <w:szCs w:val="24"/>
        </w:rPr>
        <w:t>（七）基金净值的确认</w:t>
      </w:r>
    </w:p>
    <w:p w:rsidR="00B67D8A" w:rsidRDefault="00B67D8A">
      <w:pPr>
        <w:adjustRightInd w:val="0"/>
        <w:snapToGrid w:val="0"/>
        <w:spacing w:line="360" w:lineRule="auto"/>
        <w:ind w:firstLineChars="200" w:firstLine="480"/>
        <w:rPr>
          <w:sz w:val="24"/>
          <w:szCs w:val="24"/>
        </w:rPr>
      </w:pPr>
      <w:r>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Pr>
          <w:rFonts w:hAnsi="宋体"/>
          <w:bCs/>
          <w:sz w:val="24"/>
          <w:szCs w:val="24"/>
        </w:rPr>
        <w:t>和基金份额净值</w:t>
      </w:r>
      <w:r>
        <w:rPr>
          <w:rFonts w:hAnsi="宋体"/>
          <w:sz w:val="24"/>
          <w:szCs w:val="24"/>
        </w:rPr>
        <w:t>并发送给基金托管人。基金托管人对净值计算结果复核确认后发送给基金管理人，由基金管理人对基金净值予以公布。</w:t>
      </w:r>
    </w:p>
    <w:p w:rsidR="00B67D8A" w:rsidRDefault="00B67D8A">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况</w:t>
      </w:r>
      <w:r>
        <w:rPr>
          <w:rFonts w:hAnsi="宋体"/>
          <w:b/>
          <w:sz w:val="24"/>
          <w:szCs w:val="24"/>
        </w:rPr>
        <w:t>的处理</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、基金管理人或基金托管人按估值方法的第</w:t>
      </w:r>
      <w:r>
        <w:rPr>
          <w:sz w:val="24"/>
          <w:szCs w:val="24"/>
        </w:rPr>
        <w:t>5</w:t>
      </w:r>
      <w:r>
        <w:rPr>
          <w:rFonts w:hAnsi="宋体"/>
          <w:sz w:val="24"/>
          <w:szCs w:val="24"/>
        </w:rPr>
        <w:t>项进行估值时，所造成的误差不作为基金资产估值错误处理。</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67D8A" w:rsidRDefault="00B67D8A">
      <w:pPr>
        <w:adjustRightInd w:val="0"/>
        <w:snapToGrid w:val="0"/>
        <w:spacing w:line="360" w:lineRule="auto"/>
        <w:ind w:firstLineChars="200" w:firstLine="482"/>
        <w:rPr>
          <w:b/>
          <w:kern w:val="0"/>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6"/>
      <w:r>
        <w:rPr>
          <w:rFonts w:ascii="宋体" w:hAnsi="宋体" w:hint="eastAsia"/>
          <w:b/>
          <w:kern w:val="0"/>
          <w:sz w:val="30"/>
        </w:rPr>
        <w:lastRenderedPageBreak/>
        <w:t>十五、基金收益与分配</w:t>
      </w:r>
      <w:bookmarkEnd w:id="81"/>
    </w:p>
    <w:p w:rsidR="00B67D8A" w:rsidRDefault="00B67D8A">
      <w:pPr>
        <w:adjustRightInd w:val="0"/>
        <w:snapToGrid w:val="0"/>
        <w:spacing w:line="360" w:lineRule="auto"/>
        <w:ind w:firstLineChars="200" w:firstLine="480"/>
        <w:rPr>
          <w:sz w:val="24"/>
          <w:szCs w:val="24"/>
        </w:rPr>
      </w:pPr>
      <w:r>
        <w:rPr>
          <w:rFonts w:hAnsi="宋体"/>
          <w:bCs/>
          <w:sz w:val="24"/>
          <w:szCs w:val="24"/>
        </w:rPr>
        <w:t>在存续期内，本基金按照基金合同的约定每月定期向基金份额持有人支付一定的现金</w:t>
      </w:r>
      <w:r>
        <w:rPr>
          <w:rFonts w:hAnsi="宋体"/>
          <w:sz w:val="24"/>
          <w:szCs w:val="24"/>
        </w:rPr>
        <w:t>，除上述定期支付外，本基金</w:t>
      </w:r>
      <w:proofErr w:type="gramStart"/>
      <w:r>
        <w:rPr>
          <w:rFonts w:hAnsi="宋体"/>
          <w:sz w:val="24"/>
          <w:szCs w:val="24"/>
        </w:rPr>
        <w:t>不</w:t>
      </w:r>
      <w:proofErr w:type="gramEnd"/>
      <w:r>
        <w:rPr>
          <w:rFonts w:hAnsi="宋体"/>
          <w:sz w:val="24"/>
          <w:szCs w:val="24"/>
        </w:rPr>
        <w:t>另外进行收益分配。</w:t>
      </w:r>
      <w:r>
        <w:rPr>
          <w:rFonts w:hAnsi="宋体"/>
          <w:bCs/>
          <w:sz w:val="24"/>
          <w:szCs w:val="24"/>
        </w:rPr>
        <w:t>关于定期支付的相关规定见本招募说明书第九部分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w:t>
      </w:r>
    </w:p>
    <w:p w:rsidR="00B67D8A" w:rsidRDefault="00B67D8A">
      <w:pPr>
        <w:widowControl/>
        <w:adjustRightInd w:val="0"/>
        <w:snapToGrid w:val="0"/>
        <w:spacing w:line="360" w:lineRule="auto"/>
        <w:ind w:firstLineChars="200" w:firstLine="480"/>
        <w:rPr>
          <w:kern w:val="0"/>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7"/>
      <w:r>
        <w:rPr>
          <w:rFonts w:ascii="宋体" w:hAnsi="宋体" w:hint="eastAsia"/>
          <w:b/>
          <w:kern w:val="0"/>
          <w:sz w:val="30"/>
        </w:rPr>
        <w:t>十六、基金的费用与税收</w:t>
      </w:r>
      <w:bookmarkEnd w:id="82"/>
    </w:p>
    <w:p w:rsidR="00B67D8A" w:rsidRDefault="00B67D8A">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rsidR="00B67D8A" w:rsidRDefault="00B67D8A">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rsidR="00B67D8A" w:rsidRDefault="00B67D8A">
      <w:pPr>
        <w:adjustRightInd w:val="0"/>
        <w:snapToGrid w:val="0"/>
        <w:spacing w:line="360" w:lineRule="auto"/>
        <w:ind w:firstLineChars="200" w:firstLine="480"/>
        <w:rPr>
          <w:sz w:val="24"/>
        </w:rPr>
      </w:pPr>
      <w:r>
        <w:rPr>
          <w:sz w:val="24"/>
        </w:rPr>
        <w:t>2</w:t>
      </w:r>
      <w:r>
        <w:rPr>
          <w:rFonts w:hAnsi="宋体"/>
          <w:sz w:val="24"/>
        </w:rPr>
        <w:t>、基金托管人的托管费；</w:t>
      </w:r>
    </w:p>
    <w:p w:rsidR="00B67D8A" w:rsidRDefault="00B67D8A">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rsidR="00B67D8A" w:rsidRDefault="00B67D8A">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rsidR="00B67D8A" w:rsidRDefault="00B67D8A">
      <w:pPr>
        <w:adjustRightInd w:val="0"/>
        <w:snapToGrid w:val="0"/>
        <w:spacing w:line="360" w:lineRule="auto"/>
        <w:ind w:firstLineChars="200" w:firstLine="480"/>
        <w:rPr>
          <w:bCs/>
          <w:sz w:val="24"/>
        </w:rPr>
      </w:pPr>
      <w:r>
        <w:rPr>
          <w:bCs/>
          <w:sz w:val="24"/>
        </w:rPr>
        <w:t>5</w:t>
      </w:r>
      <w:r>
        <w:rPr>
          <w:rFonts w:hAnsi="宋体"/>
          <w:bCs/>
          <w:sz w:val="24"/>
        </w:rPr>
        <w:t>、基金份额持有人大会费用</w:t>
      </w:r>
      <w:bookmarkStart w:id="83" w:name="_Toc109537393"/>
      <w:r>
        <w:rPr>
          <w:rFonts w:hAnsi="宋体"/>
          <w:bCs/>
          <w:sz w:val="24"/>
        </w:rPr>
        <w:t>；</w:t>
      </w:r>
    </w:p>
    <w:p w:rsidR="00B67D8A" w:rsidRDefault="00B67D8A">
      <w:pPr>
        <w:adjustRightInd w:val="0"/>
        <w:snapToGrid w:val="0"/>
        <w:spacing w:line="360" w:lineRule="auto"/>
        <w:ind w:firstLineChars="200" w:firstLine="480"/>
        <w:rPr>
          <w:bCs/>
          <w:sz w:val="24"/>
        </w:rPr>
      </w:pPr>
      <w:r>
        <w:rPr>
          <w:bCs/>
          <w:sz w:val="24"/>
        </w:rPr>
        <w:t>6</w:t>
      </w:r>
      <w:r>
        <w:rPr>
          <w:rFonts w:hAnsi="宋体"/>
          <w:bCs/>
          <w:sz w:val="24"/>
        </w:rPr>
        <w:t>、基金的证券交易</w:t>
      </w:r>
      <w:bookmarkEnd w:id="83"/>
      <w:r>
        <w:rPr>
          <w:rFonts w:hAnsi="宋体"/>
          <w:bCs/>
          <w:sz w:val="24"/>
        </w:rPr>
        <w:t>费用；</w:t>
      </w:r>
    </w:p>
    <w:p w:rsidR="00B67D8A" w:rsidRDefault="00B67D8A">
      <w:pPr>
        <w:adjustRightInd w:val="0"/>
        <w:snapToGrid w:val="0"/>
        <w:spacing w:line="360" w:lineRule="auto"/>
        <w:ind w:firstLineChars="200" w:firstLine="480"/>
        <w:rPr>
          <w:bCs/>
          <w:sz w:val="24"/>
        </w:rPr>
      </w:pPr>
      <w:r>
        <w:rPr>
          <w:bCs/>
          <w:sz w:val="24"/>
        </w:rPr>
        <w:t>7</w:t>
      </w:r>
      <w:r>
        <w:rPr>
          <w:rFonts w:hAnsi="宋体"/>
          <w:bCs/>
          <w:sz w:val="24"/>
        </w:rPr>
        <w:t>、基金的银行汇划费用；</w:t>
      </w:r>
    </w:p>
    <w:p w:rsidR="00B67D8A" w:rsidRDefault="00B67D8A">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rsidR="00B67D8A" w:rsidRDefault="00B67D8A">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rsidR="00B67D8A" w:rsidRDefault="00B67D8A">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rsidR="00B67D8A" w:rsidRDefault="00B67D8A">
      <w:pPr>
        <w:spacing w:line="360" w:lineRule="auto"/>
        <w:ind w:firstLineChars="200" w:firstLine="480"/>
        <w:rPr>
          <w:bCs/>
          <w:sz w:val="24"/>
        </w:rPr>
      </w:pPr>
      <w:r>
        <w:rPr>
          <w:bCs/>
          <w:sz w:val="24"/>
        </w:rPr>
        <w:t>1</w:t>
      </w:r>
      <w:r>
        <w:rPr>
          <w:rFonts w:hint="eastAsia"/>
          <w:bCs/>
          <w:sz w:val="24"/>
        </w:rPr>
        <w:t>、与基金运作有关的费用</w:t>
      </w:r>
    </w:p>
    <w:p w:rsidR="00B67D8A" w:rsidRDefault="00B67D8A">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B67D8A" w:rsidRDefault="00B67D8A">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rsidR="00B67D8A" w:rsidRDefault="00B67D8A">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rsidR="00B67D8A" w:rsidRDefault="00B67D8A">
      <w:pPr>
        <w:adjustRightInd w:val="0"/>
        <w:snapToGrid w:val="0"/>
        <w:spacing w:line="360" w:lineRule="auto"/>
        <w:ind w:firstLineChars="200" w:firstLine="480"/>
        <w:rPr>
          <w:sz w:val="24"/>
        </w:rPr>
      </w:pPr>
      <w:r>
        <w:rPr>
          <w:sz w:val="24"/>
        </w:rPr>
        <w:t>H</w:t>
      </w:r>
      <w:r>
        <w:rPr>
          <w:rFonts w:hAnsi="宋体"/>
          <w:sz w:val="24"/>
        </w:rPr>
        <w:t>为每日应计提的基金管理费</w:t>
      </w:r>
    </w:p>
    <w:p w:rsidR="00B67D8A" w:rsidRDefault="00B67D8A">
      <w:pPr>
        <w:adjustRightInd w:val="0"/>
        <w:snapToGrid w:val="0"/>
        <w:spacing w:line="360" w:lineRule="auto"/>
        <w:ind w:firstLineChars="200" w:firstLine="480"/>
        <w:rPr>
          <w:sz w:val="24"/>
        </w:rPr>
      </w:pPr>
      <w:r>
        <w:rPr>
          <w:sz w:val="24"/>
        </w:rPr>
        <w:t>E</w:t>
      </w:r>
      <w:r>
        <w:rPr>
          <w:rFonts w:hAnsi="宋体"/>
          <w:sz w:val="24"/>
        </w:rPr>
        <w:t>为前一日的基金资产净值</w:t>
      </w:r>
    </w:p>
    <w:p w:rsidR="00B67D8A" w:rsidRDefault="00B67D8A">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w:t>
      </w:r>
      <w:r>
        <w:rPr>
          <w:rFonts w:hAnsi="宋体"/>
          <w:bCs/>
          <w:sz w:val="24"/>
        </w:rPr>
        <w:lastRenderedPageBreak/>
        <w:t>财产中一次性支付给基金管理人。若遇不可抗力致使无法按时支付的，支付日期顺延至最近可支付日支付。</w:t>
      </w:r>
    </w:p>
    <w:p w:rsidR="00B67D8A" w:rsidRDefault="00B67D8A">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B67D8A" w:rsidRDefault="00B67D8A">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rsidR="00B67D8A" w:rsidRDefault="00B67D8A">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rsidR="00B67D8A" w:rsidRDefault="00B67D8A">
      <w:pPr>
        <w:adjustRightInd w:val="0"/>
        <w:snapToGrid w:val="0"/>
        <w:spacing w:line="360" w:lineRule="auto"/>
        <w:ind w:firstLineChars="200" w:firstLine="480"/>
        <w:rPr>
          <w:sz w:val="24"/>
        </w:rPr>
      </w:pPr>
      <w:r>
        <w:rPr>
          <w:sz w:val="24"/>
        </w:rPr>
        <w:t>H</w:t>
      </w:r>
      <w:r>
        <w:rPr>
          <w:rFonts w:hAnsi="宋体"/>
          <w:sz w:val="24"/>
        </w:rPr>
        <w:t>为每日应计提的基金托管费</w:t>
      </w:r>
    </w:p>
    <w:p w:rsidR="00B67D8A" w:rsidRDefault="00B67D8A">
      <w:pPr>
        <w:adjustRightInd w:val="0"/>
        <w:snapToGrid w:val="0"/>
        <w:spacing w:line="360" w:lineRule="auto"/>
        <w:ind w:firstLineChars="200" w:firstLine="480"/>
        <w:rPr>
          <w:sz w:val="24"/>
        </w:rPr>
      </w:pPr>
      <w:r>
        <w:rPr>
          <w:sz w:val="24"/>
        </w:rPr>
        <w:t>E</w:t>
      </w:r>
      <w:r>
        <w:rPr>
          <w:rFonts w:hAnsi="宋体"/>
          <w:sz w:val="24"/>
        </w:rPr>
        <w:t>为前一日的基金资产净值</w:t>
      </w:r>
    </w:p>
    <w:p w:rsidR="00B67D8A" w:rsidRDefault="00B67D8A">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rsidR="00B67D8A" w:rsidRDefault="00B67D8A">
      <w:pPr>
        <w:spacing w:line="360" w:lineRule="auto"/>
        <w:ind w:firstLineChars="200" w:firstLine="480"/>
        <w:rPr>
          <w:rFonts w:ascii="宋体" w:hAnsi="宋体"/>
          <w:sz w:val="24"/>
        </w:rPr>
      </w:pPr>
      <w:r>
        <w:rPr>
          <w:rFonts w:ascii="宋体" w:hAnsi="宋体" w:hint="eastAsia"/>
          <w:sz w:val="24"/>
        </w:rPr>
        <w:t>2、与基金销售有关的费用</w:t>
      </w:r>
    </w:p>
    <w:p w:rsidR="00B67D8A" w:rsidRDefault="00B67D8A">
      <w:pPr>
        <w:spacing w:line="360" w:lineRule="auto"/>
        <w:ind w:firstLineChars="200" w:firstLine="480"/>
        <w:rPr>
          <w:rFonts w:ascii="宋体" w:hAnsi="宋体"/>
          <w:sz w:val="24"/>
        </w:rPr>
      </w:pPr>
      <w:r>
        <w:rPr>
          <w:rFonts w:ascii="宋体" w:hAnsi="宋体" w:hint="eastAsia"/>
          <w:sz w:val="24"/>
        </w:rPr>
        <w:t>（1）申购费</w:t>
      </w:r>
    </w:p>
    <w:p w:rsidR="00B67D8A" w:rsidRDefault="00B67D8A">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rsidR="00B67D8A" w:rsidRDefault="00B67D8A">
      <w:pPr>
        <w:spacing w:line="360" w:lineRule="auto"/>
        <w:ind w:firstLineChars="200" w:firstLine="480"/>
        <w:rPr>
          <w:rFonts w:ascii="宋体" w:hAnsi="宋体"/>
          <w:sz w:val="24"/>
        </w:rPr>
      </w:pPr>
      <w:r>
        <w:rPr>
          <w:rFonts w:ascii="宋体" w:hAnsi="宋体" w:hint="eastAsia"/>
          <w:sz w:val="24"/>
        </w:rPr>
        <w:t>（2）赎回费</w:t>
      </w:r>
    </w:p>
    <w:p w:rsidR="00B67D8A" w:rsidRDefault="00B67D8A">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rsidR="00B67D8A" w:rsidRDefault="00B67D8A">
      <w:pPr>
        <w:spacing w:line="360" w:lineRule="auto"/>
        <w:ind w:firstLineChars="200" w:firstLine="480"/>
        <w:rPr>
          <w:rFonts w:ascii="宋体" w:hAnsi="宋体"/>
          <w:sz w:val="24"/>
        </w:rPr>
      </w:pPr>
      <w:r>
        <w:rPr>
          <w:rFonts w:ascii="宋体" w:hAnsi="宋体" w:hint="eastAsia"/>
          <w:sz w:val="24"/>
        </w:rPr>
        <w:t>（3）转换费</w:t>
      </w:r>
    </w:p>
    <w:p w:rsidR="00B67D8A" w:rsidRDefault="00B67D8A">
      <w:pPr>
        <w:spacing w:line="360" w:lineRule="auto"/>
        <w:ind w:firstLineChars="200" w:firstLine="480"/>
        <w:rPr>
          <w:rFonts w:ascii="宋体" w:hAnsi="宋体"/>
          <w:sz w:val="24"/>
        </w:rPr>
      </w:pPr>
      <w:r>
        <w:rPr>
          <w:rFonts w:ascii="宋体" w:hAnsi="宋体" w:hint="eastAsia"/>
          <w:sz w:val="24"/>
        </w:rPr>
        <w:t>本基金转换费的费率水平、计算公式和收取方式详见“基金的转换”一章。</w:t>
      </w:r>
    </w:p>
    <w:p w:rsidR="00B67D8A" w:rsidRDefault="00B67D8A">
      <w:pPr>
        <w:adjustRightInd w:val="0"/>
        <w:snapToGrid w:val="0"/>
        <w:spacing w:line="360" w:lineRule="auto"/>
        <w:ind w:firstLineChars="200" w:firstLine="480"/>
        <w:rPr>
          <w:sz w:val="24"/>
        </w:rPr>
      </w:pPr>
      <w:r>
        <w:rPr>
          <w:bCs/>
          <w:sz w:val="24"/>
        </w:rPr>
        <w:t>3</w:t>
      </w:r>
      <w:r>
        <w:rPr>
          <w:rFonts w:hAnsi="宋体"/>
          <w:bCs/>
          <w:sz w:val="24"/>
        </w:rPr>
        <w:t>、上述</w:t>
      </w:r>
      <w:r>
        <w:rPr>
          <w:rFonts w:hint="eastAsia"/>
          <w:bCs/>
          <w:sz w:val="24"/>
        </w:rPr>
        <w:t>“（</w:t>
      </w:r>
      <w:r>
        <w:rPr>
          <w:rFonts w:hAnsi="宋体"/>
          <w:bCs/>
          <w:sz w:val="24"/>
        </w:rPr>
        <w:t>一</w:t>
      </w:r>
      <w:r>
        <w:rPr>
          <w:rFonts w:hAnsi="宋体" w:hint="eastAsia"/>
          <w:bCs/>
          <w:sz w:val="24"/>
        </w:rPr>
        <w:t>）</w:t>
      </w:r>
      <w:r>
        <w:rPr>
          <w:rFonts w:hAnsi="宋体"/>
          <w:bCs/>
          <w:sz w:val="24"/>
        </w:rPr>
        <w:t>基金费用的种类</w:t>
      </w:r>
      <w:r>
        <w:rPr>
          <w:rFonts w:hint="eastAsia"/>
          <w:bCs/>
          <w:sz w:val="24"/>
        </w:rPr>
        <w:t>”</w:t>
      </w:r>
      <w:r>
        <w:rPr>
          <w:rFonts w:hAnsi="宋体"/>
          <w:bCs/>
          <w:sz w:val="24"/>
        </w:rPr>
        <w:t>中第</w:t>
      </w:r>
      <w:r>
        <w:rPr>
          <w:bCs/>
          <w:sz w:val="24"/>
        </w:rPr>
        <w:t>3</w:t>
      </w:r>
      <w:r>
        <w:rPr>
          <w:rFonts w:hAnsi="宋体"/>
          <w:bCs/>
          <w:sz w:val="24"/>
        </w:rPr>
        <w:t>－</w:t>
      </w:r>
      <w:r>
        <w:rPr>
          <w:bCs/>
          <w:sz w:val="24"/>
        </w:rPr>
        <w:t>9</w:t>
      </w:r>
      <w:r>
        <w:rPr>
          <w:rFonts w:hAnsi="宋体"/>
          <w:bCs/>
          <w:sz w:val="24"/>
        </w:rPr>
        <w:t>项费用，根据有关法规及相应协议规定，按费用实际支出金额列入当期费用，由基金托管人从基金财产中支付。</w:t>
      </w:r>
    </w:p>
    <w:p w:rsidR="00B67D8A" w:rsidRDefault="00B67D8A">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rsidR="00B67D8A" w:rsidRDefault="00B67D8A">
      <w:pPr>
        <w:adjustRightInd w:val="0"/>
        <w:snapToGrid w:val="0"/>
        <w:spacing w:line="360" w:lineRule="auto"/>
        <w:ind w:firstLineChars="200" w:firstLine="480"/>
        <w:rPr>
          <w:bCs/>
          <w:sz w:val="24"/>
        </w:rPr>
      </w:pPr>
      <w:r>
        <w:rPr>
          <w:rFonts w:hAnsi="宋体"/>
          <w:bCs/>
          <w:sz w:val="24"/>
        </w:rPr>
        <w:t>下列费用不列入基金费用：</w:t>
      </w:r>
    </w:p>
    <w:p w:rsidR="00B67D8A" w:rsidRDefault="00B67D8A">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B67D8A" w:rsidRDefault="00B67D8A">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B67D8A" w:rsidRDefault="00B67D8A">
      <w:pPr>
        <w:adjustRightInd w:val="0"/>
        <w:snapToGrid w:val="0"/>
        <w:spacing w:line="360" w:lineRule="auto"/>
        <w:ind w:firstLineChars="200" w:firstLine="480"/>
        <w:rPr>
          <w:bCs/>
          <w:sz w:val="24"/>
        </w:rPr>
      </w:pPr>
      <w:r>
        <w:rPr>
          <w:bCs/>
          <w:sz w:val="24"/>
        </w:rPr>
        <w:lastRenderedPageBreak/>
        <w:t>3</w:t>
      </w:r>
      <w:r>
        <w:rPr>
          <w:rFonts w:hAnsi="宋体"/>
          <w:bCs/>
          <w:sz w:val="24"/>
        </w:rPr>
        <w:t>、基金合同生效前的相关费用；</w:t>
      </w:r>
    </w:p>
    <w:p w:rsidR="00B67D8A" w:rsidRDefault="00B67D8A">
      <w:pPr>
        <w:adjustRightInd w:val="0"/>
        <w:snapToGrid w:val="0"/>
        <w:spacing w:line="360" w:lineRule="auto"/>
        <w:ind w:firstLineChars="200" w:firstLine="480"/>
        <w:rPr>
          <w:sz w:val="24"/>
        </w:rPr>
      </w:pPr>
      <w:bookmarkStart w:id="84" w:name="_Hlt81193394"/>
      <w:bookmarkEnd w:id="84"/>
      <w:r>
        <w:rPr>
          <w:bCs/>
          <w:sz w:val="24"/>
        </w:rPr>
        <w:t>4</w:t>
      </w:r>
      <w:r>
        <w:rPr>
          <w:rFonts w:hAnsi="宋体"/>
          <w:bCs/>
          <w:sz w:val="24"/>
        </w:rPr>
        <w:t>、其他根据相关法律法规及中国证监会的有关规定不得列入基金费用的项目。</w:t>
      </w:r>
    </w:p>
    <w:p w:rsidR="00B67D8A" w:rsidRDefault="00B67D8A">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rsidR="00B67D8A" w:rsidRDefault="00B67D8A">
      <w:pPr>
        <w:adjustRightInd w:val="0"/>
        <w:snapToGrid w:val="0"/>
        <w:spacing w:line="360" w:lineRule="auto"/>
        <w:ind w:firstLineChars="200" w:firstLine="480"/>
        <w:rPr>
          <w:sz w:val="24"/>
        </w:rPr>
      </w:pPr>
      <w:r>
        <w:rPr>
          <w:rFonts w:hAnsi="宋体"/>
          <w:bCs/>
          <w:sz w:val="24"/>
        </w:rPr>
        <w:t>本基金运作过程中涉及的各纳税主体，其纳税义务按国家税收</w:t>
      </w:r>
      <w:bookmarkStart w:id="85" w:name="_Hlt88900784"/>
      <w:bookmarkEnd w:id="85"/>
      <w:r>
        <w:rPr>
          <w:rFonts w:hAnsi="宋体"/>
          <w:bCs/>
          <w:sz w:val="24"/>
        </w:rPr>
        <w:t>法律、法规执行。</w:t>
      </w:r>
    </w:p>
    <w:p w:rsidR="00B67D8A" w:rsidRDefault="00B67D8A">
      <w:pPr>
        <w:widowControl/>
        <w:adjustRightInd w:val="0"/>
        <w:snapToGrid w:val="0"/>
        <w:spacing w:line="360" w:lineRule="auto"/>
        <w:ind w:firstLineChars="200" w:firstLine="480"/>
        <w:rPr>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86" w:name="_Toc382321328"/>
      <w:r>
        <w:rPr>
          <w:rFonts w:ascii="宋体" w:hAnsi="宋体" w:hint="eastAsia"/>
          <w:b/>
          <w:kern w:val="0"/>
          <w:sz w:val="30"/>
        </w:rPr>
        <w:t>十七、基金的会计与审计</w:t>
      </w:r>
      <w:bookmarkEnd w:id="86"/>
    </w:p>
    <w:p w:rsidR="00B67D8A" w:rsidRDefault="00B67D8A">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rsidR="00B67D8A" w:rsidRDefault="00B67D8A">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rsidR="00B67D8A" w:rsidRDefault="00B67D8A">
      <w:pPr>
        <w:adjustRightInd w:val="0"/>
        <w:snapToGrid w:val="0"/>
        <w:spacing w:line="360" w:lineRule="auto"/>
        <w:ind w:firstLineChars="200" w:firstLine="480"/>
        <w:rPr>
          <w:sz w:val="24"/>
          <w:szCs w:val="18"/>
        </w:rPr>
      </w:pPr>
      <w:r>
        <w:rPr>
          <w:sz w:val="24"/>
        </w:rPr>
        <w:t>2</w:t>
      </w:r>
      <w:r>
        <w:rPr>
          <w:rFonts w:hAnsi="宋体"/>
          <w:sz w:val="24"/>
        </w:rPr>
        <w:t>、基金的会计年度为公历年度的</w:t>
      </w:r>
      <w:r>
        <w:rPr>
          <w:sz w:val="24"/>
        </w:rPr>
        <w:t>1</w:t>
      </w:r>
      <w:r>
        <w:rPr>
          <w:rFonts w:hAnsi="宋体"/>
          <w:sz w:val="24"/>
        </w:rPr>
        <w:t>月</w:t>
      </w:r>
      <w:r>
        <w:rPr>
          <w:sz w:val="24"/>
        </w:rPr>
        <w:t>1</w:t>
      </w:r>
      <w:r>
        <w:rPr>
          <w:rFonts w:hAnsi="宋体"/>
          <w:sz w:val="24"/>
        </w:rPr>
        <w:t>日至</w:t>
      </w:r>
      <w:r>
        <w:rPr>
          <w:sz w:val="24"/>
        </w:rPr>
        <w:t>12</w:t>
      </w:r>
      <w:r>
        <w:rPr>
          <w:rFonts w:hAnsi="宋体"/>
          <w:sz w:val="24"/>
        </w:rPr>
        <w:t>月</w:t>
      </w:r>
      <w:r>
        <w:rPr>
          <w:sz w:val="24"/>
        </w:rPr>
        <w:t>31</w:t>
      </w:r>
      <w:r>
        <w:rPr>
          <w:rFonts w:hAnsi="宋体"/>
          <w:sz w:val="24"/>
        </w:rPr>
        <w:t>日；</w:t>
      </w:r>
      <w:r>
        <w:rPr>
          <w:bCs/>
          <w:sz w:val="24"/>
        </w:rPr>
        <w:t xml:space="preserve"> </w:t>
      </w:r>
      <w:bookmarkStart w:id="87" w:name="_Toc109537394"/>
    </w:p>
    <w:p w:rsidR="00B67D8A" w:rsidRDefault="00B67D8A">
      <w:pPr>
        <w:adjustRightInd w:val="0"/>
        <w:snapToGrid w:val="0"/>
        <w:spacing w:line="360" w:lineRule="auto"/>
        <w:ind w:firstLineChars="200" w:firstLine="480"/>
        <w:rPr>
          <w:sz w:val="24"/>
          <w:szCs w:val="18"/>
        </w:rPr>
      </w:pPr>
      <w:r>
        <w:rPr>
          <w:sz w:val="24"/>
        </w:rPr>
        <w:t>3</w:t>
      </w:r>
      <w:r>
        <w:rPr>
          <w:rFonts w:hAnsi="宋体"/>
          <w:sz w:val="24"/>
        </w:rPr>
        <w:t>、</w:t>
      </w:r>
      <w:r>
        <w:rPr>
          <w:rFonts w:hAnsi="宋体"/>
          <w:sz w:val="24"/>
          <w:szCs w:val="21"/>
        </w:rPr>
        <w:t>基金核</w:t>
      </w:r>
      <w:bookmarkEnd w:id="87"/>
      <w:r>
        <w:rPr>
          <w:rFonts w:hAnsi="宋体"/>
          <w:sz w:val="24"/>
          <w:szCs w:val="21"/>
        </w:rPr>
        <w:t>算以人民币为记账本位币，以人民币元为记账单位；</w:t>
      </w:r>
    </w:p>
    <w:p w:rsidR="00B67D8A" w:rsidRDefault="00B67D8A">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rsidR="00B67D8A" w:rsidRDefault="00B67D8A">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rsidR="00B67D8A" w:rsidRDefault="00B67D8A">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rsidR="00B67D8A" w:rsidRDefault="00B67D8A">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rsidR="00B67D8A" w:rsidRDefault="00B67D8A">
      <w:pPr>
        <w:adjustRightInd w:val="0"/>
        <w:snapToGrid w:val="0"/>
        <w:spacing w:line="360" w:lineRule="auto"/>
        <w:ind w:firstLineChars="200" w:firstLine="482"/>
        <w:outlineLvl w:val="1"/>
        <w:rPr>
          <w:b/>
          <w:sz w:val="24"/>
        </w:rPr>
      </w:pPr>
      <w:r>
        <w:rPr>
          <w:rFonts w:hAnsi="宋体"/>
          <w:b/>
          <w:sz w:val="24"/>
        </w:rPr>
        <w:t>（二）基金的年度审计</w:t>
      </w:r>
      <w:r>
        <w:rPr>
          <w:b/>
          <w:sz w:val="24"/>
        </w:rPr>
        <w:t xml:space="preserve"> </w:t>
      </w:r>
    </w:p>
    <w:p w:rsidR="00B67D8A" w:rsidRDefault="00B67D8A">
      <w:pPr>
        <w:adjustRightInd w:val="0"/>
        <w:snapToGrid w:val="0"/>
        <w:spacing w:line="360" w:lineRule="auto"/>
        <w:ind w:firstLineChars="200" w:firstLine="480"/>
        <w:rPr>
          <w:sz w:val="24"/>
          <w:szCs w:val="18"/>
        </w:rPr>
      </w:pPr>
      <w:r>
        <w:rPr>
          <w:sz w:val="24"/>
        </w:rPr>
        <w:t>1</w:t>
      </w:r>
      <w:r>
        <w:rPr>
          <w:rFonts w:hAnsi="宋体"/>
          <w:sz w:val="24"/>
        </w:rPr>
        <w:t>、基金管理人聘请</w:t>
      </w:r>
      <w:r>
        <w:rPr>
          <w:rFonts w:hAnsi="宋体"/>
          <w:bCs/>
          <w:sz w:val="24"/>
        </w:rPr>
        <w:t>与基金管理人、基金托管人相互独立的具有证券从业资格的会计师事务所及其注册会计师对本基金的年度财务报表进行审计。</w:t>
      </w:r>
    </w:p>
    <w:p w:rsidR="00B67D8A" w:rsidRDefault="00B67D8A">
      <w:pPr>
        <w:adjustRightInd w:val="0"/>
        <w:snapToGrid w:val="0"/>
        <w:spacing w:line="360" w:lineRule="auto"/>
        <w:ind w:firstLineChars="200" w:firstLine="480"/>
        <w:rPr>
          <w:sz w:val="24"/>
          <w:szCs w:val="18"/>
        </w:rPr>
      </w:pPr>
      <w:r>
        <w:rPr>
          <w:sz w:val="24"/>
          <w:szCs w:val="21"/>
        </w:rPr>
        <w:t>2</w:t>
      </w:r>
      <w:r>
        <w:rPr>
          <w:rFonts w:hAnsi="宋体"/>
          <w:sz w:val="24"/>
          <w:szCs w:val="21"/>
        </w:rPr>
        <w:t>、会计师事务所更换经办注册会计师，应事先征得基金管理人同意。</w:t>
      </w:r>
    </w:p>
    <w:p w:rsidR="00B67D8A" w:rsidRDefault="00B67D8A">
      <w:pPr>
        <w:adjustRightInd w:val="0"/>
        <w:snapToGrid w:val="0"/>
        <w:spacing w:line="360" w:lineRule="auto"/>
        <w:ind w:firstLineChars="200" w:firstLine="480"/>
        <w:rPr>
          <w:sz w:val="24"/>
        </w:rPr>
      </w:pPr>
      <w:r>
        <w:rPr>
          <w:sz w:val="24"/>
        </w:rPr>
        <w:t>3</w:t>
      </w:r>
      <w:r>
        <w:rPr>
          <w:rFonts w:hAnsi="宋体"/>
          <w:sz w:val="24"/>
        </w:rPr>
        <w:t>、基金管理人认为有充足理由更换会计师事务所，须通报基金托管人。更换会计师事务所</w:t>
      </w:r>
      <w:r>
        <w:rPr>
          <w:rFonts w:hAnsi="宋体"/>
          <w:bCs/>
          <w:sz w:val="24"/>
        </w:rPr>
        <w:t>需在</w:t>
      </w:r>
      <w:r>
        <w:rPr>
          <w:bCs/>
          <w:sz w:val="24"/>
        </w:rPr>
        <w:t>2</w:t>
      </w:r>
      <w:r>
        <w:rPr>
          <w:rFonts w:hAnsi="宋体"/>
          <w:bCs/>
          <w:sz w:val="24"/>
        </w:rPr>
        <w:t>个工作日内</w:t>
      </w:r>
      <w:r>
        <w:rPr>
          <w:rFonts w:hAnsi="宋体"/>
          <w:sz w:val="24"/>
          <w:szCs w:val="18"/>
        </w:rPr>
        <w:t>在指定媒体公告</w:t>
      </w:r>
      <w:r>
        <w:rPr>
          <w:rFonts w:hAnsi="宋体"/>
          <w:bCs/>
          <w:sz w:val="24"/>
        </w:rPr>
        <w:t>并报中国证监会备案</w:t>
      </w:r>
      <w:r>
        <w:rPr>
          <w:rFonts w:hAnsi="宋体"/>
          <w:sz w:val="24"/>
        </w:rPr>
        <w:t>。</w:t>
      </w:r>
    </w:p>
    <w:p w:rsidR="00B67D8A" w:rsidRDefault="00B67D8A">
      <w:pPr>
        <w:widowControl/>
        <w:adjustRightInd w:val="0"/>
        <w:snapToGrid w:val="0"/>
        <w:spacing w:line="360" w:lineRule="auto"/>
        <w:ind w:firstLineChars="200" w:firstLine="480"/>
        <w:rPr>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88" w:name="_Toc382321329"/>
      <w:r>
        <w:rPr>
          <w:rFonts w:ascii="宋体" w:hAnsi="宋体" w:hint="eastAsia"/>
          <w:b/>
          <w:kern w:val="0"/>
          <w:sz w:val="30"/>
        </w:rPr>
        <w:t>十八、基金的信息披露</w:t>
      </w:r>
      <w:bookmarkEnd w:id="88"/>
    </w:p>
    <w:p w:rsidR="00B67D8A" w:rsidRDefault="00B67D8A">
      <w:pPr>
        <w:adjustRightInd w:val="0"/>
        <w:snapToGrid w:val="0"/>
        <w:spacing w:line="360" w:lineRule="auto"/>
        <w:ind w:firstLineChars="200" w:firstLine="482"/>
        <w:rPr>
          <w:b/>
          <w:sz w:val="24"/>
        </w:rPr>
      </w:pPr>
      <w:r>
        <w:rPr>
          <w:rFonts w:hAnsi="宋体"/>
          <w:b/>
          <w:sz w:val="24"/>
        </w:rPr>
        <w:t>（一）</w:t>
      </w:r>
      <w:r>
        <w:rPr>
          <w:rFonts w:hAnsi="宋体"/>
          <w:sz w:val="24"/>
        </w:rPr>
        <w:t>本基金的信息披露应符合《基金法》、《运作办法》、《信息披露办法》、基金合同及其他有关规定。</w:t>
      </w:r>
    </w:p>
    <w:p w:rsidR="00B67D8A" w:rsidRDefault="00B67D8A">
      <w:pPr>
        <w:adjustRightInd w:val="0"/>
        <w:snapToGrid w:val="0"/>
        <w:spacing w:line="360" w:lineRule="auto"/>
        <w:ind w:firstLineChars="200" w:firstLine="482"/>
        <w:rPr>
          <w:b/>
          <w:sz w:val="24"/>
        </w:rPr>
      </w:pPr>
      <w:r>
        <w:rPr>
          <w:rFonts w:hAnsi="宋体"/>
          <w:b/>
          <w:bCs/>
          <w:sz w:val="24"/>
        </w:rPr>
        <w:lastRenderedPageBreak/>
        <w:t>（二）信息披露义务人</w:t>
      </w:r>
    </w:p>
    <w:p w:rsidR="00B67D8A" w:rsidRDefault="00B67D8A">
      <w:pPr>
        <w:adjustRightInd w:val="0"/>
        <w:snapToGrid w:val="0"/>
        <w:spacing w:line="360" w:lineRule="auto"/>
        <w:ind w:firstLineChars="200" w:firstLine="480"/>
        <w:rPr>
          <w:sz w:val="24"/>
        </w:rPr>
      </w:pPr>
      <w:r>
        <w:rPr>
          <w:rFonts w:hAnsi="宋体"/>
          <w:sz w:val="24"/>
        </w:rPr>
        <w:t>本基金信息披露义务人包括基金管理人、基金托管人、召集基金份额持有人大会的基金份额持有人等法律法规</w:t>
      </w:r>
      <w:bookmarkStart w:id="89" w:name="_Toc109537395"/>
      <w:r>
        <w:rPr>
          <w:rFonts w:hAnsi="宋体"/>
          <w:sz w:val="24"/>
        </w:rPr>
        <w:t>和中国证监会规定的自</w:t>
      </w:r>
      <w:bookmarkEnd w:id="89"/>
      <w:r>
        <w:rPr>
          <w:rFonts w:hAnsi="宋体"/>
          <w:sz w:val="24"/>
        </w:rPr>
        <w:t>然人、法人和其他组织。</w:t>
      </w:r>
    </w:p>
    <w:p w:rsidR="00B67D8A" w:rsidRDefault="00B67D8A">
      <w:pPr>
        <w:adjustRightInd w:val="0"/>
        <w:snapToGrid w:val="0"/>
        <w:spacing w:line="360" w:lineRule="auto"/>
        <w:ind w:firstLineChars="200" w:firstLine="480"/>
        <w:rPr>
          <w:sz w:val="24"/>
        </w:rPr>
      </w:pPr>
      <w:r>
        <w:rPr>
          <w:rFonts w:hAnsi="宋体"/>
          <w:sz w:val="24"/>
        </w:rPr>
        <w:t>本基金信息披露义务人按照法律法规和中国证监会的规定披露基金信息，并保证所披露信息的真实性、准确性和完整性。</w:t>
      </w:r>
    </w:p>
    <w:p w:rsidR="00B67D8A" w:rsidRDefault="00B67D8A">
      <w:pPr>
        <w:adjustRightInd w:val="0"/>
        <w:snapToGrid w:val="0"/>
        <w:spacing w:line="360" w:lineRule="auto"/>
        <w:ind w:firstLineChars="200" w:firstLine="480"/>
        <w:rPr>
          <w:sz w:val="24"/>
        </w:rPr>
      </w:pPr>
      <w:r>
        <w:rPr>
          <w:rFonts w:hAnsi="宋体"/>
          <w:sz w:val="24"/>
        </w:rPr>
        <w:t>本基金信息披露义务人应当在中国证监会规定时间内，将应予披露的基金信息通过中国证监会指定的全国性报刊（以下简称</w:t>
      </w:r>
      <w:r>
        <w:rPr>
          <w:sz w:val="24"/>
        </w:rPr>
        <w:t>“</w:t>
      </w:r>
      <w:r>
        <w:rPr>
          <w:rFonts w:hAnsi="宋体"/>
          <w:sz w:val="24"/>
        </w:rPr>
        <w:t>指定报刊</w:t>
      </w:r>
      <w:r>
        <w:rPr>
          <w:sz w:val="24"/>
        </w:rPr>
        <w:t>”</w:t>
      </w:r>
      <w:r>
        <w:rPr>
          <w:rFonts w:hAnsi="宋体"/>
          <w:sz w:val="24"/>
        </w:rPr>
        <w:t>）和基金管理人、基金托管人的互联网网站（以下简称</w:t>
      </w:r>
      <w:r>
        <w:rPr>
          <w:sz w:val="24"/>
        </w:rPr>
        <w:t>“</w:t>
      </w:r>
      <w:r>
        <w:rPr>
          <w:rFonts w:hAnsi="宋体"/>
          <w:sz w:val="24"/>
        </w:rPr>
        <w:t>网站</w:t>
      </w:r>
      <w:r>
        <w:rPr>
          <w:sz w:val="24"/>
        </w:rPr>
        <w:t>”</w:t>
      </w:r>
      <w:r>
        <w:rPr>
          <w:rFonts w:hAnsi="宋体"/>
          <w:sz w:val="24"/>
        </w:rPr>
        <w:t>）等媒介披露，并保证基金投资者能够按照基金合同约定的时间和方式查阅或者复制公开披露的信息资料。</w:t>
      </w:r>
    </w:p>
    <w:p w:rsidR="00B67D8A" w:rsidRDefault="00B67D8A">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B67D8A" w:rsidRDefault="00B67D8A">
      <w:pPr>
        <w:adjustRightInd w:val="0"/>
        <w:snapToGrid w:val="0"/>
        <w:spacing w:line="360" w:lineRule="auto"/>
        <w:ind w:firstLineChars="200" w:firstLine="480"/>
        <w:rPr>
          <w:sz w:val="24"/>
        </w:rPr>
      </w:pPr>
      <w:r>
        <w:rPr>
          <w:sz w:val="24"/>
        </w:rPr>
        <w:t>1</w:t>
      </w:r>
      <w:r>
        <w:rPr>
          <w:rFonts w:hAnsi="宋体"/>
          <w:sz w:val="24"/>
        </w:rPr>
        <w:t>、虚假记载、误导性陈述或者重大遗漏；</w:t>
      </w:r>
    </w:p>
    <w:p w:rsidR="00B67D8A" w:rsidRDefault="00B67D8A">
      <w:pPr>
        <w:adjustRightInd w:val="0"/>
        <w:snapToGrid w:val="0"/>
        <w:spacing w:line="360" w:lineRule="auto"/>
        <w:ind w:firstLineChars="200" w:firstLine="480"/>
        <w:rPr>
          <w:sz w:val="24"/>
        </w:rPr>
      </w:pPr>
      <w:r>
        <w:rPr>
          <w:sz w:val="24"/>
        </w:rPr>
        <w:t>2</w:t>
      </w:r>
      <w:r>
        <w:rPr>
          <w:rFonts w:hAnsi="宋体"/>
          <w:sz w:val="24"/>
        </w:rPr>
        <w:t>、对证券投资业绩进行预测；</w:t>
      </w:r>
    </w:p>
    <w:p w:rsidR="00B67D8A" w:rsidRDefault="00B67D8A">
      <w:pPr>
        <w:adjustRightInd w:val="0"/>
        <w:snapToGrid w:val="0"/>
        <w:spacing w:line="360" w:lineRule="auto"/>
        <w:ind w:firstLineChars="200" w:firstLine="480"/>
        <w:rPr>
          <w:sz w:val="24"/>
        </w:rPr>
      </w:pPr>
      <w:r>
        <w:rPr>
          <w:sz w:val="24"/>
        </w:rPr>
        <w:t>3</w:t>
      </w:r>
      <w:r>
        <w:rPr>
          <w:rFonts w:hAnsi="宋体"/>
          <w:sz w:val="24"/>
        </w:rPr>
        <w:t>、违规承诺收益或者承担损失；</w:t>
      </w:r>
    </w:p>
    <w:p w:rsidR="00B67D8A" w:rsidRDefault="00B67D8A">
      <w:pPr>
        <w:adjustRightInd w:val="0"/>
        <w:snapToGrid w:val="0"/>
        <w:spacing w:line="360" w:lineRule="auto"/>
        <w:ind w:firstLineChars="200" w:firstLine="480"/>
        <w:rPr>
          <w:sz w:val="24"/>
        </w:rPr>
      </w:pPr>
      <w:r>
        <w:rPr>
          <w:sz w:val="24"/>
        </w:rPr>
        <w:t>4</w:t>
      </w:r>
      <w:r>
        <w:rPr>
          <w:rFonts w:hAnsi="宋体"/>
          <w:sz w:val="24"/>
        </w:rPr>
        <w:t>、诋毁其他基金管理人、基金托管人或者基金销售机构；</w:t>
      </w:r>
    </w:p>
    <w:p w:rsidR="00B67D8A" w:rsidRDefault="00B67D8A">
      <w:pPr>
        <w:adjustRightInd w:val="0"/>
        <w:snapToGrid w:val="0"/>
        <w:spacing w:line="360" w:lineRule="auto"/>
        <w:ind w:firstLineChars="200" w:firstLine="480"/>
        <w:rPr>
          <w:sz w:val="24"/>
        </w:rPr>
      </w:pPr>
      <w:r>
        <w:rPr>
          <w:sz w:val="24"/>
        </w:rPr>
        <w:t>5</w:t>
      </w:r>
      <w:r>
        <w:rPr>
          <w:rFonts w:hAnsi="宋体"/>
          <w:sz w:val="24"/>
        </w:rPr>
        <w:t>、登载任何自然人、法人或者其他组织的祝贺性、恭维性或推荐性的文字；</w:t>
      </w:r>
    </w:p>
    <w:p w:rsidR="00B67D8A" w:rsidRDefault="00B67D8A">
      <w:pPr>
        <w:adjustRightInd w:val="0"/>
        <w:snapToGrid w:val="0"/>
        <w:spacing w:line="360" w:lineRule="auto"/>
        <w:ind w:firstLineChars="200" w:firstLine="480"/>
        <w:rPr>
          <w:sz w:val="24"/>
        </w:rPr>
      </w:pPr>
      <w:r>
        <w:rPr>
          <w:sz w:val="24"/>
        </w:rPr>
        <w:t>6</w:t>
      </w:r>
      <w:r>
        <w:rPr>
          <w:rFonts w:hAnsi="宋体"/>
          <w:sz w:val="24"/>
        </w:rPr>
        <w:t>、中国证监会禁止的其他行为。</w:t>
      </w:r>
    </w:p>
    <w:p w:rsidR="00B67D8A" w:rsidRDefault="00B67D8A">
      <w:pPr>
        <w:adjustRightInd w:val="0"/>
        <w:snapToGrid w:val="0"/>
        <w:spacing w:line="360" w:lineRule="auto"/>
        <w:ind w:firstLineChars="200" w:firstLine="482"/>
        <w:rPr>
          <w:sz w:val="24"/>
        </w:rPr>
      </w:pPr>
      <w:r>
        <w:rPr>
          <w:rFonts w:hAnsi="宋体"/>
          <w:b/>
          <w:sz w:val="24"/>
        </w:rPr>
        <w:t>（四）</w:t>
      </w:r>
      <w:r>
        <w:rPr>
          <w:rFonts w:hAnsi="宋体"/>
          <w:sz w:val="24"/>
        </w:rPr>
        <w:t>本基金公开披露的信息应采用中文文本。如同时采用外文文本的，基金信息披露义务人应保证两种文本的内容一致。两种文本发生歧义的，以中文文本为准。</w:t>
      </w:r>
    </w:p>
    <w:p w:rsidR="00B67D8A" w:rsidRDefault="00B67D8A">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rsidR="00B67D8A" w:rsidRDefault="00B67D8A">
      <w:pPr>
        <w:adjustRightInd w:val="0"/>
        <w:snapToGrid w:val="0"/>
        <w:spacing w:line="360" w:lineRule="auto"/>
        <w:ind w:firstLineChars="200" w:firstLine="482"/>
        <w:rPr>
          <w:b/>
          <w:sz w:val="24"/>
        </w:rPr>
      </w:pPr>
      <w:r>
        <w:rPr>
          <w:rFonts w:hAnsi="宋体"/>
          <w:b/>
          <w:sz w:val="24"/>
        </w:rPr>
        <w:t>（五）公开披露的基金信息</w:t>
      </w:r>
    </w:p>
    <w:p w:rsidR="00B67D8A" w:rsidRDefault="00B67D8A">
      <w:pPr>
        <w:adjustRightInd w:val="0"/>
        <w:snapToGrid w:val="0"/>
        <w:spacing w:line="360" w:lineRule="auto"/>
        <w:ind w:firstLineChars="200" w:firstLine="480"/>
        <w:rPr>
          <w:b/>
          <w:bCs/>
          <w:sz w:val="24"/>
        </w:rPr>
      </w:pPr>
      <w:r>
        <w:rPr>
          <w:rFonts w:hAnsi="宋体"/>
          <w:bCs/>
          <w:sz w:val="24"/>
        </w:rPr>
        <w:t>公开披露的基金信息包括：</w:t>
      </w:r>
    </w:p>
    <w:p w:rsidR="00B67D8A" w:rsidRDefault="00B67D8A">
      <w:pPr>
        <w:adjustRightInd w:val="0"/>
        <w:snapToGrid w:val="0"/>
        <w:spacing w:line="360" w:lineRule="auto"/>
        <w:ind w:firstLineChars="200" w:firstLine="480"/>
        <w:rPr>
          <w:bCs/>
          <w:sz w:val="24"/>
        </w:rPr>
      </w:pPr>
      <w:r>
        <w:rPr>
          <w:bCs/>
          <w:sz w:val="24"/>
        </w:rPr>
        <w:t>1</w:t>
      </w:r>
      <w:r>
        <w:rPr>
          <w:rFonts w:hAnsi="宋体"/>
          <w:bCs/>
          <w:sz w:val="24"/>
        </w:rPr>
        <w:t>、基金招募说明书、基金合同、基金托管协议</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）基金招募说明书应当最大限度地披露影响基金投资者决策的全部事项，说明基金认购、申购和赎回安排、基金投资、基金产品特性、风险揭示、信息披露及</w:t>
      </w:r>
      <w:r>
        <w:rPr>
          <w:rFonts w:hAnsi="宋体"/>
          <w:bCs/>
          <w:sz w:val="24"/>
        </w:rPr>
        <w:lastRenderedPageBreak/>
        <w:t>基金份额持有人服务等内容。基金合同生效后，基金管理人在每</w:t>
      </w:r>
      <w:r>
        <w:rPr>
          <w:bCs/>
          <w:sz w:val="24"/>
        </w:rPr>
        <w:t>6</w:t>
      </w:r>
      <w:r>
        <w:rPr>
          <w:rFonts w:hAnsi="宋体"/>
          <w:bCs/>
          <w:sz w:val="24"/>
        </w:rPr>
        <w:t>个月结束之日起</w:t>
      </w:r>
      <w:r>
        <w:rPr>
          <w:bCs/>
          <w:sz w:val="24"/>
        </w:rPr>
        <w:t>45</w:t>
      </w:r>
      <w:r>
        <w:rPr>
          <w:rFonts w:hAnsi="宋体"/>
          <w:bCs/>
          <w:sz w:val="24"/>
        </w:rPr>
        <w:t>日内，更新招募说明书并登载在网站上，将更新后的招募说明书摘要登载在指定报刊上；基金管理人在公告的</w:t>
      </w:r>
      <w:r>
        <w:rPr>
          <w:bCs/>
          <w:sz w:val="24"/>
        </w:rPr>
        <w:t>15</w:t>
      </w:r>
      <w:r>
        <w:rPr>
          <w:rFonts w:hAnsi="宋体"/>
          <w:bCs/>
          <w:sz w:val="24"/>
        </w:rPr>
        <w:t>日前向主要办公场所所在地的中国证监会派出机构报送更新的招募说明书，并就有关更新内容提供书面说明。</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）基金托管协议是界定基金托管人和基金管理人在基金财产保管及基金运作监督等活动中的权利、义务关系的法律文件。</w:t>
      </w:r>
    </w:p>
    <w:p w:rsidR="00B67D8A" w:rsidRDefault="00B67D8A">
      <w:pPr>
        <w:adjustRightInd w:val="0"/>
        <w:snapToGrid w:val="0"/>
        <w:spacing w:line="360" w:lineRule="auto"/>
        <w:ind w:firstLineChars="200" w:firstLine="480"/>
        <w:rPr>
          <w:sz w:val="24"/>
        </w:rPr>
      </w:pPr>
      <w:r>
        <w:rPr>
          <w:rFonts w:hAnsi="宋体"/>
          <w:bCs/>
          <w:sz w:val="24"/>
        </w:rPr>
        <w:t>基金募集申请经中国证监会核准后，基金管理人在基金份额发售的</w:t>
      </w:r>
      <w:r>
        <w:rPr>
          <w:bCs/>
          <w:sz w:val="24"/>
        </w:rPr>
        <w:t>3</w:t>
      </w:r>
      <w:r>
        <w:rPr>
          <w:rFonts w:hAnsi="宋体"/>
          <w:bCs/>
          <w:sz w:val="24"/>
        </w:rPr>
        <w:t>日前，将基金招募说明书、基金合同摘要登载在指定报刊和网站上；基金管理人、基金托管人应当将基金合同、基金托管协议登载在网站上。</w:t>
      </w:r>
    </w:p>
    <w:p w:rsidR="00B67D8A" w:rsidRDefault="00B67D8A">
      <w:pPr>
        <w:adjustRightInd w:val="0"/>
        <w:snapToGrid w:val="0"/>
        <w:spacing w:line="360" w:lineRule="auto"/>
        <w:ind w:firstLineChars="200" w:firstLine="480"/>
        <w:rPr>
          <w:sz w:val="24"/>
        </w:rPr>
      </w:pPr>
      <w:r>
        <w:rPr>
          <w:sz w:val="24"/>
        </w:rPr>
        <w:t>2</w:t>
      </w:r>
      <w:r>
        <w:rPr>
          <w:rFonts w:hAnsi="宋体"/>
          <w:sz w:val="24"/>
        </w:rPr>
        <w:t>、基金份额发售公告</w:t>
      </w:r>
    </w:p>
    <w:p w:rsidR="00B67D8A" w:rsidRDefault="00B67D8A">
      <w:pPr>
        <w:adjustRightInd w:val="0"/>
        <w:snapToGrid w:val="0"/>
        <w:spacing w:line="360" w:lineRule="auto"/>
        <w:ind w:firstLineChars="200" w:firstLine="480"/>
        <w:rPr>
          <w:sz w:val="24"/>
        </w:rPr>
      </w:pPr>
      <w:r>
        <w:rPr>
          <w:rFonts w:hAnsi="宋体"/>
          <w:sz w:val="24"/>
        </w:rPr>
        <w:t>基金管理人应当就基金份额发售的具体事宜编制基金份额发售公告，并在披露招募说明书的当日登载于指定报刊和网站上。</w:t>
      </w:r>
    </w:p>
    <w:p w:rsidR="00B67D8A" w:rsidRDefault="00B67D8A">
      <w:pPr>
        <w:adjustRightInd w:val="0"/>
        <w:snapToGrid w:val="0"/>
        <w:spacing w:line="360" w:lineRule="auto"/>
        <w:ind w:firstLineChars="200" w:firstLine="480"/>
        <w:rPr>
          <w:sz w:val="24"/>
        </w:rPr>
      </w:pPr>
      <w:r>
        <w:rPr>
          <w:sz w:val="24"/>
        </w:rPr>
        <w:t>3</w:t>
      </w:r>
      <w:r>
        <w:rPr>
          <w:rFonts w:hAnsi="宋体"/>
          <w:sz w:val="24"/>
        </w:rPr>
        <w:t>、基金合同生效公告</w:t>
      </w:r>
    </w:p>
    <w:p w:rsidR="00B67D8A" w:rsidRDefault="00B67D8A">
      <w:pPr>
        <w:adjustRightInd w:val="0"/>
        <w:snapToGrid w:val="0"/>
        <w:spacing w:line="360" w:lineRule="auto"/>
        <w:ind w:firstLineChars="200" w:firstLine="480"/>
        <w:rPr>
          <w:sz w:val="24"/>
        </w:rPr>
      </w:pPr>
      <w:r>
        <w:rPr>
          <w:rFonts w:hAnsi="宋体"/>
          <w:sz w:val="24"/>
        </w:rPr>
        <w:t>基金管理人应当</w:t>
      </w:r>
      <w:r>
        <w:rPr>
          <w:rFonts w:hAnsi="宋体"/>
          <w:bCs/>
          <w:sz w:val="24"/>
        </w:rPr>
        <w:t>在收到中国证监会确认文件的次日在指定报刊和网站上登载基金合同生效公告</w:t>
      </w:r>
      <w:r>
        <w:rPr>
          <w:rFonts w:hAnsi="宋体"/>
          <w:sz w:val="24"/>
        </w:rPr>
        <w:t>。</w:t>
      </w:r>
    </w:p>
    <w:p w:rsidR="00B67D8A" w:rsidRDefault="00B67D8A">
      <w:pPr>
        <w:adjustRightInd w:val="0"/>
        <w:snapToGrid w:val="0"/>
        <w:spacing w:line="360" w:lineRule="auto"/>
        <w:ind w:firstLineChars="200" w:firstLine="480"/>
        <w:rPr>
          <w:sz w:val="24"/>
        </w:rPr>
      </w:pPr>
      <w:r>
        <w:rPr>
          <w:sz w:val="24"/>
        </w:rPr>
        <w:t>4</w:t>
      </w:r>
      <w:r>
        <w:rPr>
          <w:rFonts w:hAnsi="宋体"/>
          <w:sz w:val="24"/>
        </w:rPr>
        <w:t>、基金资产净值、基金份额净值</w:t>
      </w:r>
    </w:p>
    <w:p w:rsidR="00B67D8A" w:rsidRDefault="00B67D8A">
      <w:pPr>
        <w:adjustRightInd w:val="0"/>
        <w:snapToGrid w:val="0"/>
        <w:spacing w:line="360" w:lineRule="auto"/>
        <w:ind w:firstLineChars="200" w:firstLine="480"/>
        <w:rPr>
          <w:sz w:val="24"/>
        </w:rPr>
      </w:pPr>
      <w:r>
        <w:rPr>
          <w:rFonts w:hAnsi="宋体"/>
          <w:sz w:val="24"/>
        </w:rPr>
        <w:t>基金合同生效后，在开始办理基金份额申购或者赎回前，基金管理人应当至少每周公告一次基金资产净值和基金份额净值。</w:t>
      </w:r>
    </w:p>
    <w:p w:rsidR="00B67D8A" w:rsidRDefault="00B67D8A">
      <w:pPr>
        <w:adjustRightInd w:val="0"/>
        <w:snapToGrid w:val="0"/>
        <w:spacing w:line="360" w:lineRule="auto"/>
        <w:ind w:firstLineChars="200" w:firstLine="480"/>
        <w:rPr>
          <w:sz w:val="24"/>
        </w:rPr>
      </w:pPr>
      <w:r>
        <w:rPr>
          <w:rFonts w:hAnsi="宋体"/>
          <w:sz w:val="24"/>
        </w:rPr>
        <w:t>在开始办理基金份额申购或者赎回后，基金管理人应当在每个开放日的次日，通过网站、基金份额发售网点以及其他媒介，披露开放日的基金份额净值和基金份额累计净值。</w:t>
      </w:r>
    </w:p>
    <w:p w:rsidR="00B67D8A" w:rsidRDefault="00B67D8A">
      <w:pPr>
        <w:adjustRightInd w:val="0"/>
        <w:snapToGrid w:val="0"/>
        <w:spacing w:line="360" w:lineRule="auto"/>
        <w:ind w:firstLineChars="200" w:firstLine="480"/>
        <w:rPr>
          <w:sz w:val="24"/>
        </w:rPr>
      </w:pPr>
      <w:r>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B67D8A" w:rsidRDefault="00B67D8A">
      <w:pPr>
        <w:adjustRightInd w:val="0"/>
        <w:snapToGrid w:val="0"/>
        <w:spacing w:line="360" w:lineRule="auto"/>
        <w:ind w:firstLineChars="200" w:firstLine="480"/>
        <w:rPr>
          <w:sz w:val="24"/>
        </w:rPr>
      </w:pPr>
      <w:r>
        <w:rPr>
          <w:sz w:val="24"/>
        </w:rPr>
        <w:t>5</w:t>
      </w:r>
      <w:r>
        <w:rPr>
          <w:rFonts w:hAnsi="宋体"/>
          <w:sz w:val="24"/>
        </w:rPr>
        <w:t>、基金份额申购、赎回价格</w:t>
      </w:r>
    </w:p>
    <w:p w:rsidR="00B67D8A" w:rsidRDefault="00B67D8A">
      <w:pPr>
        <w:adjustRightInd w:val="0"/>
        <w:snapToGrid w:val="0"/>
        <w:spacing w:line="360" w:lineRule="auto"/>
        <w:ind w:firstLineChars="200" w:firstLine="480"/>
        <w:rPr>
          <w:sz w:val="24"/>
        </w:rPr>
      </w:pPr>
      <w:r>
        <w:rPr>
          <w:rFonts w:hAnsi="宋体"/>
          <w:sz w:val="24"/>
        </w:rPr>
        <w:t>基金管理人应当在基金合同、招募说明书等信息披露文件上载</w:t>
      </w:r>
      <w:proofErr w:type="gramStart"/>
      <w:r>
        <w:rPr>
          <w:rFonts w:hAnsi="宋体"/>
          <w:sz w:val="24"/>
        </w:rPr>
        <w:t>明基金</w:t>
      </w:r>
      <w:proofErr w:type="gramEnd"/>
      <w:r>
        <w:rPr>
          <w:rFonts w:hAnsi="宋体"/>
          <w:sz w:val="24"/>
        </w:rPr>
        <w:t>份额申购、赎回价格的计算方式及有关申购、赎回费率，并保证投资人能够在基金份额发售网点查阅或者复制前述信息资料。</w:t>
      </w:r>
    </w:p>
    <w:p w:rsidR="00B67D8A" w:rsidRDefault="00B67D8A">
      <w:pPr>
        <w:adjustRightInd w:val="0"/>
        <w:snapToGrid w:val="0"/>
        <w:spacing w:line="360" w:lineRule="auto"/>
        <w:ind w:firstLineChars="200" w:firstLine="480"/>
        <w:rPr>
          <w:sz w:val="24"/>
        </w:rPr>
      </w:pPr>
      <w:r>
        <w:rPr>
          <w:sz w:val="24"/>
        </w:rPr>
        <w:lastRenderedPageBreak/>
        <w:t>6</w:t>
      </w:r>
      <w:r>
        <w:rPr>
          <w:rFonts w:hAnsi="宋体"/>
          <w:sz w:val="24"/>
        </w:rPr>
        <w:t>、</w:t>
      </w:r>
      <w:r>
        <w:rPr>
          <w:rFonts w:hAnsi="宋体"/>
          <w:bCs/>
          <w:sz w:val="24"/>
        </w:rPr>
        <w:t>基金定期报告，包括基金年度报告、基金半年度报告和基金季度报告</w:t>
      </w:r>
    </w:p>
    <w:p w:rsidR="00B67D8A" w:rsidRDefault="00B67D8A">
      <w:pPr>
        <w:adjustRightInd w:val="0"/>
        <w:snapToGrid w:val="0"/>
        <w:spacing w:line="360" w:lineRule="auto"/>
        <w:ind w:firstLineChars="200" w:firstLine="480"/>
        <w:rPr>
          <w:sz w:val="24"/>
        </w:rPr>
      </w:pPr>
      <w:r>
        <w:rPr>
          <w:rFonts w:hAnsi="宋体"/>
          <w:sz w:val="24"/>
        </w:rPr>
        <w:t>基金管理人应当在每年结束之日起</w:t>
      </w:r>
      <w:r>
        <w:rPr>
          <w:sz w:val="24"/>
        </w:rPr>
        <w:t>90</w:t>
      </w:r>
      <w:r>
        <w:rPr>
          <w:rFonts w:hAnsi="宋体"/>
          <w:sz w:val="24"/>
        </w:rPr>
        <w:t>日内，编制完成基金年度报告，并将年度报告正文登载于网站上，将年度报告摘要登载在指定报刊上。基金年度报告</w:t>
      </w:r>
      <w:r>
        <w:rPr>
          <w:rFonts w:hAnsi="宋体"/>
          <w:bCs/>
          <w:sz w:val="24"/>
        </w:rPr>
        <w:t>的财务会计报告应当经过审计</w:t>
      </w:r>
      <w:r>
        <w:rPr>
          <w:rFonts w:hAnsi="宋体"/>
          <w:sz w:val="24"/>
        </w:rPr>
        <w:t>。</w:t>
      </w:r>
    </w:p>
    <w:p w:rsidR="00B67D8A" w:rsidRDefault="00B67D8A">
      <w:pPr>
        <w:adjustRightInd w:val="0"/>
        <w:snapToGrid w:val="0"/>
        <w:spacing w:line="360" w:lineRule="auto"/>
        <w:ind w:firstLineChars="200" w:firstLine="480"/>
        <w:rPr>
          <w:sz w:val="24"/>
        </w:rPr>
      </w:pPr>
      <w:r>
        <w:rPr>
          <w:rFonts w:hAnsi="宋体"/>
          <w:sz w:val="24"/>
        </w:rPr>
        <w:t>基金管理人应当在上半年结束之日起</w:t>
      </w:r>
      <w:r>
        <w:rPr>
          <w:sz w:val="24"/>
        </w:rPr>
        <w:t>60</w:t>
      </w:r>
      <w:r>
        <w:rPr>
          <w:rFonts w:hAnsi="宋体"/>
          <w:sz w:val="24"/>
        </w:rPr>
        <w:t>日内，编制完成基金半年度报告，并将半年度报告正文登载在网站上，将半年度报告摘要登载在指定报刊上。</w:t>
      </w:r>
    </w:p>
    <w:p w:rsidR="00B67D8A" w:rsidRDefault="00B67D8A">
      <w:pPr>
        <w:adjustRightInd w:val="0"/>
        <w:snapToGrid w:val="0"/>
        <w:spacing w:line="360" w:lineRule="auto"/>
        <w:ind w:firstLineChars="200" w:firstLine="480"/>
        <w:rPr>
          <w:sz w:val="24"/>
        </w:rPr>
      </w:pPr>
      <w:r>
        <w:rPr>
          <w:rFonts w:hAnsi="宋体"/>
          <w:sz w:val="24"/>
        </w:rPr>
        <w:t>基金管理人应当在每个季度结束之日起</w:t>
      </w:r>
      <w:r>
        <w:rPr>
          <w:sz w:val="24"/>
        </w:rPr>
        <w:t>15</w:t>
      </w:r>
      <w:r>
        <w:rPr>
          <w:rFonts w:hAnsi="宋体"/>
          <w:sz w:val="24"/>
        </w:rPr>
        <w:t>个工作日内，编制完成基金季度报告，并将季度报告登载在指定报刊和网站上。</w:t>
      </w:r>
    </w:p>
    <w:p w:rsidR="00B67D8A" w:rsidRDefault="00B67D8A">
      <w:pPr>
        <w:adjustRightInd w:val="0"/>
        <w:snapToGrid w:val="0"/>
        <w:spacing w:line="360" w:lineRule="auto"/>
        <w:ind w:firstLineChars="200" w:firstLine="480"/>
        <w:rPr>
          <w:sz w:val="24"/>
        </w:rPr>
      </w:pPr>
      <w:r>
        <w:rPr>
          <w:rFonts w:hAnsi="宋体"/>
          <w:sz w:val="24"/>
        </w:rPr>
        <w:t>基金合同生效不足</w:t>
      </w:r>
      <w:r>
        <w:rPr>
          <w:sz w:val="24"/>
        </w:rPr>
        <w:t>2</w:t>
      </w:r>
      <w:r>
        <w:rPr>
          <w:rFonts w:hAnsi="宋体"/>
          <w:sz w:val="24"/>
        </w:rPr>
        <w:t>个月的，基金管理人可以不编制当期季度报告、半年度报告或者年度报告。</w:t>
      </w:r>
    </w:p>
    <w:p w:rsidR="00B67D8A" w:rsidRDefault="00B67D8A">
      <w:pPr>
        <w:adjustRightInd w:val="0"/>
        <w:snapToGrid w:val="0"/>
        <w:spacing w:line="360" w:lineRule="auto"/>
        <w:ind w:firstLineChars="200" w:firstLine="480"/>
        <w:rPr>
          <w:sz w:val="24"/>
        </w:rPr>
      </w:pPr>
      <w:r>
        <w:rPr>
          <w:rFonts w:hAnsi="宋体"/>
          <w:sz w:val="24"/>
        </w:rPr>
        <w:t>基金定期报告</w:t>
      </w:r>
      <w:r>
        <w:rPr>
          <w:rFonts w:hAnsi="宋体"/>
          <w:bCs/>
          <w:sz w:val="24"/>
        </w:rPr>
        <w:t>在公开披露的第</w:t>
      </w:r>
      <w:r>
        <w:rPr>
          <w:bCs/>
          <w:sz w:val="24"/>
        </w:rPr>
        <w:t>2</w:t>
      </w:r>
      <w:r>
        <w:rPr>
          <w:rFonts w:hAnsi="宋体"/>
          <w:bCs/>
          <w:sz w:val="24"/>
        </w:rPr>
        <w:t>个工作日，分别报中国证监会和基金管理人主要办公场所所在地中国证监会派出机构备案。报备应当采用电子文本或书面报告方式</w:t>
      </w:r>
      <w:r>
        <w:rPr>
          <w:rFonts w:hAnsi="宋体"/>
          <w:sz w:val="24"/>
        </w:rPr>
        <w:t>。</w:t>
      </w:r>
    </w:p>
    <w:p w:rsidR="00B67D8A" w:rsidRDefault="00B67D8A">
      <w:pPr>
        <w:adjustRightInd w:val="0"/>
        <w:snapToGrid w:val="0"/>
        <w:spacing w:line="360" w:lineRule="auto"/>
        <w:ind w:firstLineChars="200" w:firstLine="480"/>
        <w:rPr>
          <w:sz w:val="24"/>
        </w:rPr>
      </w:pPr>
      <w:r>
        <w:rPr>
          <w:sz w:val="24"/>
        </w:rPr>
        <w:t>7</w:t>
      </w:r>
      <w:r>
        <w:rPr>
          <w:rFonts w:hAnsi="宋体"/>
          <w:sz w:val="24"/>
        </w:rPr>
        <w:t>、临时报告</w:t>
      </w:r>
    </w:p>
    <w:p w:rsidR="00B67D8A" w:rsidRDefault="00B67D8A">
      <w:pPr>
        <w:adjustRightInd w:val="0"/>
        <w:snapToGrid w:val="0"/>
        <w:spacing w:line="360" w:lineRule="auto"/>
        <w:ind w:firstLineChars="200" w:firstLine="480"/>
        <w:rPr>
          <w:bCs/>
          <w:sz w:val="24"/>
        </w:rPr>
      </w:pPr>
      <w:r>
        <w:rPr>
          <w:rFonts w:hAnsi="宋体"/>
          <w:bCs/>
          <w:sz w:val="24"/>
        </w:rPr>
        <w:t>本基金发生重大事件，有关信息披露义务人应当在</w:t>
      </w:r>
      <w:r>
        <w:rPr>
          <w:bCs/>
          <w:sz w:val="24"/>
        </w:rPr>
        <w:t>2</w:t>
      </w:r>
      <w:r>
        <w:rPr>
          <w:rFonts w:hAnsi="宋体"/>
          <w:bCs/>
          <w:sz w:val="24"/>
        </w:rPr>
        <w:t>个工作日内编制临时报告书，予以公告，并在公开披露日分别报中国证监会和基金管理人主要办公场所所在地的中国证监会派出机构备案。</w:t>
      </w:r>
    </w:p>
    <w:p w:rsidR="00B67D8A" w:rsidRDefault="00B67D8A">
      <w:pPr>
        <w:adjustRightInd w:val="0"/>
        <w:snapToGrid w:val="0"/>
        <w:spacing w:line="360" w:lineRule="auto"/>
        <w:ind w:firstLineChars="200" w:firstLine="480"/>
        <w:rPr>
          <w:rStyle w:val="unnamed11"/>
          <w:rFonts w:ascii="Times New Roman" w:hAnsi="Times New Roman" w:hint="default"/>
        </w:rPr>
      </w:pPr>
      <w:r>
        <w:rPr>
          <w:rFonts w:hAnsi="宋体"/>
          <w:bCs/>
          <w:sz w:val="24"/>
        </w:rPr>
        <w:t>前款所称重大事件，是指可能对基金份额持有人权益或者基金份额的价格产生重大影响的下列事件：</w:t>
      </w:r>
    </w:p>
    <w:p w:rsidR="00B67D8A" w:rsidRDefault="00B67D8A">
      <w:pPr>
        <w:adjustRightInd w:val="0"/>
        <w:snapToGrid w:val="0"/>
        <w:spacing w:line="360" w:lineRule="auto"/>
        <w:ind w:firstLineChars="200" w:firstLine="480"/>
        <w:rPr>
          <w:sz w:val="24"/>
        </w:rPr>
      </w:pPr>
      <w:r>
        <w:rPr>
          <w:rFonts w:hAnsi="宋体"/>
          <w:sz w:val="24"/>
        </w:rPr>
        <w:t>（</w:t>
      </w:r>
      <w:r>
        <w:rPr>
          <w:sz w:val="24"/>
        </w:rPr>
        <w:t>1</w:t>
      </w:r>
      <w:r>
        <w:rPr>
          <w:rFonts w:hAnsi="宋体"/>
          <w:sz w:val="24"/>
        </w:rPr>
        <w:t>）基金份额持有人大会的召开；</w:t>
      </w:r>
    </w:p>
    <w:p w:rsidR="00B67D8A" w:rsidRDefault="00B67D8A">
      <w:pPr>
        <w:adjustRightInd w:val="0"/>
        <w:snapToGrid w:val="0"/>
        <w:spacing w:line="360" w:lineRule="auto"/>
        <w:ind w:firstLineChars="200" w:firstLine="480"/>
        <w:rPr>
          <w:sz w:val="24"/>
        </w:rPr>
      </w:pPr>
      <w:r>
        <w:rPr>
          <w:rFonts w:hAnsi="宋体"/>
          <w:sz w:val="24"/>
        </w:rPr>
        <w:t>（</w:t>
      </w:r>
      <w:r>
        <w:rPr>
          <w:sz w:val="24"/>
        </w:rPr>
        <w:t>2</w:t>
      </w:r>
      <w:r>
        <w:rPr>
          <w:rFonts w:hAnsi="宋体"/>
          <w:sz w:val="24"/>
        </w:rPr>
        <w:t>）终止基金合同；</w:t>
      </w:r>
    </w:p>
    <w:p w:rsidR="00B67D8A" w:rsidRDefault="00B67D8A">
      <w:pPr>
        <w:adjustRightInd w:val="0"/>
        <w:snapToGrid w:val="0"/>
        <w:spacing w:line="360" w:lineRule="auto"/>
        <w:ind w:firstLineChars="200" w:firstLine="480"/>
        <w:rPr>
          <w:sz w:val="24"/>
        </w:rPr>
      </w:pPr>
      <w:r>
        <w:rPr>
          <w:rFonts w:hAnsi="宋体"/>
          <w:sz w:val="24"/>
        </w:rPr>
        <w:t>（</w:t>
      </w:r>
      <w:r>
        <w:rPr>
          <w:sz w:val="24"/>
        </w:rPr>
        <w:t>3</w:t>
      </w:r>
      <w:r>
        <w:rPr>
          <w:rFonts w:hAnsi="宋体"/>
          <w:sz w:val="24"/>
        </w:rPr>
        <w:t>）转换基金运作方式；</w:t>
      </w:r>
    </w:p>
    <w:p w:rsidR="00B67D8A" w:rsidRDefault="00B67D8A">
      <w:pPr>
        <w:adjustRightInd w:val="0"/>
        <w:snapToGrid w:val="0"/>
        <w:spacing w:line="360" w:lineRule="auto"/>
        <w:ind w:firstLineChars="200" w:firstLine="480"/>
        <w:rPr>
          <w:sz w:val="24"/>
        </w:rPr>
      </w:pPr>
      <w:r>
        <w:rPr>
          <w:rFonts w:hAnsi="宋体"/>
          <w:sz w:val="24"/>
        </w:rPr>
        <w:t>（</w:t>
      </w:r>
      <w:r>
        <w:rPr>
          <w:sz w:val="24"/>
        </w:rPr>
        <w:t>4</w:t>
      </w:r>
      <w:r>
        <w:rPr>
          <w:rFonts w:hAnsi="宋体"/>
          <w:sz w:val="24"/>
        </w:rPr>
        <w:t>）更换基金管理人、基金托管人；</w:t>
      </w:r>
    </w:p>
    <w:p w:rsidR="00B67D8A" w:rsidRDefault="00B67D8A">
      <w:pPr>
        <w:adjustRightInd w:val="0"/>
        <w:snapToGrid w:val="0"/>
        <w:spacing w:line="360" w:lineRule="auto"/>
        <w:ind w:firstLineChars="200" w:firstLine="480"/>
        <w:rPr>
          <w:sz w:val="24"/>
        </w:rPr>
      </w:pPr>
      <w:r>
        <w:rPr>
          <w:rFonts w:hAnsi="宋体"/>
          <w:sz w:val="24"/>
        </w:rPr>
        <w:t>（</w:t>
      </w:r>
      <w:r>
        <w:rPr>
          <w:sz w:val="24"/>
        </w:rPr>
        <w:t>5</w:t>
      </w:r>
      <w:r>
        <w:rPr>
          <w:rFonts w:hAnsi="宋体"/>
          <w:sz w:val="24"/>
        </w:rPr>
        <w:t>）基金管理人、基金托管人的法定名称、住所发生变更；</w:t>
      </w:r>
    </w:p>
    <w:p w:rsidR="00B67D8A" w:rsidRDefault="00B67D8A">
      <w:pPr>
        <w:adjustRightInd w:val="0"/>
        <w:snapToGrid w:val="0"/>
        <w:spacing w:line="360" w:lineRule="auto"/>
        <w:ind w:firstLineChars="200" w:firstLine="480"/>
        <w:rPr>
          <w:sz w:val="24"/>
        </w:rPr>
      </w:pPr>
      <w:r>
        <w:rPr>
          <w:rFonts w:hAnsi="宋体"/>
          <w:sz w:val="24"/>
        </w:rPr>
        <w:t>（</w:t>
      </w:r>
      <w:r>
        <w:rPr>
          <w:sz w:val="24"/>
        </w:rPr>
        <w:t>6</w:t>
      </w:r>
      <w:r>
        <w:rPr>
          <w:rFonts w:hAnsi="宋体"/>
          <w:sz w:val="24"/>
        </w:rPr>
        <w:t>）基金管理</w:t>
      </w:r>
      <w:proofErr w:type="gramStart"/>
      <w:r>
        <w:rPr>
          <w:rFonts w:hAnsi="宋体"/>
          <w:sz w:val="24"/>
        </w:rPr>
        <w:t>人股东</w:t>
      </w:r>
      <w:proofErr w:type="gramEnd"/>
      <w:r>
        <w:rPr>
          <w:rFonts w:hAnsi="宋体"/>
          <w:sz w:val="24"/>
        </w:rPr>
        <w:t>及其出资比例发生变更；</w:t>
      </w:r>
    </w:p>
    <w:p w:rsidR="00B67D8A" w:rsidRDefault="00B67D8A">
      <w:pPr>
        <w:adjustRightInd w:val="0"/>
        <w:snapToGrid w:val="0"/>
        <w:spacing w:line="360" w:lineRule="auto"/>
        <w:ind w:firstLineChars="200" w:firstLine="480"/>
        <w:rPr>
          <w:sz w:val="24"/>
        </w:rPr>
      </w:pPr>
      <w:r>
        <w:rPr>
          <w:rFonts w:hAnsi="宋体"/>
          <w:sz w:val="24"/>
        </w:rPr>
        <w:t>（</w:t>
      </w:r>
      <w:r>
        <w:rPr>
          <w:sz w:val="24"/>
        </w:rPr>
        <w:t>7</w:t>
      </w:r>
      <w:r>
        <w:rPr>
          <w:rFonts w:hAnsi="宋体"/>
          <w:sz w:val="24"/>
        </w:rPr>
        <w:t>）基金募集期延长；</w:t>
      </w:r>
    </w:p>
    <w:p w:rsidR="00B67D8A" w:rsidRDefault="00B67D8A">
      <w:pPr>
        <w:adjustRightInd w:val="0"/>
        <w:snapToGrid w:val="0"/>
        <w:spacing w:line="360" w:lineRule="auto"/>
        <w:ind w:firstLineChars="200" w:firstLine="480"/>
        <w:rPr>
          <w:sz w:val="24"/>
        </w:rPr>
      </w:pPr>
      <w:r>
        <w:rPr>
          <w:rFonts w:hAnsi="宋体"/>
          <w:sz w:val="24"/>
        </w:rPr>
        <w:t>（</w:t>
      </w:r>
      <w:r>
        <w:rPr>
          <w:sz w:val="24"/>
        </w:rPr>
        <w:t>8</w:t>
      </w:r>
      <w:r>
        <w:rPr>
          <w:rFonts w:hAnsi="宋体"/>
          <w:sz w:val="24"/>
        </w:rPr>
        <w:t>）基金管理人的董事长、总经理及其他高级管理人员、基金经理和基金托管人基金托管部门负责人发生变动；</w:t>
      </w:r>
    </w:p>
    <w:p w:rsidR="00B67D8A" w:rsidRDefault="00B67D8A">
      <w:pPr>
        <w:adjustRightInd w:val="0"/>
        <w:snapToGrid w:val="0"/>
        <w:spacing w:line="360" w:lineRule="auto"/>
        <w:ind w:firstLineChars="200" w:firstLine="480"/>
        <w:rPr>
          <w:sz w:val="24"/>
        </w:rPr>
      </w:pPr>
      <w:r>
        <w:rPr>
          <w:rFonts w:hAnsi="宋体"/>
          <w:sz w:val="24"/>
        </w:rPr>
        <w:lastRenderedPageBreak/>
        <w:t>（</w:t>
      </w:r>
      <w:r>
        <w:rPr>
          <w:sz w:val="24"/>
        </w:rPr>
        <w:t>9</w:t>
      </w:r>
      <w:r>
        <w:rPr>
          <w:rFonts w:hAnsi="宋体"/>
          <w:sz w:val="24"/>
        </w:rPr>
        <w:t>）基金管理人的董事在一年内变更超过</w:t>
      </w:r>
      <w:r>
        <w:rPr>
          <w:rFonts w:hAnsi="宋体"/>
          <w:bCs/>
          <w:sz w:val="24"/>
        </w:rPr>
        <w:t>百分之五十</w:t>
      </w:r>
      <w:r>
        <w:rPr>
          <w:rFonts w:hAnsi="宋体"/>
          <w:sz w:val="24"/>
        </w:rPr>
        <w:t>；</w:t>
      </w:r>
    </w:p>
    <w:p w:rsidR="00B67D8A" w:rsidRDefault="00B67D8A">
      <w:pPr>
        <w:adjustRightInd w:val="0"/>
        <w:snapToGrid w:val="0"/>
        <w:spacing w:line="360" w:lineRule="auto"/>
        <w:ind w:firstLineChars="200" w:firstLine="480"/>
        <w:rPr>
          <w:sz w:val="24"/>
        </w:rPr>
      </w:pPr>
      <w:r>
        <w:rPr>
          <w:rFonts w:hAnsi="宋体"/>
          <w:sz w:val="24"/>
        </w:rPr>
        <w:t>（</w:t>
      </w:r>
      <w:r>
        <w:rPr>
          <w:sz w:val="24"/>
        </w:rPr>
        <w:t>10</w:t>
      </w:r>
      <w:r>
        <w:rPr>
          <w:rFonts w:hAnsi="宋体"/>
          <w:sz w:val="24"/>
        </w:rPr>
        <w:t>）基金管理人、基金托管人基金托管部门的主要业务人员在一年内变动超过</w:t>
      </w:r>
      <w:r>
        <w:rPr>
          <w:rFonts w:hAnsi="宋体"/>
          <w:bCs/>
          <w:sz w:val="24"/>
        </w:rPr>
        <w:t>百分之三十</w:t>
      </w:r>
      <w:r>
        <w:rPr>
          <w:rFonts w:hAnsi="宋体"/>
          <w:sz w:val="24"/>
        </w:rPr>
        <w:t>；</w:t>
      </w:r>
    </w:p>
    <w:p w:rsidR="00B67D8A" w:rsidRDefault="00B67D8A">
      <w:pPr>
        <w:adjustRightInd w:val="0"/>
        <w:snapToGrid w:val="0"/>
        <w:spacing w:line="360" w:lineRule="auto"/>
        <w:ind w:firstLineChars="200" w:firstLine="480"/>
        <w:rPr>
          <w:sz w:val="24"/>
        </w:rPr>
      </w:pPr>
      <w:r>
        <w:rPr>
          <w:rFonts w:hAnsi="宋体"/>
          <w:sz w:val="24"/>
        </w:rPr>
        <w:t>（</w:t>
      </w:r>
      <w:r>
        <w:rPr>
          <w:sz w:val="24"/>
        </w:rPr>
        <w:t>11</w:t>
      </w:r>
      <w:r>
        <w:rPr>
          <w:rFonts w:hAnsi="宋体"/>
          <w:sz w:val="24"/>
        </w:rPr>
        <w:t>）涉及基金管理人、基金财产、基金托管业务的诉讼；</w:t>
      </w:r>
    </w:p>
    <w:p w:rsidR="00B67D8A" w:rsidRDefault="00B67D8A">
      <w:pPr>
        <w:adjustRightInd w:val="0"/>
        <w:snapToGrid w:val="0"/>
        <w:spacing w:line="360" w:lineRule="auto"/>
        <w:ind w:firstLineChars="200" w:firstLine="480"/>
        <w:rPr>
          <w:sz w:val="24"/>
        </w:rPr>
      </w:pPr>
      <w:r>
        <w:rPr>
          <w:rFonts w:hAnsi="宋体"/>
          <w:sz w:val="24"/>
        </w:rPr>
        <w:t>（</w:t>
      </w:r>
      <w:r>
        <w:rPr>
          <w:sz w:val="24"/>
        </w:rPr>
        <w:t>12</w:t>
      </w:r>
      <w:r>
        <w:rPr>
          <w:rFonts w:hAnsi="宋体"/>
          <w:sz w:val="24"/>
        </w:rPr>
        <w:t>）基金管理人、基金托管人受到监管部门的调查；</w:t>
      </w:r>
    </w:p>
    <w:p w:rsidR="00B67D8A" w:rsidRDefault="00B67D8A">
      <w:pPr>
        <w:adjustRightInd w:val="0"/>
        <w:snapToGrid w:val="0"/>
        <w:spacing w:line="360" w:lineRule="auto"/>
        <w:ind w:firstLineChars="200" w:firstLine="480"/>
        <w:rPr>
          <w:sz w:val="24"/>
        </w:rPr>
      </w:pPr>
      <w:r>
        <w:rPr>
          <w:rFonts w:hAnsi="宋体"/>
          <w:sz w:val="24"/>
        </w:rPr>
        <w:t>（</w:t>
      </w:r>
      <w:r>
        <w:rPr>
          <w:sz w:val="24"/>
        </w:rPr>
        <w:t>13</w:t>
      </w:r>
      <w:r>
        <w:rPr>
          <w:rFonts w:hAnsi="宋体"/>
          <w:sz w:val="24"/>
        </w:rPr>
        <w:t>）基金管理人及其董事、总经理及其他高级管理人员、基金经理受到严重行政处罚，基金托管人及其基金托管部门负责人受到严重行政处罚；</w:t>
      </w:r>
    </w:p>
    <w:p w:rsidR="00B67D8A" w:rsidRDefault="00B67D8A">
      <w:pPr>
        <w:adjustRightInd w:val="0"/>
        <w:snapToGrid w:val="0"/>
        <w:spacing w:line="360" w:lineRule="auto"/>
        <w:ind w:firstLineChars="200" w:firstLine="480"/>
        <w:rPr>
          <w:sz w:val="24"/>
        </w:rPr>
      </w:pPr>
      <w:r>
        <w:rPr>
          <w:rFonts w:hAnsi="宋体"/>
          <w:sz w:val="24"/>
        </w:rPr>
        <w:t>（</w:t>
      </w:r>
      <w:r>
        <w:rPr>
          <w:sz w:val="24"/>
        </w:rPr>
        <w:t>14</w:t>
      </w:r>
      <w:r>
        <w:rPr>
          <w:rFonts w:hAnsi="宋体"/>
          <w:sz w:val="24"/>
        </w:rPr>
        <w:t>）重大关联交易事项；</w:t>
      </w:r>
    </w:p>
    <w:p w:rsidR="00B67D8A" w:rsidRDefault="00B67D8A">
      <w:pPr>
        <w:adjustRightInd w:val="0"/>
        <w:snapToGrid w:val="0"/>
        <w:spacing w:line="360" w:lineRule="auto"/>
        <w:ind w:firstLineChars="200" w:firstLine="480"/>
        <w:rPr>
          <w:sz w:val="24"/>
        </w:rPr>
      </w:pPr>
      <w:r>
        <w:rPr>
          <w:rFonts w:hAnsi="宋体"/>
          <w:sz w:val="24"/>
        </w:rPr>
        <w:t>（</w:t>
      </w:r>
      <w:r>
        <w:rPr>
          <w:sz w:val="24"/>
        </w:rPr>
        <w:t>15</w:t>
      </w:r>
      <w:r>
        <w:rPr>
          <w:rFonts w:hAnsi="宋体"/>
          <w:sz w:val="24"/>
        </w:rPr>
        <w:t>）基金收益分配事项；</w:t>
      </w:r>
    </w:p>
    <w:p w:rsidR="00B67D8A" w:rsidRDefault="00B67D8A">
      <w:pPr>
        <w:adjustRightInd w:val="0"/>
        <w:snapToGrid w:val="0"/>
        <w:spacing w:line="360" w:lineRule="auto"/>
        <w:ind w:firstLineChars="200" w:firstLine="480"/>
        <w:rPr>
          <w:sz w:val="24"/>
        </w:rPr>
      </w:pPr>
      <w:r>
        <w:rPr>
          <w:rFonts w:hAnsi="宋体"/>
          <w:sz w:val="24"/>
        </w:rPr>
        <w:t>（</w:t>
      </w:r>
      <w:r>
        <w:rPr>
          <w:sz w:val="24"/>
        </w:rPr>
        <w:t>16</w:t>
      </w:r>
      <w:r>
        <w:rPr>
          <w:rFonts w:hAnsi="宋体"/>
          <w:sz w:val="24"/>
        </w:rPr>
        <w:t>）管理费、托管费等费用计提标准、计提方式和费率发生变更；</w:t>
      </w:r>
    </w:p>
    <w:p w:rsidR="00B67D8A" w:rsidRDefault="00B67D8A">
      <w:pPr>
        <w:adjustRightInd w:val="0"/>
        <w:snapToGrid w:val="0"/>
        <w:spacing w:line="360" w:lineRule="auto"/>
        <w:ind w:firstLineChars="200" w:firstLine="480"/>
        <w:rPr>
          <w:sz w:val="24"/>
        </w:rPr>
      </w:pPr>
      <w:r>
        <w:rPr>
          <w:rFonts w:hAnsi="宋体"/>
          <w:sz w:val="24"/>
        </w:rPr>
        <w:t>（</w:t>
      </w:r>
      <w:r>
        <w:rPr>
          <w:sz w:val="24"/>
        </w:rPr>
        <w:t>17</w:t>
      </w:r>
      <w:r>
        <w:rPr>
          <w:rFonts w:hAnsi="宋体"/>
          <w:sz w:val="24"/>
        </w:rPr>
        <w:t>）基金份额净值计价错误</w:t>
      </w:r>
      <w:proofErr w:type="gramStart"/>
      <w:r>
        <w:rPr>
          <w:rFonts w:hAnsi="宋体"/>
          <w:sz w:val="24"/>
        </w:rPr>
        <w:t>达基金</w:t>
      </w:r>
      <w:proofErr w:type="gramEnd"/>
      <w:r>
        <w:rPr>
          <w:rFonts w:hAnsi="宋体"/>
          <w:sz w:val="24"/>
        </w:rPr>
        <w:t>份额净值</w:t>
      </w:r>
      <w:r>
        <w:rPr>
          <w:rFonts w:hAnsi="宋体"/>
          <w:bCs/>
          <w:sz w:val="24"/>
        </w:rPr>
        <w:t>百分之零点五</w:t>
      </w:r>
      <w:r>
        <w:rPr>
          <w:rFonts w:hAnsi="宋体"/>
          <w:sz w:val="24"/>
        </w:rPr>
        <w:t>；</w:t>
      </w:r>
    </w:p>
    <w:p w:rsidR="00B67D8A" w:rsidRDefault="00B67D8A">
      <w:pPr>
        <w:adjustRightInd w:val="0"/>
        <w:snapToGrid w:val="0"/>
        <w:spacing w:line="360" w:lineRule="auto"/>
        <w:ind w:firstLineChars="200" w:firstLine="480"/>
        <w:rPr>
          <w:sz w:val="24"/>
        </w:rPr>
      </w:pPr>
      <w:r>
        <w:rPr>
          <w:rFonts w:hAnsi="宋体"/>
          <w:sz w:val="24"/>
        </w:rPr>
        <w:t>（</w:t>
      </w:r>
      <w:r>
        <w:rPr>
          <w:sz w:val="24"/>
        </w:rPr>
        <w:t>18</w:t>
      </w:r>
      <w:r>
        <w:rPr>
          <w:rFonts w:hAnsi="宋体"/>
          <w:sz w:val="24"/>
        </w:rPr>
        <w:t>）基金改聘会计师事务所；</w:t>
      </w:r>
    </w:p>
    <w:p w:rsidR="00B67D8A" w:rsidRDefault="00B67D8A">
      <w:pPr>
        <w:adjustRightInd w:val="0"/>
        <w:snapToGrid w:val="0"/>
        <w:spacing w:line="360" w:lineRule="auto"/>
        <w:ind w:firstLineChars="200" w:firstLine="480"/>
        <w:rPr>
          <w:sz w:val="24"/>
        </w:rPr>
      </w:pPr>
      <w:r>
        <w:rPr>
          <w:rFonts w:hAnsi="宋体"/>
          <w:sz w:val="24"/>
        </w:rPr>
        <w:t>（</w:t>
      </w:r>
      <w:r>
        <w:rPr>
          <w:sz w:val="24"/>
        </w:rPr>
        <w:t>19</w:t>
      </w:r>
      <w:r>
        <w:rPr>
          <w:rFonts w:hAnsi="宋体"/>
          <w:sz w:val="24"/>
        </w:rPr>
        <w:t>）</w:t>
      </w:r>
      <w:r>
        <w:rPr>
          <w:rFonts w:hAnsi="宋体"/>
          <w:bCs/>
          <w:sz w:val="24"/>
        </w:rPr>
        <w:t>变更基金销售机构</w:t>
      </w:r>
      <w:r>
        <w:rPr>
          <w:rFonts w:hAnsi="宋体"/>
          <w:sz w:val="24"/>
        </w:rPr>
        <w:t>；</w:t>
      </w:r>
    </w:p>
    <w:p w:rsidR="00B67D8A" w:rsidRDefault="00B67D8A">
      <w:pPr>
        <w:adjustRightInd w:val="0"/>
        <w:snapToGrid w:val="0"/>
        <w:spacing w:line="360" w:lineRule="auto"/>
        <w:ind w:firstLineChars="200" w:firstLine="480"/>
        <w:rPr>
          <w:sz w:val="24"/>
        </w:rPr>
      </w:pPr>
      <w:r>
        <w:rPr>
          <w:rFonts w:hAnsi="宋体"/>
          <w:sz w:val="24"/>
        </w:rPr>
        <w:t>（</w:t>
      </w:r>
      <w:r>
        <w:rPr>
          <w:sz w:val="24"/>
        </w:rPr>
        <w:t>20</w:t>
      </w:r>
      <w:r>
        <w:rPr>
          <w:rFonts w:hAnsi="宋体"/>
          <w:sz w:val="24"/>
        </w:rPr>
        <w:t>）更换基金登记机构；</w:t>
      </w:r>
    </w:p>
    <w:p w:rsidR="00B67D8A" w:rsidRDefault="00B67D8A">
      <w:pPr>
        <w:adjustRightInd w:val="0"/>
        <w:snapToGrid w:val="0"/>
        <w:spacing w:line="360" w:lineRule="auto"/>
        <w:ind w:firstLineChars="200" w:firstLine="480"/>
        <w:rPr>
          <w:sz w:val="24"/>
        </w:rPr>
      </w:pPr>
      <w:r>
        <w:rPr>
          <w:rFonts w:hAnsi="宋体"/>
          <w:sz w:val="24"/>
        </w:rPr>
        <w:t>（</w:t>
      </w:r>
      <w:r>
        <w:rPr>
          <w:sz w:val="24"/>
        </w:rPr>
        <w:t>21</w:t>
      </w:r>
      <w:r>
        <w:rPr>
          <w:rFonts w:hAnsi="宋体"/>
          <w:sz w:val="24"/>
        </w:rPr>
        <w:t>）本基金开始办理申购、赎回；</w:t>
      </w:r>
    </w:p>
    <w:p w:rsidR="00B67D8A" w:rsidRDefault="00B67D8A">
      <w:pPr>
        <w:adjustRightInd w:val="0"/>
        <w:snapToGrid w:val="0"/>
        <w:spacing w:line="360" w:lineRule="auto"/>
        <w:ind w:firstLineChars="200" w:firstLine="480"/>
        <w:rPr>
          <w:sz w:val="24"/>
        </w:rPr>
      </w:pPr>
      <w:r>
        <w:rPr>
          <w:rFonts w:hAnsi="宋体"/>
          <w:sz w:val="24"/>
        </w:rPr>
        <w:t>（</w:t>
      </w:r>
      <w:r>
        <w:rPr>
          <w:sz w:val="24"/>
        </w:rPr>
        <w:t>22</w:t>
      </w:r>
      <w:r>
        <w:rPr>
          <w:rFonts w:hAnsi="宋体"/>
          <w:sz w:val="24"/>
        </w:rPr>
        <w:t>）本基金申购、赎回费率及其收费方式发生变更；</w:t>
      </w:r>
    </w:p>
    <w:p w:rsidR="00B67D8A" w:rsidRDefault="00B67D8A">
      <w:pPr>
        <w:adjustRightInd w:val="0"/>
        <w:snapToGrid w:val="0"/>
        <w:spacing w:line="360" w:lineRule="auto"/>
        <w:ind w:firstLineChars="200" w:firstLine="480"/>
        <w:rPr>
          <w:sz w:val="24"/>
        </w:rPr>
      </w:pPr>
      <w:r>
        <w:rPr>
          <w:rFonts w:hAnsi="宋体"/>
          <w:sz w:val="24"/>
        </w:rPr>
        <w:t>（</w:t>
      </w:r>
      <w:r>
        <w:rPr>
          <w:sz w:val="24"/>
        </w:rPr>
        <w:t>23</w:t>
      </w:r>
      <w:r>
        <w:rPr>
          <w:rFonts w:hAnsi="宋体"/>
          <w:sz w:val="24"/>
        </w:rPr>
        <w:t>）本基金发生巨额赎回并延期支付；</w:t>
      </w:r>
    </w:p>
    <w:p w:rsidR="00B67D8A" w:rsidRDefault="00B67D8A">
      <w:pPr>
        <w:adjustRightInd w:val="0"/>
        <w:snapToGrid w:val="0"/>
        <w:spacing w:line="360" w:lineRule="auto"/>
        <w:ind w:firstLineChars="200" w:firstLine="480"/>
        <w:rPr>
          <w:sz w:val="24"/>
        </w:rPr>
      </w:pPr>
      <w:r>
        <w:rPr>
          <w:rFonts w:hAnsi="宋体"/>
          <w:bCs/>
          <w:sz w:val="24"/>
        </w:rPr>
        <w:t>（</w:t>
      </w:r>
      <w:r>
        <w:rPr>
          <w:bCs/>
          <w:sz w:val="24"/>
        </w:rPr>
        <w:t>24</w:t>
      </w:r>
      <w:r>
        <w:rPr>
          <w:rFonts w:hAnsi="宋体"/>
          <w:bCs/>
          <w:sz w:val="24"/>
        </w:rPr>
        <w:t>）本基金连续发生巨额赎回并暂停接受赎回申请；</w:t>
      </w:r>
    </w:p>
    <w:p w:rsidR="00B67D8A" w:rsidRDefault="00B67D8A">
      <w:pPr>
        <w:adjustRightInd w:val="0"/>
        <w:snapToGrid w:val="0"/>
        <w:spacing w:line="360" w:lineRule="auto"/>
        <w:ind w:firstLineChars="200" w:firstLine="480"/>
        <w:rPr>
          <w:sz w:val="24"/>
        </w:rPr>
      </w:pPr>
      <w:r>
        <w:rPr>
          <w:rFonts w:hAnsi="宋体"/>
          <w:sz w:val="24"/>
        </w:rPr>
        <w:t>（</w:t>
      </w:r>
      <w:r>
        <w:rPr>
          <w:sz w:val="24"/>
        </w:rPr>
        <w:t>25</w:t>
      </w:r>
      <w:r>
        <w:rPr>
          <w:rFonts w:hAnsi="宋体"/>
          <w:sz w:val="24"/>
        </w:rPr>
        <w:t>）本基金暂停接受申购、赎回申请</w:t>
      </w:r>
      <w:r>
        <w:rPr>
          <w:rFonts w:hAnsi="宋体"/>
          <w:bCs/>
          <w:sz w:val="24"/>
        </w:rPr>
        <w:t>后重新接受申购、赎回</w:t>
      </w:r>
      <w:r>
        <w:rPr>
          <w:rFonts w:hAnsi="宋体"/>
          <w:sz w:val="24"/>
        </w:rPr>
        <w:t>；</w:t>
      </w:r>
    </w:p>
    <w:p w:rsidR="00B67D8A" w:rsidRDefault="00B67D8A">
      <w:pPr>
        <w:adjustRightInd w:val="0"/>
        <w:snapToGrid w:val="0"/>
        <w:spacing w:line="360" w:lineRule="auto"/>
        <w:ind w:firstLineChars="200" w:firstLine="480"/>
        <w:rPr>
          <w:sz w:val="24"/>
        </w:rPr>
      </w:pPr>
      <w:r>
        <w:rPr>
          <w:rFonts w:hAnsi="宋体"/>
          <w:sz w:val="24"/>
        </w:rPr>
        <w:t>（</w:t>
      </w:r>
      <w:r>
        <w:rPr>
          <w:sz w:val="24"/>
        </w:rPr>
        <w:t>26</w:t>
      </w:r>
      <w:r>
        <w:rPr>
          <w:rFonts w:hAnsi="宋体"/>
          <w:sz w:val="24"/>
        </w:rPr>
        <w:t>）中国证监会规定的其他事项。</w:t>
      </w:r>
    </w:p>
    <w:p w:rsidR="00B67D8A" w:rsidRDefault="00B67D8A">
      <w:pPr>
        <w:adjustRightInd w:val="0"/>
        <w:snapToGrid w:val="0"/>
        <w:spacing w:line="360" w:lineRule="auto"/>
        <w:ind w:firstLineChars="200" w:firstLine="480"/>
        <w:rPr>
          <w:sz w:val="24"/>
        </w:rPr>
      </w:pPr>
      <w:r>
        <w:rPr>
          <w:sz w:val="24"/>
        </w:rPr>
        <w:t>8</w:t>
      </w:r>
      <w:r>
        <w:rPr>
          <w:rFonts w:hAnsi="宋体"/>
          <w:sz w:val="24"/>
        </w:rPr>
        <w:t>、澄清公告</w:t>
      </w:r>
    </w:p>
    <w:p w:rsidR="00B67D8A" w:rsidRDefault="00B67D8A">
      <w:pPr>
        <w:adjustRightInd w:val="0"/>
        <w:snapToGrid w:val="0"/>
        <w:spacing w:line="360" w:lineRule="auto"/>
        <w:ind w:firstLineChars="200" w:firstLine="480"/>
        <w:rPr>
          <w:sz w:val="24"/>
        </w:rPr>
      </w:pPr>
      <w:r>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67D8A" w:rsidRDefault="00B67D8A">
      <w:pPr>
        <w:adjustRightInd w:val="0"/>
        <w:snapToGrid w:val="0"/>
        <w:spacing w:line="360" w:lineRule="auto"/>
        <w:ind w:firstLineChars="200" w:firstLine="480"/>
        <w:rPr>
          <w:sz w:val="24"/>
        </w:rPr>
      </w:pPr>
      <w:r>
        <w:rPr>
          <w:sz w:val="24"/>
        </w:rPr>
        <w:t>9</w:t>
      </w:r>
      <w:r>
        <w:rPr>
          <w:rFonts w:hAnsi="宋体"/>
          <w:sz w:val="24"/>
        </w:rPr>
        <w:t>、基金份额持有人大会决议</w:t>
      </w:r>
    </w:p>
    <w:p w:rsidR="00B67D8A" w:rsidRDefault="00B67D8A">
      <w:pPr>
        <w:adjustRightInd w:val="0"/>
        <w:snapToGrid w:val="0"/>
        <w:spacing w:line="360" w:lineRule="auto"/>
        <w:ind w:firstLineChars="200" w:firstLine="480"/>
        <w:rPr>
          <w:sz w:val="24"/>
        </w:rPr>
      </w:pPr>
      <w:r>
        <w:rPr>
          <w:rFonts w:hAnsi="宋体"/>
          <w:sz w:val="24"/>
        </w:rPr>
        <w:t>基金份额持有人大会决定的事项，应当依法报中国证监会核准或者备案，并予以公告。</w:t>
      </w:r>
    </w:p>
    <w:p w:rsidR="00B67D8A" w:rsidRDefault="00B67D8A">
      <w:pPr>
        <w:adjustRightInd w:val="0"/>
        <w:snapToGrid w:val="0"/>
        <w:spacing w:line="360" w:lineRule="auto"/>
        <w:ind w:firstLineChars="200" w:firstLine="480"/>
        <w:rPr>
          <w:sz w:val="24"/>
        </w:rPr>
      </w:pPr>
      <w:r>
        <w:rPr>
          <w:rFonts w:hAnsi="宋体"/>
          <w:sz w:val="24"/>
        </w:rPr>
        <w:t>基金份额持有人依法自行召集基金份额持有人大会，基金管理人、基金托管人</w:t>
      </w:r>
      <w:r>
        <w:rPr>
          <w:rFonts w:hAnsi="宋体"/>
          <w:sz w:val="24"/>
        </w:rPr>
        <w:lastRenderedPageBreak/>
        <w:t>对基金份额持有人大会决定的事项不依法履行信息披露义务的，召集人应当履行相关信息披露义务。</w:t>
      </w:r>
    </w:p>
    <w:p w:rsidR="00B67D8A" w:rsidRDefault="00B67D8A">
      <w:pPr>
        <w:adjustRightInd w:val="0"/>
        <w:snapToGrid w:val="0"/>
        <w:spacing w:line="360" w:lineRule="auto"/>
        <w:ind w:firstLineChars="200" w:firstLine="480"/>
        <w:rPr>
          <w:sz w:val="24"/>
        </w:rPr>
      </w:pPr>
      <w:r>
        <w:rPr>
          <w:sz w:val="24"/>
        </w:rPr>
        <w:t>10</w:t>
      </w:r>
      <w:r>
        <w:rPr>
          <w:rFonts w:hAnsi="宋体"/>
          <w:sz w:val="24"/>
        </w:rPr>
        <w:t>、中国证监会规定的其他信息</w:t>
      </w:r>
    </w:p>
    <w:p w:rsidR="00B67D8A" w:rsidRDefault="00B67D8A">
      <w:pPr>
        <w:adjustRightInd w:val="0"/>
        <w:snapToGrid w:val="0"/>
        <w:spacing w:line="360" w:lineRule="auto"/>
        <w:ind w:firstLineChars="200" w:firstLine="482"/>
        <w:rPr>
          <w:b/>
          <w:bCs/>
          <w:sz w:val="24"/>
        </w:rPr>
      </w:pPr>
      <w:r>
        <w:rPr>
          <w:rFonts w:hAnsi="宋体"/>
          <w:b/>
          <w:bCs/>
          <w:sz w:val="24"/>
        </w:rPr>
        <w:t>（六）信息披露事务管理</w:t>
      </w:r>
    </w:p>
    <w:p w:rsidR="00B67D8A" w:rsidRDefault="00B67D8A">
      <w:pPr>
        <w:adjustRightInd w:val="0"/>
        <w:snapToGrid w:val="0"/>
        <w:spacing w:line="360" w:lineRule="auto"/>
        <w:ind w:firstLineChars="200" w:firstLine="480"/>
        <w:rPr>
          <w:bCs/>
          <w:sz w:val="24"/>
        </w:rPr>
      </w:pPr>
      <w:r>
        <w:rPr>
          <w:rFonts w:hAnsi="宋体"/>
          <w:bCs/>
          <w:sz w:val="24"/>
        </w:rPr>
        <w:t>基金管理人、基金托管人应当建立健全信息披露管理制度，指定专人负责管理信息披露事务。</w:t>
      </w:r>
    </w:p>
    <w:p w:rsidR="00B67D8A" w:rsidRDefault="00B67D8A">
      <w:pPr>
        <w:adjustRightInd w:val="0"/>
        <w:snapToGrid w:val="0"/>
        <w:spacing w:line="360" w:lineRule="auto"/>
        <w:ind w:firstLineChars="200" w:firstLine="480"/>
        <w:rPr>
          <w:bCs/>
          <w:sz w:val="24"/>
        </w:rPr>
      </w:pPr>
      <w:r>
        <w:rPr>
          <w:rFonts w:hAnsi="宋体"/>
          <w:bCs/>
          <w:sz w:val="24"/>
        </w:rPr>
        <w:t>基金信息披露义务人公开披露基金信息，应当符合中国证监会相关基金信息披露内容与格式准则的规定。</w:t>
      </w:r>
    </w:p>
    <w:p w:rsidR="00B67D8A" w:rsidRDefault="00B67D8A">
      <w:pPr>
        <w:adjustRightInd w:val="0"/>
        <w:snapToGrid w:val="0"/>
        <w:spacing w:line="360" w:lineRule="auto"/>
        <w:ind w:firstLineChars="200" w:firstLine="480"/>
        <w:rPr>
          <w:bCs/>
          <w:sz w:val="24"/>
        </w:rPr>
      </w:pPr>
      <w:r>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67D8A" w:rsidRDefault="00B67D8A">
      <w:pPr>
        <w:adjustRightInd w:val="0"/>
        <w:snapToGrid w:val="0"/>
        <w:spacing w:line="360" w:lineRule="auto"/>
        <w:ind w:firstLineChars="200" w:firstLine="480"/>
        <w:rPr>
          <w:bCs/>
          <w:sz w:val="24"/>
        </w:rPr>
      </w:pPr>
      <w:r>
        <w:rPr>
          <w:rFonts w:hAnsi="宋体"/>
          <w:bCs/>
          <w:sz w:val="24"/>
        </w:rPr>
        <w:t>基金管理人、基金托管人应当在指定报刊中选择披露信息的报刊。</w:t>
      </w:r>
    </w:p>
    <w:p w:rsidR="00B67D8A" w:rsidRDefault="00B67D8A">
      <w:pPr>
        <w:adjustRightInd w:val="0"/>
        <w:snapToGrid w:val="0"/>
        <w:spacing w:line="360" w:lineRule="auto"/>
        <w:ind w:firstLineChars="200" w:firstLine="480"/>
        <w:rPr>
          <w:b/>
          <w:sz w:val="24"/>
        </w:rPr>
      </w:pPr>
      <w:r>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B67D8A" w:rsidRDefault="00B67D8A">
      <w:pPr>
        <w:adjustRightInd w:val="0"/>
        <w:snapToGrid w:val="0"/>
        <w:spacing w:line="360" w:lineRule="auto"/>
        <w:ind w:firstLineChars="200" w:firstLine="482"/>
        <w:rPr>
          <w:b/>
          <w:sz w:val="24"/>
        </w:rPr>
      </w:pPr>
      <w:r>
        <w:rPr>
          <w:rFonts w:hAnsi="宋体"/>
          <w:b/>
          <w:sz w:val="24"/>
        </w:rPr>
        <w:t>（七）信息披露文件的存放与查阅</w:t>
      </w:r>
    </w:p>
    <w:p w:rsidR="00B67D8A" w:rsidRDefault="00B67D8A">
      <w:pPr>
        <w:adjustRightInd w:val="0"/>
        <w:snapToGrid w:val="0"/>
        <w:spacing w:line="360" w:lineRule="auto"/>
        <w:ind w:firstLineChars="200" w:firstLine="480"/>
        <w:rPr>
          <w:bCs/>
          <w:sz w:val="24"/>
        </w:rPr>
      </w:pPr>
      <w:r>
        <w:rPr>
          <w:rFonts w:hAnsi="宋体"/>
          <w:bCs/>
          <w:sz w:val="24"/>
        </w:rPr>
        <w:t>招募说明书公布后，应当分别置备于基金管理人、基金托管人和基金销售机构的住所，供公众查阅、复制。</w:t>
      </w:r>
    </w:p>
    <w:p w:rsidR="00B67D8A" w:rsidRDefault="00B67D8A">
      <w:pPr>
        <w:adjustRightInd w:val="0"/>
        <w:snapToGrid w:val="0"/>
        <w:spacing w:line="360" w:lineRule="auto"/>
        <w:ind w:firstLineChars="200" w:firstLine="480"/>
        <w:rPr>
          <w:sz w:val="24"/>
        </w:rPr>
      </w:pPr>
      <w:r>
        <w:rPr>
          <w:rFonts w:hAnsi="宋体"/>
          <w:bCs/>
          <w:sz w:val="24"/>
        </w:rPr>
        <w:t>基金定期报告公布后，应当分别置备于基金管理人和基金托管人的住所，以供公众查阅、复制。</w:t>
      </w:r>
    </w:p>
    <w:p w:rsidR="00B67D8A" w:rsidRDefault="00B67D8A">
      <w:pPr>
        <w:widowControl/>
        <w:adjustRightInd w:val="0"/>
        <w:snapToGrid w:val="0"/>
        <w:spacing w:line="360" w:lineRule="auto"/>
        <w:ind w:firstLineChars="200" w:firstLine="602"/>
        <w:outlineLvl w:val="0"/>
        <w:rPr>
          <w:b/>
          <w:kern w:val="0"/>
          <w:sz w:val="30"/>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90" w:name="_Toc382321330"/>
      <w:r>
        <w:rPr>
          <w:rFonts w:ascii="宋体" w:hAnsi="宋体" w:hint="eastAsia"/>
          <w:b/>
          <w:kern w:val="0"/>
          <w:sz w:val="30"/>
        </w:rPr>
        <w:t>十九、风险揭示</w:t>
      </w:r>
      <w:bookmarkEnd w:id="90"/>
    </w:p>
    <w:p w:rsidR="00B67D8A" w:rsidRDefault="00B67D8A">
      <w:pPr>
        <w:adjustRightInd w:val="0"/>
        <w:snapToGrid w:val="0"/>
        <w:spacing w:line="360" w:lineRule="auto"/>
        <w:ind w:firstLineChars="200" w:firstLine="480"/>
        <w:rPr>
          <w:sz w:val="24"/>
          <w:szCs w:val="24"/>
        </w:rPr>
      </w:pPr>
      <w:r>
        <w:rPr>
          <w:rFonts w:hAnsi="宋体"/>
          <w:sz w:val="24"/>
          <w:szCs w:val="24"/>
        </w:rPr>
        <w:t>证券投资基金（以下简称</w:t>
      </w:r>
      <w:r>
        <w:rPr>
          <w:sz w:val="24"/>
          <w:szCs w:val="24"/>
        </w:rPr>
        <w:t>“</w:t>
      </w:r>
      <w:r>
        <w:rPr>
          <w:rFonts w:hAnsi="宋体"/>
          <w:sz w:val="24"/>
          <w:szCs w:val="24"/>
        </w:rPr>
        <w:t>基金</w:t>
      </w:r>
      <w:r>
        <w:rPr>
          <w:sz w:val="24"/>
          <w:szCs w:val="24"/>
        </w:rPr>
        <w:t>”</w:t>
      </w:r>
      <w:r>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w:t>
      </w:r>
      <w:r>
        <w:rPr>
          <w:rFonts w:hAnsi="宋体"/>
          <w:sz w:val="24"/>
          <w:szCs w:val="24"/>
        </w:rPr>
        <w:lastRenderedPageBreak/>
        <w:t>产</w:t>
      </w:r>
      <w:bookmarkStart w:id="91" w:name="_Hlt91150550"/>
      <w:bookmarkStart w:id="92" w:name="_Hlt88901012"/>
      <w:bookmarkStart w:id="93" w:name="_Toc109537396"/>
      <w:bookmarkEnd w:id="91"/>
      <w:bookmarkEnd w:id="92"/>
      <w:r>
        <w:rPr>
          <w:rFonts w:hAnsi="宋体"/>
          <w:sz w:val="24"/>
          <w:szCs w:val="24"/>
        </w:rPr>
        <w:t>生的收益，也可能承担</w:t>
      </w:r>
      <w:bookmarkEnd w:id="93"/>
      <w:r>
        <w:rPr>
          <w:rFonts w:hAnsi="宋体"/>
          <w:sz w:val="24"/>
          <w:szCs w:val="24"/>
        </w:rPr>
        <w:t>基金投资所带来的损失。</w:t>
      </w:r>
    </w:p>
    <w:p w:rsidR="00B67D8A" w:rsidRDefault="00B67D8A">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w:t>
      </w:r>
      <w:proofErr w:type="gramStart"/>
      <w:r>
        <w:rPr>
          <w:rFonts w:hAnsi="宋体"/>
          <w:sz w:val="24"/>
          <w:szCs w:val="24"/>
        </w:rPr>
        <w:t>规</w:t>
      </w:r>
      <w:proofErr w:type="gramEnd"/>
      <w:r>
        <w:rPr>
          <w:rFonts w:hAnsi="宋体"/>
          <w:sz w:val="24"/>
          <w:szCs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w:t>
      </w:r>
      <w:r>
        <w:rPr>
          <w:rFonts w:hAnsi="宋体" w:hint="eastAsia"/>
          <w:sz w:val="24"/>
          <w:szCs w:val="24"/>
        </w:rPr>
        <w:t>，定期支付时的自动赎回份额不纳入以上赎回份额计算</w:t>
      </w:r>
      <w:r>
        <w:rPr>
          <w:rFonts w:hAnsi="宋体"/>
          <w:sz w:val="24"/>
          <w:szCs w:val="24"/>
        </w:rPr>
        <w:t>）超过基金总份额的百分之十时，投资人将可能无法及时赎回持有的全部基金份额。</w:t>
      </w:r>
    </w:p>
    <w:p w:rsidR="00B67D8A" w:rsidRDefault="00B67D8A">
      <w:pPr>
        <w:adjustRightInd w:val="0"/>
        <w:snapToGrid w:val="0"/>
        <w:spacing w:line="360" w:lineRule="auto"/>
        <w:ind w:firstLineChars="200" w:firstLine="480"/>
        <w:rPr>
          <w:sz w:val="24"/>
          <w:szCs w:val="24"/>
        </w:rPr>
      </w:pPr>
      <w:r>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B67D8A" w:rsidRDefault="00B67D8A">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w:t>
      </w:r>
      <w:proofErr w:type="gramStart"/>
      <w:r>
        <w:rPr>
          <w:rFonts w:hAnsi="宋体"/>
          <w:sz w:val="24"/>
          <w:szCs w:val="24"/>
        </w:rPr>
        <w:t>等判断</w:t>
      </w:r>
      <w:proofErr w:type="gramEnd"/>
      <w:r>
        <w:rPr>
          <w:rFonts w:hAnsi="宋体"/>
          <w:sz w:val="24"/>
          <w:szCs w:val="24"/>
        </w:rPr>
        <w:t>基金是否和投资人的风险承受能力相适应。</w:t>
      </w:r>
    </w:p>
    <w:p w:rsidR="00B67D8A" w:rsidRDefault="00B67D8A">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67D8A" w:rsidRDefault="00B67D8A">
      <w:pPr>
        <w:widowControl/>
        <w:adjustRightInd w:val="0"/>
        <w:snapToGrid w:val="0"/>
        <w:spacing w:line="360" w:lineRule="auto"/>
        <w:ind w:firstLineChars="200" w:firstLine="480"/>
        <w:rPr>
          <w:sz w:val="24"/>
          <w:szCs w:val="24"/>
        </w:rPr>
      </w:pPr>
      <w:r>
        <w:rPr>
          <w:rFonts w:hAnsi="宋体"/>
          <w:sz w:val="24"/>
          <w:szCs w:val="24"/>
        </w:rPr>
        <w:t>因拆分、封转开、分红等行为导致基金份额净值变化，不会改变基金的风险收益特征，不会降低基金投资风险或提高基金投资收益。以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元初始面值开展基金募集或因拆分、封转开、分红等行为导致基金份额净值调整至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B67D8A" w:rsidRDefault="00B67D8A">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sz w:val="24"/>
          <w:szCs w:val="24"/>
        </w:rPr>
        <w:t>“</w:t>
      </w:r>
      <w:r>
        <w:rPr>
          <w:rFonts w:hAnsi="宋体"/>
          <w:sz w:val="24"/>
          <w:szCs w:val="24"/>
        </w:rPr>
        <w:t>买者自负</w:t>
      </w:r>
      <w:r>
        <w:rPr>
          <w:sz w:val="24"/>
          <w:szCs w:val="24"/>
        </w:rPr>
        <w:t>”</w:t>
      </w:r>
      <w:r>
        <w:rPr>
          <w:rFonts w:hAnsi="宋体"/>
          <w:sz w:val="24"/>
          <w:szCs w:val="24"/>
        </w:rPr>
        <w:t>原则，在做出投资决策后，基金运营状况与基金净值变化引致的投资风险，由投资人自行负担。</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lastRenderedPageBreak/>
        <w:t>证券市场价格因受到经济因素、政治因素、投资心理和交易制度等各种因素的影响而引起的波动，将对基金收益水平产生潜在风险，主要包括：</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hAnsi="宋体"/>
          <w:kern w:val="0"/>
          <w:sz w:val="24"/>
          <w:szCs w:val="24"/>
        </w:rPr>
        <w:lastRenderedPageBreak/>
        <w:t>资产变现能力差，可能会产生基金</w:t>
      </w:r>
      <w:proofErr w:type="gramStart"/>
      <w:r>
        <w:rPr>
          <w:rFonts w:hAnsi="宋体"/>
          <w:kern w:val="0"/>
          <w:sz w:val="24"/>
          <w:szCs w:val="24"/>
        </w:rPr>
        <w:t>仓位</w:t>
      </w:r>
      <w:proofErr w:type="gramEnd"/>
      <w:r>
        <w:rPr>
          <w:rFonts w:hAnsi="宋体"/>
          <w:kern w:val="0"/>
          <w:sz w:val="24"/>
          <w:szCs w:val="24"/>
        </w:rPr>
        <w:t>调整的困难，导致流动性风险，可能影响基金份额净值。</w:t>
      </w:r>
    </w:p>
    <w:p w:rsidR="00B67D8A" w:rsidRDefault="00B67D8A">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rsidR="00B67D8A" w:rsidRDefault="00B67D8A">
      <w:pPr>
        <w:widowControl/>
        <w:adjustRightInd w:val="0"/>
        <w:snapToGrid w:val="0"/>
        <w:spacing w:line="360" w:lineRule="auto"/>
        <w:ind w:firstLineChars="200" w:firstLine="482"/>
        <w:rPr>
          <w:b/>
          <w:kern w:val="0"/>
          <w:sz w:val="24"/>
          <w:szCs w:val="24"/>
        </w:rPr>
      </w:pPr>
      <w:r>
        <w:rPr>
          <w:rFonts w:hAnsi="宋体"/>
          <w:b/>
          <w:kern w:val="0"/>
          <w:sz w:val="24"/>
          <w:szCs w:val="24"/>
        </w:rPr>
        <w:t>（五）本基金投资策略所特有的风险</w:t>
      </w:r>
    </w:p>
    <w:p w:rsidR="00B67D8A" w:rsidRDefault="00B67D8A">
      <w:pPr>
        <w:widowControl/>
        <w:adjustRightInd w:val="0"/>
        <w:snapToGrid w:val="0"/>
        <w:spacing w:line="360" w:lineRule="auto"/>
        <w:ind w:firstLineChars="200" w:firstLine="480"/>
        <w:rPr>
          <w:kern w:val="0"/>
          <w:sz w:val="24"/>
          <w:highlight w:val="yellow"/>
        </w:rPr>
      </w:pPr>
      <w:r>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rsidR="00B67D8A" w:rsidRDefault="00B67D8A">
      <w:pPr>
        <w:widowControl/>
        <w:adjustRightInd w:val="0"/>
        <w:snapToGrid w:val="0"/>
        <w:spacing w:line="360" w:lineRule="auto"/>
        <w:ind w:firstLineChars="200" w:firstLine="480"/>
        <w:rPr>
          <w:kern w:val="0"/>
          <w:sz w:val="24"/>
        </w:rPr>
      </w:pPr>
      <w:r>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rsidR="00B67D8A" w:rsidRDefault="00B67D8A">
      <w:pPr>
        <w:widowControl/>
        <w:adjustRightInd w:val="0"/>
        <w:snapToGrid w:val="0"/>
        <w:spacing w:line="360" w:lineRule="auto"/>
        <w:ind w:firstLineChars="200" w:firstLine="482"/>
        <w:rPr>
          <w:b/>
          <w:kern w:val="0"/>
          <w:sz w:val="24"/>
        </w:rPr>
      </w:pPr>
      <w:r>
        <w:rPr>
          <w:rFonts w:hAnsi="宋体"/>
          <w:b/>
          <w:kern w:val="0"/>
          <w:sz w:val="24"/>
        </w:rPr>
        <w:t>（六）本基金定期支付相关的特定风险</w:t>
      </w:r>
    </w:p>
    <w:p w:rsidR="00B67D8A" w:rsidRDefault="00B67D8A">
      <w:pPr>
        <w:widowControl/>
        <w:adjustRightInd w:val="0"/>
        <w:snapToGrid w:val="0"/>
        <w:spacing w:line="360" w:lineRule="auto"/>
        <w:ind w:firstLineChars="200" w:firstLine="480"/>
        <w:rPr>
          <w:kern w:val="0"/>
          <w:sz w:val="24"/>
        </w:rPr>
      </w:pPr>
      <w:r>
        <w:rPr>
          <w:kern w:val="0"/>
          <w:sz w:val="24"/>
        </w:rPr>
        <w:t>1</w:t>
      </w:r>
      <w:r>
        <w:rPr>
          <w:rFonts w:hAnsi="宋体"/>
          <w:kern w:val="0"/>
          <w:sz w:val="24"/>
        </w:rPr>
        <w:t>、定期支付不等同于收益分配</w:t>
      </w:r>
    </w:p>
    <w:p w:rsidR="00B67D8A" w:rsidRDefault="00B67D8A">
      <w:pPr>
        <w:widowControl/>
        <w:adjustRightInd w:val="0"/>
        <w:snapToGrid w:val="0"/>
        <w:spacing w:line="360" w:lineRule="auto"/>
        <w:ind w:firstLineChars="200" w:firstLine="480"/>
        <w:rPr>
          <w:rFonts w:hAnsi="宋体"/>
          <w:kern w:val="0"/>
          <w:sz w:val="24"/>
        </w:rPr>
      </w:pPr>
      <w:r>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w:t>
      </w:r>
      <w:proofErr w:type="gramStart"/>
      <w:r>
        <w:rPr>
          <w:rFonts w:hAnsi="宋体" w:hint="eastAsia"/>
          <w:kern w:val="0"/>
          <w:sz w:val="24"/>
        </w:rPr>
        <w:t>的年化现金</w:t>
      </w:r>
      <w:proofErr w:type="gramEnd"/>
      <w:r>
        <w:rPr>
          <w:rFonts w:hAnsi="宋体" w:hint="eastAsia"/>
          <w:kern w:val="0"/>
          <w:sz w:val="24"/>
        </w:rPr>
        <w:t>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rsidR="00B67D8A" w:rsidRDefault="00B67D8A">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w:t>
      </w:r>
      <w:proofErr w:type="gramStart"/>
      <w:r>
        <w:rPr>
          <w:rFonts w:hAnsi="宋体" w:hint="eastAsia"/>
          <w:kern w:val="0"/>
          <w:sz w:val="24"/>
        </w:rPr>
        <w:t>视基金</w:t>
      </w:r>
      <w:proofErr w:type="gramEnd"/>
      <w:r>
        <w:rPr>
          <w:rFonts w:hAnsi="宋体" w:hint="eastAsia"/>
          <w:kern w:val="0"/>
          <w:sz w:val="24"/>
        </w:rPr>
        <w:t>实际运作情况对基金实施份额拆分，份额拆分不会对基金份额持有人的权益造成实质影响。</w:t>
      </w:r>
    </w:p>
    <w:p w:rsidR="00B67D8A" w:rsidRDefault="00B67D8A">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proofErr w:type="gramStart"/>
      <w:r>
        <w:rPr>
          <w:rFonts w:hAnsi="宋体" w:hint="eastAsia"/>
          <w:kern w:val="0"/>
          <w:sz w:val="24"/>
        </w:rPr>
        <w:t>年化现金</w:t>
      </w:r>
      <w:proofErr w:type="gramEnd"/>
      <w:r>
        <w:rPr>
          <w:rFonts w:hAnsi="宋体" w:hint="eastAsia"/>
          <w:kern w:val="0"/>
          <w:sz w:val="24"/>
        </w:rPr>
        <w:t>支付比率不代表基金实际投资收益率</w:t>
      </w:r>
    </w:p>
    <w:p w:rsidR="00B67D8A" w:rsidRDefault="00B67D8A">
      <w:pPr>
        <w:widowControl/>
        <w:adjustRightInd w:val="0"/>
        <w:snapToGrid w:val="0"/>
        <w:spacing w:line="360" w:lineRule="auto"/>
        <w:ind w:firstLineChars="200" w:firstLine="480"/>
        <w:rPr>
          <w:kern w:val="0"/>
          <w:sz w:val="24"/>
        </w:rPr>
      </w:pPr>
      <w:r>
        <w:rPr>
          <w:rFonts w:hAnsi="宋体" w:hint="eastAsia"/>
          <w:kern w:val="0"/>
          <w:sz w:val="24"/>
        </w:rPr>
        <w:t>本基金招募说明书约定</w:t>
      </w:r>
      <w:proofErr w:type="gramStart"/>
      <w:r>
        <w:rPr>
          <w:rFonts w:hAnsi="宋体" w:hint="eastAsia"/>
          <w:kern w:val="0"/>
          <w:sz w:val="24"/>
        </w:rPr>
        <w:t>的年化现金</w:t>
      </w:r>
      <w:proofErr w:type="gramEnd"/>
      <w:r>
        <w:rPr>
          <w:rFonts w:hAnsi="宋体" w:hint="eastAsia"/>
          <w:kern w:val="0"/>
          <w:sz w:val="24"/>
        </w:rPr>
        <w:t>支付比率用以计算定期支付金额，不代表基金实际投资收益率。按照约定</w:t>
      </w:r>
      <w:proofErr w:type="gramStart"/>
      <w:r>
        <w:rPr>
          <w:rFonts w:hAnsi="宋体" w:hint="eastAsia"/>
          <w:kern w:val="0"/>
          <w:sz w:val="24"/>
        </w:rPr>
        <w:t>的年化现金</w:t>
      </w:r>
      <w:proofErr w:type="gramEnd"/>
      <w:r>
        <w:rPr>
          <w:rFonts w:hAnsi="宋体" w:hint="eastAsia"/>
          <w:kern w:val="0"/>
          <w:sz w:val="24"/>
        </w:rPr>
        <w:t>支付比率计算的定期支付金额可能大于也可能小于当期基金的实际投资收益。</w:t>
      </w:r>
    </w:p>
    <w:p w:rsidR="00B67D8A" w:rsidRDefault="00B67D8A">
      <w:pPr>
        <w:widowControl/>
        <w:adjustRightInd w:val="0"/>
        <w:snapToGrid w:val="0"/>
        <w:spacing w:line="360" w:lineRule="auto"/>
        <w:ind w:firstLineChars="200" w:firstLine="480"/>
        <w:rPr>
          <w:kern w:val="0"/>
          <w:sz w:val="24"/>
        </w:rPr>
      </w:pPr>
      <w:r>
        <w:rPr>
          <w:rFonts w:hint="eastAsia"/>
          <w:kern w:val="0"/>
          <w:sz w:val="24"/>
        </w:rPr>
        <w:t>3</w:t>
      </w:r>
      <w:r>
        <w:rPr>
          <w:rFonts w:hAnsi="宋体"/>
          <w:kern w:val="0"/>
          <w:sz w:val="24"/>
        </w:rPr>
        <w:t>、定期支付被确认失败的风险</w:t>
      </w:r>
    </w:p>
    <w:p w:rsidR="00B67D8A" w:rsidRDefault="00B67D8A">
      <w:pPr>
        <w:widowControl/>
        <w:adjustRightInd w:val="0"/>
        <w:snapToGrid w:val="0"/>
        <w:spacing w:line="360" w:lineRule="auto"/>
        <w:ind w:firstLineChars="200" w:firstLine="480"/>
        <w:rPr>
          <w:kern w:val="0"/>
          <w:sz w:val="24"/>
        </w:rPr>
      </w:pPr>
      <w:r>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rsidR="00B67D8A" w:rsidRDefault="00B67D8A">
      <w:pPr>
        <w:widowControl/>
        <w:adjustRightInd w:val="0"/>
        <w:snapToGrid w:val="0"/>
        <w:spacing w:line="360" w:lineRule="auto"/>
        <w:ind w:firstLineChars="200" w:firstLine="480"/>
        <w:rPr>
          <w:kern w:val="0"/>
          <w:sz w:val="24"/>
        </w:rPr>
      </w:pPr>
      <w:r>
        <w:rPr>
          <w:rFonts w:hint="eastAsia"/>
          <w:kern w:val="0"/>
          <w:sz w:val="24"/>
        </w:rPr>
        <w:t>4</w:t>
      </w:r>
      <w:r>
        <w:rPr>
          <w:rFonts w:hAnsi="宋体"/>
          <w:kern w:val="0"/>
          <w:sz w:val="24"/>
        </w:rPr>
        <w:t>、</w:t>
      </w:r>
      <w:proofErr w:type="gramStart"/>
      <w:r>
        <w:rPr>
          <w:rFonts w:hAnsi="宋体"/>
          <w:sz w:val="24"/>
          <w:szCs w:val="24"/>
        </w:rPr>
        <w:t>年化现金</w:t>
      </w:r>
      <w:proofErr w:type="gramEnd"/>
      <w:r>
        <w:rPr>
          <w:rFonts w:hAnsi="宋体"/>
          <w:sz w:val="24"/>
          <w:szCs w:val="24"/>
        </w:rPr>
        <w:t>支付比率发生</w:t>
      </w:r>
      <w:r>
        <w:rPr>
          <w:rFonts w:hAnsi="宋体"/>
          <w:kern w:val="0"/>
          <w:sz w:val="24"/>
        </w:rPr>
        <w:t>调整的风险</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基金管理人有权根据基金实际运作情况和市场环境的变化</w:t>
      </w:r>
      <w:proofErr w:type="gramStart"/>
      <w:r>
        <w:rPr>
          <w:rFonts w:hAnsi="宋体"/>
          <w:kern w:val="0"/>
          <w:sz w:val="24"/>
          <w:szCs w:val="24"/>
        </w:rPr>
        <w:t>调整年化现金</w:t>
      </w:r>
      <w:proofErr w:type="gramEnd"/>
      <w:r>
        <w:rPr>
          <w:rFonts w:hAnsi="宋体"/>
          <w:kern w:val="0"/>
          <w:sz w:val="24"/>
          <w:szCs w:val="24"/>
        </w:rPr>
        <w:t>支付比率。因此</w:t>
      </w:r>
      <w:proofErr w:type="gramStart"/>
      <w:r>
        <w:rPr>
          <w:rFonts w:hAnsi="宋体"/>
          <w:kern w:val="0"/>
          <w:sz w:val="24"/>
          <w:szCs w:val="24"/>
        </w:rPr>
        <w:t>未来年化现金</w:t>
      </w:r>
      <w:proofErr w:type="gramEnd"/>
      <w:r>
        <w:rPr>
          <w:rFonts w:hAnsi="宋体"/>
          <w:kern w:val="0"/>
          <w:sz w:val="24"/>
          <w:szCs w:val="24"/>
        </w:rPr>
        <w:t>支付比率可能会发生变化，可能高于也可能低于当前</w:t>
      </w:r>
      <w:proofErr w:type="gramStart"/>
      <w:r>
        <w:rPr>
          <w:rFonts w:hAnsi="宋体"/>
          <w:kern w:val="0"/>
          <w:sz w:val="24"/>
          <w:szCs w:val="24"/>
        </w:rPr>
        <w:t>的年化现金</w:t>
      </w:r>
      <w:proofErr w:type="gramEnd"/>
      <w:r>
        <w:rPr>
          <w:rFonts w:hAnsi="宋体"/>
          <w:kern w:val="0"/>
          <w:sz w:val="24"/>
          <w:szCs w:val="24"/>
        </w:rPr>
        <w:t>支付比率。</w:t>
      </w:r>
      <w:proofErr w:type="gramStart"/>
      <w:r>
        <w:rPr>
          <w:rFonts w:hAnsi="宋体"/>
          <w:kern w:val="0"/>
          <w:sz w:val="24"/>
          <w:szCs w:val="24"/>
        </w:rPr>
        <w:t>年化现金</w:t>
      </w:r>
      <w:proofErr w:type="gramEnd"/>
      <w:r>
        <w:rPr>
          <w:rFonts w:hAnsi="宋体"/>
          <w:kern w:val="0"/>
          <w:sz w:val="24"/>
          <w:szCs w:val="24"/>
        </w:rPr>
        <w:t>支付比率的变化</w:t>
      </w:r>
      <w:r>
        <w:rPr>
          <w:rFonts w:hAnsi="宋体" w:hint="eastAsia"/>
          <w:kern w:val="0"/>
          <w:sz w:val="24"/>
          <w:szCs w:val="24"/>
        </w:rPr>
        <w:t>会影响定期支付数额，并</w:t>
      </w:r>
      <w:r>
        <w:rPr>
          <w:rFonts w:hAnsi="宋体"/>
          <w:kern w:val="0"/>
          <w:sz w:val="24"/>
          <w:szCs w:val="24"/>
        </w:rPr>
        <w:t>将会对投资者的实际投资收益产生正面或负面的影响。</w:t>
      </w:r>
    </w:p>
    <w:p w:rsidR="00B67D8A" w:rsidRDefault="00B67D8A">
      <w:pPr>
        <w:widowControl/>
        <w:adjustRightInd w:val="0"/>
        <w:snapToGrid w:val="0"/>
        <w:spacing w:line="360" w:lineRule="auto"/>
        <w:ind w:firstLineChars="200" w:firstLine="482"/>
        <w:rPr>
          <w:b/>
          <w:kern w:val="0"/>
          <w:sz w:val="24"/>
          <w:szCs w:val="24"/>
        </w:rPr>
      </w:pPr>
      <w:r>
        <w:rPr>
          <w:rFonts w:hAnsi="宋体"/>
          <w:b/>
          <w:kern w:val="0"/>
          <w:sz w:val="24"/>
          <w:szCs w:val="24"/>
        </w:rPr>
        <w:t>（六）其他风险</w:t>
      </w:r>
      <w:r>
        <w:rPr>
          <w:b/>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kern w:val="0"/>
          <w:sz w:val="24"/>
          <w:szCs w:val="24"/>
        </w:rPr>
        <w:lastRenderedPageBreak/>
        <w:t>6</w:t>
      </w:r>
      <w:r>
        <w:rPr>
          <w:rFonts w:hAnsi="宋体"/>
          <w:kern w:val="0"/>
          <w:sz w:val="24"/>
          <w:szCs w:val="24"/>
        </w:rPr>
        <w:t>、战争、自然灾害等不可抗力可能导致基金财产的损失，影响基金收益水平，从而带来风险；</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4" w:name="OLE_LINK15"/>
    </w:p>
    <w:p w:rsidR="00B67D8A" w:rsidRDefault="00B67D8A">
      <w:pPr>
        <w:widowControl/>
        <w:adjustRightInd w:val="0"/>
        <w:snapToGrid w:val="0"/>
        <w:spacing w:line="360" w:lineRule="auto"/>
        <w:ind w:firstLine="200"/>
        <w:rPr>
          <w:kern w:val="0"/>
          <w:sz w:val="24"/>
        </w:rPr>
      </w:pPr>
    </w:p>
    <w:p w:rsidR="00B67D8A" w:rsidRDefault="00B67D8A" w:rsidP="006D1B02">
      <w:pPr>
        <w:widowControl/>
        <w:adjustRightInd w:val="0"/>
        <w:snapToGrid w:val="0"/>
        <w:spacing w:beforeLines="100" w:before="240" w:afterLines="50" w:after="120" w:line="360" w:lineRule="auto"/>
        <w:jc w:val="center"/>
        <w:outlineLvl w:val="0"/>
        <w:rPr>
          <w:b/>
          <w:kern w:val="0"/>
          <w:sz w:val="30"/>
        </w:rPr>
      </w:pPr>
      <w:bookmarkStart w:id="95" w:name="_Toc382321331"/>
      <w:r>
        <w:rPr>
          <w:rFonts w:hAnsi="宋体" w:hint="eastAsia"/>
          <w:b/>
          <w:kern w:val="0"/>
          <w:sz w:val="30"/>
        </w:rPr>
        <w:t>二十</w:t>
      </w:r>
      <w:r>
        <w:rPr>
          <w:rFonts w:hAnsi="宋体"/>
          <w:b/>
          <w:kern w:val="0"/>
          <w:sz w:val="30"/>
        </w:rPr>
        <w:t>、基金合同的变更、终止与基金财</w:t>
      </w:r>
      <w:bookmarkEnd w:id="94"/>
      <w:r>
        <w:rPr>
          <w:rFonts w:hAnsi="宋体"/>
          <w:b/>
          <w:kern w:val="0"/>
          <w:sz w:val="30"/>
        </w:rPr>
        <w:t>产的清算</w:t>
      </w:r>
      <w:bookmarkEnd w:id="95"/>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（一）基金合同的变更</w:t>
      </w:r>
    </w:p>
    <w:p w:rsidR="00B67D8A" w:rsidRDefault="00B67D8A">
      <w:pPr>
        <w:adjustRightInd w:val="0"/>
        <w:snapToGrid w:val="0"/>
        <w:spacing w:line="360" w:lineRule="auto"/>
        <w:ind w:firstLineChars="200" w:firstLine="480"/>
        <w:rPr>
          <w:bCs/>
          <w:sz w:val="24"/>
        </w:rPr>
      </w:pPr>
      <w:r>
        <w:rPr>
          <w:bCs/>
          <w:sz w:val="24"/>
        </w:rPr>
        <w:t>1</w:t>
      </w:r>
      <w:r>
        <w:rPr>
          <w:rFonts w:hAnsi="宋体"/>
          <w:bCs/>
          <w:sz w:val="24"/>
        </w:rPr>
        <w:t>、变更基金合同涉及法律法规规定或基金合同约定应经基金份额持有人大会决议通过的事项的，应召</w:t>
      </w:r>
      <w:proofErr w:type="gramStart"/>
      <w:r>
        <w:rPr>
          <w:rFonts w:hAnsi="宋体"/>
          <w:bCs/>
          <w:sz w:val="24"/>
        </w:rPr>
        <w:t>开基金</w:t>
      </w:r>
      <w:proofErr w:type="gramEnd"/>
      <w:r>
        <w:rPr>
          <w:rFonts w:hAnsi="宋体"/>
          <w:bCs/>
          <w:sz w:val="24"/>
        </w:rPr>
        <w:t>份额持有人大会决议通过。对于可不经基金份额持有人大会决议通过的事项，由</w:t>
      </w:r>
      <w:bookmarkStart w:id="96" w:name="_Toc109537397"/>
      <w:r>
        <w:rPr>
          <w:rFonts w:hAnsi="宋体"/>
          <w:bCs/>
          <w:sz w:val="24"/>
        </w:rPr>
        <w:t>基金管理人和基金托管人同意后变更并公告，并</w:t>
      </w:r>
      <w:bookmarkEnd w:id="96"/>
      <w:r>
        <w:rPr>
          <w:rFonts w:hAnsi="宋体"/>
          <w:bCs/>
          <w:sz w:val="24"/>
        </w:rPr>
        <w:t>报中国证监会备案。</w:t>
      </w:r>
    </w:p>
    <w:p w:rsidR="00B67D8A" w:rsidRDefault="00B67D8A">
      <w:pPr>
        <w:widowControl/>
        <w:adjustRightInd w:val="0"/>
        <w:snapToGrid w:val="0"/>
        <w:spacing w:line="360" w:lineRule="auto"/>
        <w:ind w:firstLineChars="200" w:firstLine="480"/>
        <w:outlineLvl w:val="1"/>
        <w:rPr>
          <w:b/>
          <w:kern w:val="0"/>
          <w:sz w:val="24"/>
        </w:rPr>
      </w:pPr>
      <w:r>
        <w:rPr>
          <w:bCs/>
          <w:sz w:val="24"/>
        </w:rPr>
        <w:t xml:space="preserve"> 2</w:t>
      </w:r>
      <w:r>
        <w:rPr>
          <w:rFonts w:hAnsi="宋体"/>
          <w:bCs/>
          <w:sz w:val="24"/>
        </w:rPr>
        <w:t>、关于基金合同变更的基金份额持有人大会决议经中国证监会核准或出具无异议意见后方可执行，</w:t>
      </w:r>
      <w:proofErr w:type="gramStart"/>
      <w:r>
        <w:rPr>
          <w:rFonts w:hAnsi="宋体"/>
          <w:bCs/>
          <w:sz w:val="24"/>
        </w:rPr>
        <w:t>自决议</w:t>
      </w:r>
      <w:proofErr w:type="gramEnd"/>
      <w:r>
        <w:rPr>
          <w:rFonts w:hAnsi="宋体"/>
          <w:bCs/>
          <w:sz w:val="24"/>
        </w:rPr>
        <w:t>生效后两日内依照《信息披露办法》的规定在指定媒体公告。</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（二）基金合同的终止事由</w:t>
      </w:r>
    </w:p>
    <w:p w:rsidR="00B67D8A" w:rsidRDefault="00B67D8A">
      <w:pPr>
        <w:adjustRightInd w:val="0"/>
        <w:snapToGrid w:val="0"/>
        <w:spacing w:line="360" w:lineRule="auto"/>
        <w:ind w:firstLineChars="200" w:firstLine="480"/>
        <w:rPr>
          <w:sz w:val="24"/>
        </w:rPr>
      </w:pPr>
      <w:r>
        <w:rPr>
          <w:rFonts w:hAnsi="宋体"/>
          <w:sz w:val="24"/>
        </w:rPr>
        <w:t>有下列情形之一的，基金合同应当终止：</w:t>
      </w:r>
    </w:p>
    <w:p w:rsidR="00B67D8A" w:rsidRDefault="00B67D8A">
      <w:pPr>
        <w:adjustRightInd w:val="0"/>
        <w:snapToGrid w:val="0"/>
        <w:spacing w:line="360" w:lineRule="auto"/>
        <w:ind w:firstLineChars="200" w:firstLine="480"/>
        <w:rPr>
          <w:sz w:val="24"/>
        </w:rPr>
      </w:pPr>
      <w:r>
        <w:rPr>
          <w:sz w:val="24"/>
        </w:rPr>
        <w:t>1</w:t>
      </w:r>
      <w:r>
        <w:rPr>
          <w:rFonts w:hAnsi="宋体"/>
          <w:sz w:val="24"/>
        </w:rPr>
        <w:t>、基金份额持有人大会决定终止的；</w:t>
      </w:r>
    </w:p>
    <w:p w:rsidR="00B67D8A" w:rsidRDefault="00B67D8A">
      <w:pPr>
        <w:adjustRightInd w:val="0"/>
        <w:snapToGrid w:val="0"/>
        <w:spacing w:line="360" w:lineRule="auto"/>
        <w:ind w:firstLineChars="200" w:firstLine="480"/>
        <w:rPr>
          <w:sz w:val="24"/>
        </w:rPr>
      </w:pPr>
      <w:r>
        <w:rPr>
          <w:sz w:val="24"/>
        </w:rPr>
        <w:t>2</w:t>
      </w:r>
      <w:r>
        <w:rPr>
          <w:rFonts w:hAnsi="宋体"/>
          <w:sz w:val="24"/>
        </w:rPr>
        <w:t>、基金管理人、基金托管人职责终止，在</w:t>
      </w:r>
      <w:r>
        <w:rPr>
          <w:sz w:val="24"/>
        </w:rPr>
        <w:t>6</w:t>
      </w:r>
      <w:r>
        <w:rPr>
          <w:rFonts w:hAnsi="宋体"/>
          <w:sz w:val="24"/>
        </w:rPr>
        <w:t>个月内没有新基金管理人、新基金托管人承接的；</w:t>
      </w:r>
    </w:p>
    <w:p w:rsidR="00B67D8A" w:rsidRDefault="00B67D8A">
      <w:pPr>
        <w:adjustRightInd w:val="0"/>
        <w:snapToGrid w:val="0"/>
        <w:spacing w:line="360" w:lineRule="auto"/>
        <w:ind w:firstLineChars="200" w:firstLine="480"/>
        <w:rPr>
          <w:sz w:val="24"/>
        </w:rPr>
      </w:pPr>
      <w:r>
        <w:rPr>
          <w:sz w:val="24"/>
        </w:rPr>
        <w:t>3</w:t>
      </w:r>
      <w:r>
        <w:rPr>
          <w:rFonts w:hAnsi="宋体"/>
          <w:sz w:val="24"/>
        </w:rPr>
        <w:t>、基金合同约定的其他情形；</w:t>
      </w:r>
    </w:p>
    <w:p w:rsidR="00B67D8A" w:rsidRDefault="00B67D8A">
      <w:pPr>
        <w:adjustRightInd w:val="0"/>
        <w:snapToGrid w:val="0"/>
        <w:spacing w:line="360" w:lineRule="auto"/>
        <w:ind w:firstLineChars="200" w:firstLine="480"/>
        <w:rPr>
          <w:sz w:val="24"/>
        </w:rPr>
      </w:pPr>
      <w:r>
        <w:rPr>
          <w:sz w:val="24"/>
        </w:rPr>
        <w:t>4</w:t>
      </w:r>
      <w:r>
        <w:rPr>
          <w:rFonts w:hAnsi="宋体"/>
          <w:sz w:val="24"/>
        </w:rPr>
        <w:t>、相关法律法规和中国证监会规定的其他情况。</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（三）基金财产的清算</w:t>
      </w:r>
    </w:p>
    <w:p w:rsidR="00B67D8A" w:rsidRDefault="00B67D8A">
      <w:pPr>
        <w:widowControl/>
        <w:adjustRightInd w:val="0"/>
        <w:snapToGrid w:val="0"/>
        <w:spacing w:line="360" w:lineRule="auto"/>
        <w:ind w:firstLineChars="200" w:firstLine="480"/>
        <w:outlineLvl w:val="1"/>
        <w:rPr>
          <w:sz w:val="24"/>
        </w:rPr>
      </w:pPr>
      <w:r>
        <w:rPr>
          <w:sz w:val="24"/>
        </w:rPr>
        <w:t>1</w:t>
      </w:r>
      <w:r>
        <w:rPr>
          <w:rFonts w:hAnsi="宋体"/>
          <w:sz w:val="24"/>
        </w:rPr>
        <w:t>、基金财产清算小组：</w:t>
      </w:r>
      <w:r>
        <w:rPr>
          <w:rFonts w:hAnsi="宋体"/>
          <w:bCs/>
          <w:sz w:val="24"/>
        </w:rPr>
        <w:t>自出现基金合同终止事由之日起</w:t>
      </w:r>
      <w:r>
        <w:rPr>
          <w:bCs/>
          <w:sz w:val="24"/>
        </w:rPr>
        <w:t>30</w:t>
      </w:r>
      <w:r>
        <w:rPr>
          <w:rFonts w:hAnsi="宋体"/>
          <w:bCs/>
          <w:sz w:val="24"/>
        </w:rPr>
        <w:t>个工作日内成立清算小组，基金管理人组织基金财产清算小组并在中国证监会的监督下进行基金清算。</w:t>
      </w:r>
    </w:p>
    <w:p w:rsidR="00B67D8A" w:rsidRDefault="00B67D8A">
      <w:pPr>
        <w:adjustRightInd w:val="0"/>
        <w:snapToGrid w:val="0"/>
        <w:spacing w:line="360" w:lineRule="auto"/>
        <w:ind w:firstLineChars="200" w:firstLine="480"/>
        <w:rPr>
          <w:bCs/>
          <w:sz w:val="24"/>
        </w:rPr>
      </w:pPr>
      <w:r>
        <w:rPr>
          <w:bCs/>
          <w:sz w:val="24"/>
        </w:rPr>
        <w:t>2</w:t>
      </w:r>
      <w:r>
        <w:rPr>
          <w:rFonts w:hAnsi="宋体"/>
          <w:bCs/>
          <w:sz w:val="24"/>
        </w:rPr>
        <w:t>、基金财产清算小组组成：基金财产清算小组成员由基金管理人、基金托</w:t>
      </w:r>
      <w:bookmarkStart w:id="97" w:name="_Hlt80977405"/>
      <w:bookmarkEnd w:id="97"/>
      <w:r>
        <w:rPr>
          <w:rFonts w:hAnsi="宋体"/>
          <w:bCs/>
          <w:sz w:val="24"/>
        </w:rPr>
        <w:t>管人、具有从事证券相关业务资格的注册会计师、律师以及中国证监会指定的人员组成。基金财产清算小组可以聘用必要的工作人员。</w:t>
      </w:r>
    </w:p>
    <w:p w:rsidR="00B67D8A" w:rsidRDefault="00B67D8A">
      <w:pPr>
        <w:adjustRightInd w:val="0"/>
        <w:snapToGrid w:val="0"/>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w:t>
      </w:r>
      <w:r>
        <w:rPr>
          <w:rFonts w:hAnsi="宋体"/>
          <w:bCs/>
          <w:sz w:val="24"/>
        </w:rPr>
        <w:lastRenderedPageBreak/>
        <w:t>价、变现和分配。基金财产清算小组可以依法进行必要的民事活动。</w:t>
      </w:r>
    </w:p>
    <w:p w:rsidR="00B67D8A" w:rsidRDefault="00B67D8A">
      <w:pPr>
        <w:adjustRightInd w:val="0"/>
        <w:snapToGrid w:val="0"/>
        <w:spacing w:line="360" w:lineRule="auto"/>
        <w:ind w:firstLineChars="200" w:firstLine="480"/>
        <w:rPr>
          <w:bCs/>
          <w:sz w:val="24"/>
        </w:rPr>
      </w:pPr>
      <w:r>
        <w:rPr>
          <w:bCs/>
          <w:sz w:val="24"/>
        </w:rPr>
        <w:t>4</w:t>
      </w:r>
      <w:r>
        <w:rPr>
          <w:rFonts w:hAnsi="宋体"/>
          <w:bCs/>
          <w:sz w:val="24"/>
        </w:rPr>
        <w:t>、基金财产清算程序：</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）基金合同终止情形出现时，由基金财产清算小组统一接管基金；</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p>
    <w:p w:rsidR="00B67D8A" w:rsidRDefault="00B67D8A">
      <w:pPr>
        <w:adjustRightInd w:val="0"/>
        <w:snapToGrid w:val="0"/>
        <w:spacing w:line="360" w:lineRule="auto"/>
        <w:ind w:firstLineChars="200" w:firstLine="480"/>
        <w:rPr>
          <w:bCs/>
          <w:sz w:val="24"/>
        </w:rPr>
      </w:pPr>
      <w:r>
        <w:rPr>
          <w:rFonts w:hAnsi="宋体"/>
          <w:bCs/>
          <w:sz w:val="24"/>
        </w:rPr>
        <w:t>（</w:t>
      </w:r>
      <w:r>
        <w:rPr>
          <w:bCs/>
          <w:sz w:val="24"/>
        </w:rPr>
        <w:t>7</w:t>
      </w:r>
      <w:r>
        <w:rPr>
          <w:rFonts w:hAnsi="宋体"/>
          <w:bCs/>
          <w:sz w:val="24"/>
        </w:rPr>
        <w:t>）对基金财产进行分配。</w:t>
      </w:r>
    </w:p>
    <w:p w:rsidR="00B67D8A" w:rsidRDefault="00B67D8A">
      <w:pPr>
        <w:widowControl/>
        <w:adjustRightInd w:val="0"/>
        <w:snapToGrid w:val="0"/>
        <w:spacing w:line="360" w:lineRule="auto"/>
        <w:ind w:firstLineChars="200" w:firstLine="480"/>
        <w:outlineLvl w:val="1"/>
        <w:rPr>
          <w:sz w:val="24"/>
        </w:rPr>
      </w:pPr>
      <w:r>
        <w:rPr>
          <w:bCs/>
          <w:sz w:val="24"/>
        </w:rPr>
        <w:t>5</w:t>
      </w:r>
      <w:r>
        <w:rPr>
          <w:rFonts w:hAnsi="宋体"/>
          <w:bCs/>
          <w:sz w:val="24"/>
        </w:rPr>
        <w:t>、基金财产清算的期限为</w:t>
      </w:r>
      <w:r>
        <w:rPr>
          <w:bCs/>
          <w:sz w:val="24"/>
        </w:rPr>
        <w:t>6</w:t>
      </w:r>
      <w:r>
        <w:rPr>
          <w:rFonts w:hAnsi="宋体"/>
          <w:bCs/>
          <w:sz w:val="24"/>
        </w:rPr>
        <w:t>个月，若</w:t>
      </w:r>
      <w:proofErr w:type="gramStart"/>
      <w:r>
        <w:rPr>
          <w:rFonts w:hAnsi="宋体"/>
          <w:bCs/>
          <w:sz w:val="24"/>
        </w:rPr>
        <w:t>遇基金</w:t>
      </w:r>
      <w:proofErr w:type="gramEnd"/>
      <w:r>
        <w:rPr>
          <w:rFonts w:hAnsi="宋体"/>
          <w:bCs/>
          <w:sz w:val="24"/>
        </w:rPr>
        <w:t>持有的股票或其他有价证券出现长期休市、停牌或其他流通受限的情形除外。</w:t>
      </w:r>
    </w:p>
    <w:p w:rsidR="00B67D8A" w:rsidRDefault="00B67D8A">
      <w:pPr>
        <w:widowControl/>
        <w:adjustRightInd w:val="0"/>
        <w:snapToGrid w:val="0"/>
        <w:spacing w:line="360" w:lineRule="auto"/>
        <w:ind w:firstLineChars="200" w:firstLine="482"/>
        <w:outlineLvl w:val="1"/>
        <w:rPr>
          <w:b/>
          <w:sz w:val="24"/>
        </w:rPr>
      </w:pPr>
      <w:r>
        <w:rPr>
          <w:rFonts w:hAnsi="宋体"/>
          <w:b/>
          <w:sz w:val="24"/>
        </w:rPr>
        <w:t>（四）清算费用</w:t>
      </w:r>
    </w:p>
    <w:p w:rsidR="00B67D8A" w:rsidRDefault="00B67D8A">
      <w:pPr>
        <w:widowControl/>
        <w:adjustRightInd w:val="0"/>
        <w:snapToGrid w:val="0"/>
        <w:spacing w:line="360" w:lineRule="auto"/>
        <w:ind w:firstLineChars="200" w:firstLine="480"/>
        <w:outlineLvl w:val="1"/>
        <w:rPr>
          <w:sz w:val="24"/>
        </w:rPr>
      </w:pPr>
      <w:r>
        <w:rPr>
          <w:rFonts w:hAnsi="宋体"/>
          <w:sz w:val="24"/>
        </w:rPr>
        <w:t>清算费用是指基金财产清算小组在进行基金清算过程中发生的所有合理费用，清算费用由基金财产清算小组优先从基金财产中支付。</w:t>
      </w:r>
    </w:p>
    <w:p w:rsidR="00B67D8A" w:rsidRDefault="00B67D8A">
      <w:pPr>
        <w:widowControl/>
        <w:adjustRightInd w:val="0"/>
        <w:snapToGrid w:val="0"/>
        <w:spacing w:line="360" w:lineRule="auto"/>
        <w:ind w:firstLineChars="200" w:firstLine="482"/>
        <w:outlineLvl w:val="1"/>
        <w:rPr>
          <w:b/>
          <w:sz w:val="24"/>
        </w:rPr>
      </w:pPr>
      <w:r>
        <w:rPr>
          <w:rFonts w:hAnsi="宋体"/>
          <w:b/>
          <w:sz w:val="24"/>
        </w:rPr>
        <w:t>（五）</w:t>
      </w:r>
      <w:r>
        <w:rPr>
          <w:rFonts w:hAnsi="宋体"/>
          <w:b/>
          <w:bCs/>
          <w:sz w:val="24"/>
        </w:rPr>
        <w:t>基金财产清算剩余资产的分配</w:t>
      </w:r>
    </w:p>
    <w:p w:rsidR="00B67D8A" w:rsidRDefault="00B67D8A">
      <w:pPr>
        <w:widowControl/>
        <w:adjustRightInd w:val="0"/>
        <w:snapToGrid w:val="0"/>
        <w:spacing w:line="360" w:lineRule="auto"/>
        <w:ind w:firstLineChars="200" w:firstLine="480"/>
        <w:outlineLvl w:val="1"/>
        <w:rPr>
          <w:sz w:val="24"/>
        </w:rPr>
      </w:pPr>
      <w:r>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rsidR="00B67D8A" w:rsidRDefault="00B67D8A">
      <w:pPr>
        <w:widowControl/>
        <w:adjustRightInd w:val="0"/>
        <w:snapToGrid w:val="0"/>
        <w:spacing w:line="360" w:lineRule="auto"/>
        <w:ind w:firstLineChars="200" w:firstLine="482"/>
        <w:outlineLvl w:val="1"/>
        <w:rPr>
          <w:b/>
          <w:sz w:val="24"/>
        </w:rPr>
      </w:pPr>
      <w:r>
        <w:rPr>
          <w:rFonts w:hAnsi="宋体"/>
          <w:b/>
          <w:sz w:val="24"/>
        </w:rPr>
        <w:t>（六）基金财产清算的公告</w:t>
      </w:r>
    </w:p>
    <w:p w:rsidR="00B67D8A" w:rsidRDefault="00B67D8A">
      <w:pPr>
        <w:widowControl/>
        <w:adjustRightInd w:val="0"/>
        <w:snapToGrid w:val="0"/>
        <w:spacing w:line="360" w:lineRule="auto"/>
        <w:ind w:firstLineChars="200" w:firstLine="480"/>
        <w:outlineLvl w:val="1"/>
        <w:rPr>
          <w:sz w:val="24"/>
        </w:rPr>
      </w:pPr>
      <w:r>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rsidR="00B67D8A" w:rsidRDefault="00B67D8A">
      <w:pPr>
        <w:widowControl/>
        <w:adjustRightInd w:val="0"/>
        <w:snapToGrid w:val="0"/>
        <w:spacing w:line="360" w:lineRule="auto"/>
        <w:ind w:firstLineChars="200" w:firstLine="482"/>
        <w:outlineLvl w:val="1"/>
        <w:rPr>
          <w:b/>
          <w:sz w:val="24"/>
        </w:rPr>
      </w:pPr>
      <w:r>
        <w:rPr>
          <w:rFonts w:hAnsi="宋体"/>
          <w:b/>
          <w:sz w:val="24"/>
        </w:rPr>
        <w:t>（七）基金财产清算账册及文件的保存</w:t>
      </w:r>
    </w:p>
    <w:p w:rsidR="00B67D8A" w:rsidRDefault="00B67D8A">
      <w:pPr>
        <w:adjustRightInd w:val="0"/>
        <w:snapToGrid w:val="0"/>
        <w:spacing w:line="360" w:lineRule="auto"/>
        <w:ind w:firstLineChars="200" w:firstLine="480"/>
        <w:rPr>
          <w:sz w:val="24"/>
        </w:rPr>
      </w:pPr>
      <w:r>
        <w:rPr>
          <w:rFonts w:hAnsi="宋体"/>
          <w:sz w:val="24"/>
        </w:rPr>
        <w:t>基金财产清算账册及有关文件由基金托管人保存</w:t>
      </w:r>
      <w:r>
        <w:rPr>
          <w:sz w:val="24"/>
        </w:rPr>
        <w:t>15</w:t>
      </w:r>
      <w:r>
        <w:rPr>
          <w:rFonts w:hAnsi="宋体"/>
          <w:sz w:val="24"/>
        </w:rPr>
        <w:t>年以上。</w:t>
      </w:r>
    </w:p>
    <w:p w:rsidR="00B67D8A" w:rsidRDefault="00B67D8A">
      <w:pPr>
        <w:widowControl/>
        <w:adjustRightInd w:val="0"/>
        <w:snapToGrid w:val="0"/>
        <w:spacing w:line="360" w:lineRule="auto"/>
        <w:ind w:firstLineChars="200" w:firstLine="480"/>
        <w:rPr>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98" w:name="_Toc382321332"/>
      <w:r>
        <w:rPr>
          <w:rFonts w:ascii="宋体" w:hAnsi="宋体" w:hint="eastAsia"/>
          <w:b/>
          <w:kern w:val="0"/>
          <w:sz w:val="30"/>
        </w:rPr>
        <w:lastRenderedPageBreak/>
        <w:t>二十一、基金合同内容摘要</w:t>
      </w:r>
      <w:bookmarkEnd w:id="98"/>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（一）基金合同当事人及权利义务</w:t>
      </w:r>
      <w:r>
        <w:rPr>
          <w:b/>
          <w:kern w:val="0"/>
          <w:sz w:val="24"/>
        </w:rPr>
        <w:t xml:space="preserve"> </w:t>
      </w:r>
    </w:p>
    <w:p w:rsidR="00B67D8A" w:rsidRDefault="00B67D8A">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rsidR="00B67D8A" w:rsidRDefault="00B67D8A">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）根据《基金法》、《运作办法》及其他有关规定，基金管理人的权利包括但不限于：</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w:t>
      </w:r>
    </w:p>
    <w:p w:rsidR="00B67D8A" w:rsidRDefault="00B67D8A">
      <w:pPr>
        <w:adjustRightInd w:val="0"/>
        <w:snapToGrid w:val="0"/>
        <w:spacing w:line="360" w:lineRule="auto"/>
        <w:ind w:firstLineChars="200" w:firstLine="480"/>
        <w:rPr>
          <w:rFonts w:hAnsi="宋体"/>
          <w:bCs/>
          <w:sz w:val="24"/>
          <w:szCs w:val="24"/>
        </w:rPr>
      </w:pPr>
      <w:r>
        <w:rPr>
          <w:bCs/>
          <w:sz w:val="24"/>
        </w:rPr>
        <w:t>2</w:t>
      </w:r>
      <w:r>
        <w:rPr>
          <w:bCs/>
          <w:sz w:val="24"/>
        </w:rPr>
        <w:t>）</w:t>
      </w:r>
      <w:r>
        <w:rPr>
          <w:rFonts w:hAnsi="宋体"/>
          <w:bCs/>
          <w:sz w:val="24"/>
          <w:szCs w:val="24"/>
        </w:rPr>
        <w:t>自基金合同生效之日起，根据法律法规和基金合同独立运用并管理基金财产；</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依照基金合同收取基金管理费以及法律法规规定或中国证监会批准的其他费用；</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销售基金份额；</w:t>
      </w:r>
    </w:p>
    <w:p w:rsidR="00B67D8A" w:rsidRDefault="00B67D8A">
      <w:pPr>
        <w:adjustRightInd w:val="0"/>
        <w:snapToGrid w:val="0"/>
        <w:spacing w:line="360" w:lineRule="auto"/>
        <w:ind w:firstLineChars="200" w:firstLine="480"/>
        <w:rPr>
          <w:bCs/>
          <w:sz w:val="24"/>
        </w:rPr>
      </w:pPr>
      <w:r>
        <w:rPr>
          <w:bCs/>
          <w:sz w:val="24"/>
        </w:rPr>
        <w:t>5</w:t>
      </w:r>
      <w:r>
        <w:rPr>
          <w:bCs/>
          <w:sz w:val="24"/>
        </w:rPr>
        <w:t>）</w:t>
      </w:r>
      <w:bookmarkStart w:id="99" w:name="_Hlt88896155"/>
      <w:r>
        <w:rPr>
          <w:rFonts w:hAnsi="宋体"/>
          <w:bCs/>
          <w:sz w:val="24"/>
          <w:szCs w:val="24"/>
        </w:rPr>
        <w:t>召集基金份额持有人大会；</w:t>
      </w:r>
      <w:bookmarkEnd w:id="99"/>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在基金托管人更换时，提名新的基金托管人；</w:t>
      </w:r>
    </w:p>
    <w:p w:rsidR="00B67D8A" w:rsidRDefault="00B67D8A">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选择、更换基金销售机构，对基金销售机构的相关行为进行监督和处理；</w:t>
      </w:r>
      <w:r>
        <w:rPr>
          <w:bCs/>
          <w:sz w:val="24"/>
        </w:rPr>
        <w:t xml:space="preserve"> </w:t>
      </w:r>
    </w:p>
    <w:p w:rsidR="00B67D8A" w:rsidRDefault="00B67D8A">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担任或委托其他符合条件的机构担任基金登记机构办理基金登记业务并获得基金合同规定的费用；</w:t>
      </w:r>
      <w:r>
        <w:rPr>
          <w:bCs/>
          <w:sz w:val="24"/>
        </w:rPr>
        <w:t xml:space="preserve"> </w:t>
      </w:r>
    </w:p>
    <w:p w:rsidR="00B67D8A" w:rsidRDefault="00B67D8A">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依据基金合同及有关法律规定决定基金收益的分配方案；</w:t>
      </w:r>
      <w:r>
        <w:rPr>
          <w:bCs/>
          <w:sz w:val="24"/>
        </w:rPr>
        <w:tab/>
      </w:r>
    </w:p>
    <w:p w:rsidR="00B67D8A" w:rsidRDefault="00B67D8A">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在基金合同约定的范围内，拒绝或暂停受理申购与赎回申请；</w:t>
      </w:r>
      <w:r>
        <w:rPr>
          <w:bCs/>
          <w:sz w:val="24"/>
        </w:rPr>
        <w:t xml:space="preserve"> </w:t>
      </w:r>
    </w:p>
    <w:p w:rsidR="00B67D8A" w:rsidRDefault="00B67D8A">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依照法律法规为基金的利益对被投资公司行使股东权利，为基金的利益行使因基金财产投资于证券所产生的权利；</w:t>
      </w:r>
      <w:r>
        <w:rPr>
          <w:bCs/>
          <w:sz w:val="24"/>
        </w:rPr>
        <w:tab/>
      </w:r>
    </w:p>
    <w:p w:rsidR="00B67D8A" w:rsidRDefault="00B67D8A">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在法律法规允许的前提下，为基金的利益依法为基金进行融资融券；</w:t>
      </w:r>
      <w:r>
        <w:rPr>
          <w:bCs/>
          <w:sz w:val="24"/>
        </w:rPr>
        <w:t xml:space="preserve"> </w:t>
      </w:r>
    </w:p>
    <w:p w:rsidR="00B67D8A" w:rsidRDefault="00B67D8A">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以基金管理人的名义，代表基金份额持有人的利益行使诉讼权利或者实施其他法律行为；</w:t>
      </w:r>
      <w:r>
        <w:rPr>
          <w:bCs/>
          <w:sz w:val="24"/>
        </w:rPr>
        <w:tab/>
      </w:r>
    </w:p>
    <w:p w:rsidR="00B67D8A" w:rsidRDefault="00B67D8A">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选择、更换律师事务所、会计师事务所、证券经纪商或其他为基金提供服务的外部机构；</w:t>
      </w:r>
      <w:r>
        <w:rPr>
          <w:bCs/>
          <w:sz w:val="24"/>
        </w:rPr>
        <w:tab/>
      </w:r>
    </w:p>
    <w:p w:rsidR="00B67D8A" w:rsidRDefault="00B67D8A">
      <w:pPr>
        <w:adjustRightInd w:val="0"/>
        <w:snapToGrid w:val="0"/>
        <w:spacing w:line="360" w:lineRule="auto"/>
        <w:ind w:firstLineChars="200" w:firstLine="480"/>
        <w:rPr>
          <w:bCs/>
          <w:sz w:val="24"/>
        </w:rPr>
      </w:pPr>
      <w:r>
        <w:rPr>
          <w:bCs/>
          <w:sz w:val="24"/>
        </w:rPr>
        <w:lastRenderedPageBreak/>
        <w:t>16</w:t>
      </w:r>
      <w:r>
        <w:rPr>
          <w:bCs/>
          <w:sz w:val="24"/>
        </w:rPr>
        <w:t>）</w:t>
      </w:r>
      <w:r>
        <w:rPr>
          <w:rFonts w:hAnsi="宋体"/>
          <w:bCs/>
          <w:sz w:val="24"/>
          <w:szCs w:val="24"/>
        </w:rPr>
        <w:t>在符合有关法律、法规的前提下，制定和调整有关基金认购、申购、赎回、转换和</w:t>
      </w:r>
      <w:proofErr w:type="gramStart"/>
      <w:r>
        <w:rPr>
          <w:rFonts w:hAnsi="宋体"/>
          <w:bCs/>
          <w:sz w:val="24"/>
          <w:szCs w:val="24"/>
        </w:rPr>
        <w:t>非交易</w:t>
      </w:r>
      <w:proofErr w:type="gramEnd"/>
      <w:r>
        <w:rPr>
          <w:rFonts w:hAnsi="宋体"/>
          <w:bCs/>
          <w:sz w:val="24"/>
          <w:szCs w:val="24"/>
        </w:rPr>
        <w:t>过户等的业务规则；</w:t>
      </w:r>
    </w:p>
    <w:p w:rsidR="00B67D8A" w:rsidRDefault="00B67D8A">
      <w:pPr>
        <w:widowControl/>
        <w:adjustRightInd w:val="0"/>
        <w:snapToGrid w:val="0"/>
        <w:spacing w:line="360" w:lineRule="auto"/>
        <w:ind w:firstLineChars="200" w:firstLine="480"/>
        <w:outlineLvl w:val="8"/>
        <w:rPr>
          <w:bCs/>
          <w:sz w:val="24"/>
        </w:rPr>
      </w:pPr>
      <w:r>
        <w:rPr>
          <w:bCs/>
          <w:sz w:val="24"/>
        </w:rPr>
        <w:t>17</w:t>
      </w:r>
      <w:r>
        <w:rPr>
          <w:bCs/>
          <w:sz w:val="24"/>
        </w:rPr>
        <w:t>）</w:t>
      </w:r>
      <w:r>
        <w:rPr>
          <w:rFonts w:hAnsi="宋体"/>
          <w:bCs/>
          <w:sz w:val="24"/>
          <w:szCs w:val="24"/>
        </w:rPr>
        <w:t>法律法规及中国证监会规定的和基金合同约定的其他权利。</w:t>
      </w:r>
    </w:p>
    <w:p w:rsidR="00B67D8A" w:rsidRDefault="00B67D8A">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）根据《基金法》、《运作办法》及其他有关规定，基金管理人的义务包括但不限于：</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依法募集基金，办理或者委托经中国证监会认定的其他机构代为办理基金份额的发售、申购、赎回和登记事宜；</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办理基金备案手续；</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自基金合同生效之日起</w:t>
      </w:r>
      <w:r>
        <w:rPr>
          <w:bCs/>
          <w:sz w:val="24"/>
          <w:szCs w:val="24"/>
        </w:rPr>
        <w:t>,</w:t>
      </w:r>
      <w:r>
        <w:rPr>
          <w:rFonts w:hAnsi="宋体"/>
          <w:bCs/>
          <w:sz w:val="24"/>
          <w:szCs w:val="24"/>
        </w:rPr>
        <w:t>以诚实信用、谨慎勤勉的原则管理和运用基金财产；</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配备足够的具有专业资格的人员进行基金投资分析、决策，以专业化的经营方式管理和运作基金财产；</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建立健全内部风险控制、监察与稽核、财务管理及人事管理等制度，保证所管理的基金财产和基金管理人的财产相互</w:t>
      </w:r>
      <w:proofErr w:type="gramStart"/>
      <w:r>
        <w:rPr>
          <w:rFonts w:hAnsi="宋体"/>
          <w:bCs/>
          <w:sz w:val="24"/>
          <w:szCs w:val="24"/>
        </w:rPr>
        <w:t>独立</w:t>
      </w:r>
      <w:r>
        <w:rPr>
          <w:bCs/>
          <w:sz w:val="24"/>
          <w:szCs w:val="24"/>
        </w:rPr>
        <w:t>,</w:t>
      </w:r>
      <w:proofErr w:type="gramEnd"/>
      <w:r>
        <w:rPr>
          <w:rFonts w:hAnsi="宋体"/>
          <w:bCs/>
          <w:sz w:val="24"/>
          <w:szCs w:val="24"/>
        </w:rPr>
        <w:t>对所管理的不同基金分别管理，分别记账，进行证券投资；</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除依据《基金法》、基金合同及其他有关规定外</w:t>
      </w:r>
      <w:r>
        <w:rPr>
          <w:bCs/>
          <w:sz w:val="24"/>
          <w:szCs w:val="24"/>
        </w:rPr>
        <w:t>,</w:t>
      </w:r>
      <w:r>
        <w:rPr>
          <w:rFonts w:hAnsi="宋体"/>
          <w:bCs/>
          <w:sz w:val="24"/>
          <w:szCs w:val="24"/>
        </w:rPr>
        <w:t>不得利用基金财产为自己及任何第三人谋取利益，不得委托第三人运作基金财产；</w:t>
      </w:r>
      <w:bookmarkStart w:id="100" w:name="_Hlt88897298"/>
      <w:bookmarkEnd w:id="100"/>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依法接受基金托管人的监督；</w:t>
      </w:r>
    </w:p>
    <w:p w:rsidR="00B67D8A" w:rsidRDefault="00B67D8A">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rsidR="00B67D8A" w:rsidRDefault="00B67D8A">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进行基金会计核算并编制基金财务会计报告；</w:t>
      </w:r>
    </w:p>
    <w:p w:rsidR="00B67D8A" w:rsidRDefault="00B67D8A">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编制季度、半年度和年度基金报告；</w:t>
      </w:r>
    </w:p>
    <w:p w:rsidR="00B67D8A" w:rsidRDefault="00B67D8A">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严格按照《基金法》、基金合同及其他有关规定，履行信息披露及报告义务；</w:t>
      </w:r>
    </w:p>
    <w:p w:rsidR="00B67D8A" w:rsidRDefault="00B67D8A">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保守基金商业秘密，不泄露基金投资计划、投资意向等。除《基金法》、基金合同及其他有关规定另有规定外，在基金信息公开披露前应予保密，不向他人泄露；</w:t>
      </w:r>
    </w:p>
    <w:p w:rsidR="00B67D8A" w:rsidRDefault="00B67D8A">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按基金合同的约定确定基金收益分配方案，及时向基金份额持有人分配基金收益；</w:t>
      </w:r>
    </w:p>
    <w:p w:rsidR="00B67D8A" w:rsidRDefault="00B67D8A">
      <w:pPr>
        <w:adjustRightInd w:val="0"/>
        <w:snapToGrid w:val="0"/>
        <w:spacing w:line="360" w:lineRule="auto"/>
        <w:ind w:firstLineChars="200" w:firstLine="480"/>
        <w:rPr>
          <w:bCs/>
          <w:sz w:val="24"/>
        </w:rPr>
      </w:pPr>
      <w:r>
        <w:rPr>
          <w:bCs/>
          <w:sz w:val="24"/>
        </w:rPr>
        <w:lastRenderedPageBreak/>
        <w:t>14</w:t>
      </w:r>
      <w:r>
        <w:rPr>
          <w:bCs/>
          <w:sz w:val="24"/>
        </w:rPr>
        <w:t>）</w:t>
      </w:r>
      <w:r>
        <w:rPr>
          <w:rFonts w:hAnsi="宋体"/>
          <w:bCs/>
          <w:sz w:val="24"/>
          <w:szCs w:val="24"/>
        </w:rPr>
        <w:t>按规定受理申购与赎回申请，及时、足额支付赎回款项；</w:t>
      </w:r>
    </w:p>
    <w:p w:rsidR="00B67D8A" w:rsidRDefault="00B67D8A">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依据《基金法》、基金合同及其他有关规定召集基金份额持有人大会或配合基金托管人、基金份额持有人依法召集基金份额持有人大会；</w:t>
      </w:r>
    </w:p>
    <w:p w:rsidR="00B67D8A" w:rsidRDefault="00B67D8A">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按规定保存基金财产管理业务活动的会计账册、报表、记录和其他相关资料</w:t>
      </w:r>
      <w:r>
        <w:rPr>
          <w:bCs/>
          <w:sz w:val="24"/>
          <w:szCs w:val="24"/>
        </w:rPr>
        <w:t>15</w:t>
      </w:r>
      <w:r>
        <w:rPr>
          <w:rFonts w:hAnsi="宋体"/>
          <w:bCs/>
          <w:sz w:val="24"/>
          <w:szCs w:val="24"/>
        </w:rPr>
        <w:t>年以上；</w:t>
      </w:r>
    </w:p>
    <w:p w:rsidR="00B67D8A" w:rsidRDefault="00B67D8A">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67D8A" w:rsidRDefault="00B67D8A">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组织并参加基金财产清算小组</w:t>
      </w:r>
      <w:r>
        <w:rPr>
          <w:rFonts w:hint="eastAsia"/>
          <w:bCs/>
          <w:sz w:val="24"/>
          <w:szCs w:val="24"/>
        </w:rPr>
        <w:t>，</w:t>
      </w:r>
      <w:r>
        <w:rPr>
          <w:rFonts w:hAnsi="宋体"/>
          <w:bCs/>
          <w:sz w:val="24"/>
          <w:szCs w:val="24"/>
        </w:rPr>
        <w:t>参与基金财产的保管、清理、估价、变现和分配；</w:t>
      </w:r>
    </w:p>
    <w:p w:rsidR="00B67D8A" w:rsidRDefault="00B67D8A">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面临解散、依法被撤销或者被依法宣告破产时，及时报告中国证监会并通知基金托管人；</w:t>
      </w:r>
    </w:p>
    <w:p w:rsidR="00B67D8A" w:rsidRDefault="00B67D8A">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因违反基金合同导致基金财产的损失或损害基金份额持有人合法权益时，应当承担赔偿责任，其赔偿责任不因其退任而免除；</w:t>
      </w:r>
    </w:p>
    <w:p w:rsidR="00B67D8A" w:rsidRDefault="00B67D8A">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rsidR="00B67D8A" w:rsidRDefault="00B67D8A">
      <w:pPr>
        <w:adjustRightInd w:val="0"/>
        <w:snapToGrid w:val="0"/>
        <w:spacing w:line="360" w:lineRule="auto"/>
        <w:ind w:firstLineChars="200" w:firstLine="480"/>
        <w:rPr>
          <w:bCs/>
          <w:sz w:val="24"/>
        </w:rPr>
      </w:pPr>
      <w:r>
        <w:rPr>
          <w:bCs/>
          <w:sz w:val="24"/>
        </w:rPr>
        <w:t>22</w:t>
      </w:r>
      <w:r>
        <w:rPr>
          <w:bCs/>
          <w:sz w:val="24"/>
        </w:rPr>
        <w:t>）</w:t>
      </w:r>
      <w:r>
        <w:rPr>
          <w:rFonts w:hAnsi="宋体"/>
          <w:bCs/>
          <w:sz w:val="24"/>
          <w:szCs w:val="24"/>
        </w:rPr>
        <w:t>当基金管理人将其义务委托第三方处理时，应当对第三方处理有关基金事务的行为承担责任；</w:t>
      </w:r>
    </w:p>
    <w:p w:rsidR="00B67D8A" w:rsidRDefault="00B67D8A">
      <w:pPr>
        <w:adjustRightInd w:val="0"/>
        <w:snapToGrid w:val="0"/>
        <w:spacing w:line="360" w:lineRule="auto"/>
        <w:ind w:firstLineChars="200" w:firstLine="480"/>
        <w:rPr>
          <w:bCs/>
          <w:sz w:val="24"/>
        </w:rPr>
      </w:pPr>
      <w:r>
        <w:rPr>
          <w:bCs/>
          <w:sz w:val="24"/>
        </w:rPr>
        <w:t>23</w:t>
      </w:r>
      <w:r>
        <w:rPr>
          <w:bCs/>
          <w:sz w:val="24"/>
        </w:rPr>
        <w:t>）</w:t>
      </w:r>
      <w:r>
        <w:rPr>
          <w:rFonts w:hAnsi="宋体"/>
          <w:bCs/>
          <w:sz w:val="24"/>
          <w:szCs w:val="24"/>
        </w:rPr>
        <w:t>以基金管理人名义，代表基金份额持有人利益行使诉讼权利或实施其他法律行为；</w:t>
      </w:r>
      <w:r>
        <w:rPr>
          <w:bCs/>
          <w:sz w:val="24"/>
        </w:rPr>
        <w:tab/>
      </w:r>
    </w:p>
    <w:p w:rsidR="00B67D8A" w:rsidRDefault="00B67D8A">
      <w:pPr>
        <w:adjustRightInd w:val="0"/>
        <w:snapToGrid w:val="0"/>
        <w:spacing w:line="360" w:lineRule="auto"/>
        <w:ind w:firstLineChars="200" w:firstLine="480"/>
        <w:rPr>
          <w:bCs/>
          <w:sz w:val="24"/>
        </w:rPr>
      </w:pPr>
      <w:r>
        <w:rPr>
          <w:bCs/>
          <w:sz w:val="24"/>
        </w:rPr>
        <w:t>24</w:t>
      </w:r>
      <w:r>
        <w:rPr>
          <w:bCs/>
          <w:sz w:val="24"/>
        </w:rPr>
        <w:t>）</w:t>
      </w:r>
      <w:r>
        <w:rPr>
          <w:rFonts w:hAnsi="宋体"/>
          <w:bCs/>
          <w:sz w:val="24"/>
          <w:szCs w:val="24"/>
        </w:rPr>
        <w:t>基金管理人在募集期间未能达到基金的备案条件，基金合同不能生效，基金管理人承担全部募集费用，将已募集资金并加计银行同期存款利息在基金募集期结束后</w:t>
      </w:r>
      <w:r>
        <w:rPr>
          <w:bCs/>
          <w:sz w:val="24"/>
          <w:szCs w:val="24"/>
        </w:rPr>
        <w:t>30</w:t>
      </w:r>
      <w:r>
        <w:rPr>
          <w:rFonts w:hAnsi="宋体"/>
          <w:bCs/>
          <w:sz w:val="24"/>
          <w:szCs w:val="24"/>
        </w:rPr>
        <w:t>日内退还基金认购人；</w:t>
      </w:r>
    </w:p>
    <w:p w:rsidR="00B67D8A" w:rsidRDefault="00B67D8A">
      <w:pPr>
        <w:adjustRightInd w:val="0"/>
        <w:snapToGrid w:val="0"/>
        <w:spacing w:line="360" w:lineRule="auto"/>
        <w:ind w:firstLineChars="200" w:firstLine="480"/>
        <w:rPr>
          <w:bCs/>
          <w:sz w:val="24"/>
        </w:rPr>
      </w:pPr>
      <w:r>
        <w:rPr>
          <w:bCs/>
          <w:sz w:val="24"/>
        </w:rPr>
        <w:t>25</w:t>
      </w:r>
      <w:r>
        <w:rPr>
          <w:bCs/>
          <w:sz w:val="24"/>
        </w:rPr>
        <w:t>）</w:t>
      </w:r>
      <w:r>
        <w:rPr>
          <w:rFonts w:hAnsi="宋体"/>
          <w:bCs/>
          <w:sz w:val="24"/>
          <w:szCs w:val="24"/>
        </w:rPr>
        <w:t>执行生效的基金份额持有人大会的决议；</w:t>
      </w:r>
    </w:p>
    <w:p w:rsidR="00B67D8A" w:rsidRDefault="00B67D8A">
      <w:pPr>
        <w:adjustRightInd w:val="0"/>
        <w:snapToGrid w:val="0"/>
        <w:spacing w:line="360" w:lineRule="auto"/>
        <w:ind w:firstLineChars="200" w:firstLine="480"/>
        <w:rPr>
          <w:bCs/>
          <w:sz w:val="24"/>
        </w:rPr>
      </w:pPr>
      <w:r>
        <w:rPr>
          <w:bCs/>
          <w:sz w:val="24"/>
        </w:rPr>
        <w:t>26</w:t>
      </w:r>
      <w:r>
        <w:rPr>
          <w:bCs/>
          <w:sz w:val="24"/>
        </w:rPr>
        <w:t>）</w:t>
      </w:r>
      <w:r>
        <w:rPr>
          <w:rFonts w:hAnsi="宋体"/>
          <w:bCs/>
          <w:sz w:val="24"/>
          <w:szCs w:val="24"/>
        </w:rPr>
        <w:t>建立并保存基金份额持有人名册；</w:t>
      </w:r>
    </w:p>
    <w:p w:rsidR="00B67D8A" w:rsidRDefault="00B67D8A">
      <w:pPr>
        <w:adjustRightInd w:val="0"/>
        <w:snapToGrid w:val="0"/>
        <w:spacing w:line="360" w:lineRule="auto"/>
        <w:ind w:firstLineChars="200" w:firstLine="480"/>
        <w:rPr>
          <w:sz w:val="24"/>
        </w:rPr>
      </w:pPr>
      <w:r>
        <w:rPr>
          <w:bCs/>
          <w:sz w:val="24"/>
        </w:rPr>
        <w:t>27</w:t>
      </w:r>
      <w:r>
        <w:rPr>
          <w:bCs/>
          <w:sz w:val="24"/>
        </w:rPr>
        <w:t>）</w:t>
      </w:r>
      <w:r>
        <w:rPr>
          <w:rFonts w:hAnsi="宋体"/>
          <w:bCs/>
          <w:sz w:val="24"/>
          <w:szCs w:val="24"/>
        </w:rPr>
        <w:t>法律法规及中国证监会规定的和基金合同约定的其他义务。</w:t>
      </w:r>
    </w:p>
    <w:p w:rsidR="00B67D8A" w:rsidRDefault="00B67D8A">
      <w:pPr>
        <w:widowControl/>
        <w:adjustRightInd w:val="0"/>
        <w:snapToGrid w:val="0"/>
        <w:spacing w:line="360" w:lineRule="auto"/>
        <w:ind w:firstLineChars="200" w:firstLine="480"/>
        <w:outlineLvl w:val="8"/>
        <w:rPr>
          <w:kern w:val="0"/>
          <w:sz w:val="24"/>
        </w:rPr>
      </w:pPr>
      <w:r>
        <w:rPr>
          <w:kern w:val="0"/>
          <w:sz w:val="24"/>
        </w:rPr>
        <w:t>2</w:t>
      </w:r>
      <w:r>
        <w:rPr>
          <w:rFonts w:hAnsi="宋体"/>
          <w:kern w:val="0"/>
          <w:sz w:val="24"/>
        </w:rPr>
        <w:t>、基金托管人的权利与义务</w:t>
      </w:r>
      <w:r>
        <w:rPr>
          <w:kern w:val="0"/>
          <w:sz w:val="24"/>
        </w:rPr>
        <w:t xml:space="preserve"> </w:t>
      </w:r>
    </w:p>
    <w:p w:rsidR="00B67D8A" w:rsidRDefault="00B67D8A">
      <w:pPr>
        <w:adjustRightInd w:val="0"/>
        <w:snapToGrid w:val="0"/>
        <w:spacing w:line="360" w:lineRule="auto"/>
        <w:ind w:firstLineChars="200" w:firstLine="480"/>
        <w:rPr>
          <w:bCs/>
          <w:sz w:val="24"/>
        </w:rPr>
      </w:pPr>
      <w:r>
        <w:rPr>
          <w:bCs/>
          <w:sz w:val="24"/>
        </w:rPr>
        <w:lastRenderedPageBreak/>
        <w:t>（</w:t>
      </w:r>
      <w:r>
        <w:rPr>
          <w:bCs/>
          <w:sz w:val="24"/>
        </w:rPr>
        <w:t>1</w:t>
      </w:r>
      <w:r>
        <w:rPr>
          <w:bCs/>
          <w:sz w:val="24"/>
        </w:rPr>
        <w:t>）根据《基金法》、《运作办法》及其他有关规定，基金托管人的权利包括但不限于：</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自基金合同生效之日起，依法</w:t>
      </w:r>
      <w:proofErr w:type="gramStart"/>
      <w:r>
        <w:rPr>
          <w:rFonts w:hAnsi="宋体"/>
          <w:bCs/>
          <w:sz w:val="24"/>
          <w:szCs w:val="24"/>
        </w:rPr>
        <w:t>律法规</w:t>
      </w:r>
      <w:proofErr w:type="gramEnd"/>
      <w:r>
        <w:rPr>
          <w:rFonts w:hAnsi="宋体"/>
          <w:bCs/>
          <w:sz w:val="24"/>
          <w:szCs w:val="24"/>
        </w:rPr>
        <w:t>和基金合同的规定安全保管基金财产；</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依基金合同约定获得基金托管费以及法律法规规定或监管部门批准的其他费用；</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根据相关市场规则，为基金开设证券账户、为基金办理证券交易资金清算</w:t>
      </w:r>
      <w:r>
        <w:rPr>
          <w:rFonts w:hAnsi="宋体" w:hint="eastAsia"/>
          <w:bCs/>
          <w:sz w:val="24"/>
          <w:szCs w:val="24"/>
        </w:rPr>
        <w:t>；</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提议召开或召集基金份额持有人大会；</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在基金管理人更换时，提名新的基金管理人；</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法律法规及中国证监会规定的和基金合同约定的其他权利。</w:t>
      </w:r>
    </w:p>
    <w:p w:rsidR="00B67D8A" w:rsidRDefault="00B67D8A">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以诚实信用、勤勉尽责的原则持有并安全保管基金财产；</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设立专门的基金托管部门，具有符合要求的营业场所，配备足够的、合格的熟悉基金托管业务的专职人员，负责基金财产托管事宜；</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除依据《基金法》、基金合同及其他有关规定外，不得利用基金财产为自己及任何第三人谋取利益，不得委托第三人托管基金财产；</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保管由基金管理人代表基金签订的与基金有关的重大合同及有关凭证；</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按规定开设基金财产的资金账户和证券账户</w:t>
      </w:r>
      <w:r>
        <w:rPr>
          <w:bCs/>
          <w:sz w:val="24"/>
          <w:szCs w:val="24"/>
        </w:rPr>
        <w:t>,</w:t>
      </w:r>
      <w:r>
        <w:rPr>
          <w:rFonts w:hAnsi="宋体"/>
          <w:bCs/>
          <w:sz w:val="24"/>
          <w:szCs w:val="24"/>
        </w:rPr>
        <w:t>按照基金合同的约定，根据基金管理人的投资指令，及时办理清算、交割事宜；</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保守基金商业秘密，除《基金法》、基金合同及其他有关规定另有规定外，在基金信息公开披露前予以保密，不得向他人泄露；</w:t>
      </w:r>
    </w:p>
    <w:p w:rsidR="00B67D8A" w:rsidRDefault="00B67D8A">
      <w:pPr>
        <w:adjustRightInd w:val="0"/>
        <w:snapToGrid w:val="0"/>
        <w:spacing w:line="360" w:lineRule="auto"/>
        <w:ind w:firstLineChars="200" w:firstLine="480"/>
        <w:rPr>
          <w:bCs/>
          <w:sz w:val="24"/>
        </w:rPr>
      </w:pPr>
      <w:r>
        <w:rPr>
          <w:bCs/>
          <w:sz w:val="24"/>
        </w:rPr>
        <w:lastRenderedPageBreak/>
        <w:t>8</w:t>
      </w:r>
      <w:r>
        <w:rPr>
          <w:bCs/>
          <w:sz w:val="24"/>
        </w:rPr>
        <w:t>）</w:t>
      </w:r>
      <w:r>
        <w:rPr>
          <w:rFonts w:hAnsi="宋体"/>
          <w:bCs/>
          <w:sz w:val="24"/>
          <w:szCs w:val="24"/>
        </w:rPr>
        <w:t>复核、审查基金管理人计算的基金资产净值、基金份额申购、赎回价格、基金业绩数据等；</w:t>
      </w:r>
    </w:p>
    <w:p w:rsidR="00B67D8A" w:rsidRDefault="00B67D8A">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办理与基金托管业务活动有关的信息披露事项；</w:t>
      </w:r>
    </w:p>
    <w:p w:rsidR="00B67D8A" w:rsidRDefault="00B67D8A">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67D8A" w:rsidRDefault="00B67D8A">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保存基金托管业务活动的记录、账册、报表和其他相关资料</w:t>
      </w:r>
      <w:r>
        <w:rPr>
          <w:sz w:val="24"/>
          <w:szCs w:val="24"/>
        </w:rPr>
        <w:t>15</w:t>
      </w:r>
      <w:r>
        <w:rPr>
          <w:rFonts w:hAnsi="宋体"/>
          <w:bCs/>
          <w:sz w:val="24"/>
          <w:szCs w:val="24"/>
        </w:rPr>
        <w:t>年以上；</w:t>
      </w:r>
    </w:p>
    <w:p w:rsidR="00B67D8A" w:rsidRDefault="00B67D8A">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建立并保存基金份额持有人名册；</w:t>
      </w:r>
    </w:p>
    <w:p w:rsidR="00B67D8A" w:rsidRDefault="00B67D8A">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按规定制作相关账册并与基金管理人核对；</w:t>
      </w:r>
    </w:p>
    <w:p w:rsidR="00B67D8A" w:rsidRDefault="00B67D8A">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依据基金管理人的指令或有关规定向基金份额持有人支付基金收益和赎回款项；</w:t>
      </w:r>
    </w:p>
    <w:p w:rsidR="00B67D8A" w:rsidRDefault="00B67D8A">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依据《基金法》、基金合同及其他有关规定，召集基金份额持有人大会或配合基金管理人、基金份额持有人依法召集基金份额持有人大会；</w:t>
      </w:r>
    </w:p>
    <w:p w:rsidR="00B67D8A" w:rsidRDefault="00B67D8A">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按照法律法规和基金合同的规定监督基金管理人的投资运作；</w:t>
      </w:r>
    </w:p>
    <w:p w:rsidR="00B67D8A" w:rsidRDefault="00B67D8A">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参加基金财产清算小组，参与基金财产的保管、清理、估价、变现和分配；</w:t>
      </w:r>
    </w:p>
    <w:p w:rsidR="00B67D8A" w:rsidRDefault="00B67D8A">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面临解散、依法被撤销或者被依法宣告破产时，及时报告中国证监会和银行业监督管理机构，并通知基金管理人；</w:t>
      </w:r>
    </w:p>
    <w:p w:rsidR="00B67D8A" w:rsidRDefault="00B67D8A">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因违反基金合同导致基金财产损失时，应承担赔偿责任，其赔偿责任不因其退任而免除；</w:t>
      </w:r>
    </w:p>
    <w:p w:rsidR="00B67D8A" w:rsidRDefault="00B67D8A">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rsidR="00B67D8A" w:rsidRDefault="00B67D8A">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执行生效的基金份额持有人大会的决定；</w:t>
      </w:r>
    </w:p>
    <w:p w:rsidR="00B67D8A" w:rsidRDefault="00B67D8A">
      <w:pPr>
        <w:adjustRightInd w:val="0"/>
        <w:snapToGrid w:val="0"/>
        <w:spacing w:line="360" w:lineRule="auto"/>
        <w:ind w:firstLineChars="200" w:firstLine="480"/>
        <w:rPr>
          <w:sz w:val="24"/>
        </w:rPr>
      </w:pPr>
      <w:r>
        <w:rPr>
          <w:bCs/>
          <w:sz w:val="24"/>
        </w:rPr>
        <w:t>22</w:t>
      </w:r>
      <w:r>
        <w:rPr>
          <w:bCs/>
          <w:sz w:val="24"/>
        </w:rPr>
        <w:t>）</w:t>
      </w:r>
      <w:r>
        <w:rPr>
          <w:rFonts w:hAnsi="宋体"/>
          <w:bCs/>
          <w:sz w:val="24"/>
          <w:szCs w:val="24"/>
        </w:rPr>
        <w:t>法律法规及中国证监会规定的和基金合同约定的其他义务。</w:t>
      </w:r>
    </w:p>
    <w:p w:rsidR="00B67D8A" w:rsidRDefault="00B67D8A">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rsidR="00B67D8A" w:rsidRDefault="00B67D8A">
      <w:pPr>
        <w:adjustRightInd w:val="0"/>
        <w:snapToGrid w:val="0"/>
        <w:spacing w:line="360" w:lineRule="auto"/>
        <w:ind w:firstLineChars="200" w:firstLine="480"/>
        <w:rPr>
          <w:bCs/>
          <w:sz w:val="24"/>
          <w:szCs w:val="24"/>
        </w:rPr>
      </w:pPr>
      <w:r>
        <w:rPr>
          <w:rFonts w:hAnsi="宋体"/>
          <w:bCs/>
          <w:sz w:val="24"/>
          <w:szCs w:val="24"/>
        </w:rPr>
        <w:t>基金投资者持有本</w:t>
      </w:r>
      <w:proofErr w:type="gramStart"/>
      <w:r>
        <w:rPr>
          <w:rFonts w:hAnsi="宋体"/>
          <w:bCs/>
          <w:sz w:val="24"/>
          <w:szCs w:val="24"/>
        </w:rPr>
        <w:t>基金</w:t>
      </w:r>
      <w:bookmarkStart w:id="101" w:name="_Hlt88899909"/>
      <w:bookmarkEnd w:id="101"/>
      <w:r>
        <w:rPr>
          <w:rFonts w:hAnsi="宋体"/>
          <w:bCs/>
          <w:sz w:val="24"/>
          <w:szCs w:val="24"/>
        </w:rPr>
        <w:t>基金</w:t>
      </w:r>
      <w:proofErr w:type="gramEnd"/>
      <w:r>
        <w:rPr>
          <w:rFonts w:hAnsi="宋体"/>
          <w:bCs/>
          <w:sz w:val="24"/>
          <w:szCs w:val="24"/>
        </w:rPr>
        <w:t>份额的行为即视为对基金合同的承认和接受，基金投资者</w:t>
      </w:r>
      <w:proofErr w:type="gramStart"/>
      <w:r>
        <w:rPr>
          <w:rFonts w:hAnsi="宋体"/>
          <w:bCs/>
          <w:sz w:val="24"/>
          <w:szCs w:val="24"/>
        </w:rPr>
        <w:t>自依据</w:t>
      </w:r>
      <w:proofErr w:type="gramEnd"/>
      <w:r>
        <w:rPr>
          <w:rFonts w:hAnsi="宋体"/>
          <w:bCs/>
          <w:sz w:val="24"/>
          <w:szCs w:val="24"/>
        </w:rPr>
        <w:t>基金合同取得本基金的基金份额，即成为本基金份额持有人和基金合同的当事人，直至其不再持有本基金的基金份额。基金份额持有人作为基金合同当</w:t>
      </w:r>
      <w:r>
        <w:rPr>
          <w:rFonts w:hAnsi="宋体"/>
          <w:bCs/>
          <w:sz w:val="24"/>
          <w:szCs w:val="24"/>
        </w:rPr>
        <w:lastRenderedPageBreak/>
        <w:t>事人并不以在基金合同上书面签章或签字为必要条件。</w:t>
      </w:r>
    </w:p>
    <w:p w:rsidR="00B67D8A" w:rsidRDefault="00B67D8A">
      <w:pPr>
        <w:widowControl/>
        <w:adjustRightInd w:val="0"/>
        <w:snapToGrid w:val="0"/>
        <w:spacing w:line="360" w:lineRule="auto"/>
        <w:ind w:firstLineChars="200" w:firstLine="480"/>
        <w:outlineLvl w:val="8"/>
        <w:rPr>
          <w:bCs/>
          <w:sz w:val="24"/>
        </w:rPr>
      </w:pPr>
      <w:r>
        <w:rPr>
          <w:bCs/>
          <w:sz w:val="24"/>
        </w:rPr>
        <w:t>每份基金份额具有同等的合法权益。</w:t>
      </w:r>
    </w:p>
    <w:p w:rsidR="00B67D8A" w:rsidRDefault="00B67D8A">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w:t>
      </w:r>
      <w:bookmarkStart w:id="102" w:name="_Hlt88825668"/>
      <w:bookmarkEnd w:id="102"/>
      <w:r>
        <w:rPr>
          <w:bCs/>
          <w:sz w:val="24"/>
        </w:rPr>
        <w:t>及其他有关规定，基金份额持有人的权利包括但不限于：</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分享基金财产收益；</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参与分配清算后的剩余基金财产；</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依法申请赎回其持有的基金份额；</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按照规定要求召开基金份额持有人大会；</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出席或者委派代表出席基金份额持有人大会，对基金份额持有人大会审议事项行使表决权；</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查阅或者复制公开披露的基金信息资料；</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监督基金管理人的投资运作；</w:t>
      </w:r>
    </w:p>
    <w:p w:rsidR="00B67D8A" w:rsidRDefault="00B67D8A">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对基金管理人、基金托管人、基金销售机构损害其合法权益的行为依法提起诉讼或仲裁；</w:t>
      </w:r>
    </w:p>
    <w:p w:rsidR="00B67D8A" w:rsidRDefault="00B67D8A">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法律法规及中国证监会规定的和基金合同约定的其他权利。</w:t>
      </w:r>
    </w:p>
    <w:p w:rsidR="00B67D8A" w:rsidRDefault="00B67D8A">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）根据《基金法》、《运作办法》及其他有关规定，基金份额持有人的义务包括但不限于：</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认真阅读并遵守基金合同；</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了解所投资基金产品，了解自身风险承受能力，自行承担投资风险；</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关注基金信息披露，及时行使权利和履行义务；</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缴纳基金认购、申购、赎回款项及法律法规和基金合同所规定的费用；</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在其持有的基金份额范围内，承担基金亏损或者基金合同终止的有限责任；</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不从事任何有损基金及其他基金合同当事人合法权益的活动；</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执行生效的基金份额持有人大会的决定；</w:t>
      </w:r>
    </w:p>
    <w:p w:rsidR="00B67D8A" w:rsidRDefault="00B67D8A">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返还在基金交易过程中因任何原因获得的不当得利；</w:t>
      </w:r>
    </w:p>
    <w:p w:rsidR="00B67D8A" w:rsidRDefault="00B67D8A">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遵守基金管理人、基金托管人、销售机构和登记机构的相关交易及业务规则；</w:t>
      </w:r>
    </w:p>
    <w:p w:rsidR="00B67D8A" w:rsidRDefault="00B67D8A">
      <w:pPr>
        <w:spacing w:line="360" w:lineRule="auto"/>
        <w:ind w:firstLineChars="200" w:firstLine="480"/>
        <w:rPr>
          <w:bCs/>
          <w:sz w:val="24"/>
        </w:rPr>
      </w:pPr>
      <w:r>
        <w:rPr>
          <w:bCs/>
          <w:sz w:val="24"/>
        </w:rPr>
        <w:t>10</w:t>
      </w:r>
      <w:r>
        <w:rPr>
          <w:bCs/>
          <w:sz w:val="24"/>
        </w:rPr>
        <w:t>）</w:t>
      </w:r>
      <w:r>
        <w:rPr>
          <w:rFonts w:hAnsi="宋体"/>
          <w:bCs/>
          <w:sz w:val="24"/>
          <w:szCs w:val="24"/>
        </w:rPr>
        <w:t>提供基金管理人和监管机构依法要求提供的信息，以及不时的更新和补充，并保证其真实性；</w:t>
      </w:r>
    </w:p>
    <w:p w:rsidR="00B67D8A" w:rsidRDefault="00B67D8A">
      <w:pPr>
        <w:spacing w:line="360" w:lineRule="auto"/>
        <w:ind w:firstLineChars="200" w:firstLine="480"/>
        <w:rPr>
          <w:sz w:val="24"/>
        </w:rPr>
      </w:pPr>
      <w:r>
        <w:rPr>
          <w:bCs/>
          <w:sz w:val="24"/>
        </w:rPr>
        <w:lastRenderedPageBreak/>
        <w:t>11</w:t>
      </w:r>
      <w:r>
        <w:rPr>
          <w:bCs/>
          <w:sz w:val="24"/>
        </w:rPr>
        <w:t>）</w:t>
      </w:r>
      <w:r>
        <w:rPr>
          <w:rFonts w:hAnsi="宋体"/>
          <w:bCs/>
          <w:sz w:val="24"/>
          <w:szCs w:val="24"/>
        </w:rPr>
        <w:t>法律法规及中国证监会规定的和基金合同约定的其他义务。</w:t>
      </w:r>
    </w:p>
    <w:p w:rsidR="00B67D8A" w:rsidRDefault="00B67D8A">
      <w:pPr>
        <w:widowControl/>
        <w:adjustRightInd w:val="0"/>
        <w:snapToGrid w:val="0"/>
        <w:spacing w:line="360" w:lineRule="auto"/>
        <w:ind w:firstLineChars="200" w:firstLine="482"/>
        <w:outlineLvl w:val="1"/>
        <w:rPr>
          <w:b/>
          <w:kern w:val="0"/>
          <w:sz w:val="24"/>
        </w:rPr>
      </w:pPr>
      <w:r>
        <w:rPr>
          <w:b/>
          <w:kern w:val="0"/>
          <w:sz w:val="24"/>
        </w:rPr>
        <w:t>（二）基金份额持有人大会</w:t>
      </w:r>
      <w:r>
        <w:rPr>
          <w:b/>
          <w:kern w:val="0"/>
          <w:sz w:val="24"/>
        </w:rPr>
        <w:t xml:space="preserve"> </w:t>
      </w:r>
    </w:p>
    <w:p w:rsidR="00B67D8A" w:rsidRDefault="00B67D8A">
      <w:pPr>
        <w:widowControl/>
        <w:adjustRightInd w:val="0"/>
        <w:snapToGrid w:val="0"/>
        <w:spacing w:line="360" w:lineRule="auto"/>
        <w:ind w:firstLineChars="200" w:firstLine="480"/>
        <w:outlineLvl w:val="8"/>
        <w:rPr>
          <w:sz w:val="24"/>
        </w:rPr>
      </w:pPr>
      <w:r>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B67D8A" w:rsidRDefault="00B67D8A">
      <w:pPr>
        <w:widowControl/>
        <w:adjustRightInd w:val="0"/>
        <w:snapToGrid w:val="0"/>
        <w:spacing w:line="360" w:lineRule="auto"/>
        <w:ind w:firstLineChars="200" w:firstLine="480"/>
        <w:outlineLvl w:val="8"/>
        <w:rPr>
          <w:sz w:val="24"/>
        </w:rPr>
      </w:pPr>
      <w:r>
        <w:rPr>
          <w:sz w:val="24"/>
        </w:rPr>
        <w:t>1</w:t>
      </w:r>
      <w:r>
        <w:rPr>
          <w:sz w:val="24"/>
        </w:rPr>
        <w:t>、召开事由</w:t>
      </w:r>
    </w:p>
    <w:p w:rsidR="00B67D8A" w:rsidRDefault="00B67D8A">
      <w:pPr>
        <w:adjustRightInd w:val="0"/>
        <w:snapToGrid w:val="0"/>
        <w:spacing w:line="360" w:lineRule="auto"/>
        <w:ind w:firstLineChars="200" w:firstLine="480"/>
        <w:rPr>
          <w:bCs/>
          <w:sz w:val="24"/>
        </w:rPr>
      </w:pPr>
      <w:r>
        <w:rPr>
          <w:bCs/>
          <w:sz w:val="24"/>
        </w:rPr>
        <w:t>（</w:t>
      </w:r>
      <w:r>
        <w:rPr>
          <w:bCs/>
          <w:sz w:val="24"/>
        </w:rPr>
        <w:t>1</w:t>
      </w:r>
      <w:r>
        <w:rPr>
          <w:bCs/>
          <w:sz w:val="24"/>
        </w:rPr>
        <w:t>）当出现或需要决定下列事由之一的</w:t>
      </w:r>
      <w:bookmarkStart w:id="103" w:name="_Hlt88825574"/>
      <w:bookmarkEnd w:id="103"/>
      <w:r>
        <w:rPr>
          <w:bCs/>
          <w:sz w:val="24"/>
        </w:rPr>
        <w:t>，应当召开基金份额持有人大会：</w:t>
      </w:r>
      <w:bookmarkStart w:id="104" w:name="_Hlt94543071"/>
      <w:bookmarkEnd w:id="104"/>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终止基金合同；</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更换基金管理人；</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更换基金托管人；</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转换基金运作方式；</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提高基金管理人、基金托管人的报酬标准；</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变更基金类别；</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本基金与其他基金的合并；</w:t>
      </w:r>
    </w:p>
    <w:p w:rsidR="00B67D8A" w:rsidRDefault="00B67D8A">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变更基金投资目标、范围或策略；</w:t>
      </w:r>
    </w:p>
    <w:p w:rsidR="00B67D8A" w:rsidRDefault="00B67D8A">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变更基金份额持有人大会程序；</w:t>
      </w:r>
    </w:p>
    <w:p w:rsidR="00B67D8A" w:rsidRDefault="00B67D8A">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基金管理人或基金托管人要求召开基金份额持有人大会；</w:t>
      </w:r>
    </w:p>
    <w:p w:rsidR="00B67D8A" w:rsidRDefault="00B67D8A">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单独或合计持有本基金总份额</w:t>
      </w:r>
      <w:r>
        <w:rPr>
          <w:bCs/>
          <w:sz w:val="24"/>
          <w:szCs w:val="24"/>
        </w:rPr>
        <w:t>10%</w:t>
      </w:r>
      <w:r>
        <w:rPr>
          <w:rFonts w:hAnsi="宋体"/>
          <w:bCs/>
          <w:sz w:val="24"/>
          <w:szCs w:val="24"/>
        </w:rPr>
        <w:t>以上（含</w:t>
      </w:r>
      <w:r>
        <w:rPr>
          <w:bCs/>
          <w:sz w:val="24"/>
          <w:szCs w:val="24"/>
        </w:rPr>
        <w:t>10%</w:t>
      </w:r>
      <w:r>
        <w:rPr>
          <w:rFonts w:hAnsi="宋体"/>
          <w:bCs/>
          <w:sz w:val="24"/>
          <w:szCs w:val="24"/>
        </w:rPr>
        <w:t>）基金份额的基金份额持有人（以基金管理人收到提议当日的基金份额计算，下同）就同一事项书面要求召开基金份额持有人大会；</w:t>
      </w:r>
    </w:p>
    <w:p w:rsidR="00B67D8A" w:rsidRDefault="00B67D8A">
      <w:pPr>
        <w:adjustRightInd w:val="0"/>
        <w:snapToGrid w:val="0"/>
        <w:spacing w:line="360" w:lineRule="auto"/>
        <w:ind w:firstLineChars="200" w:firstLine="480"/>
        <w:rPr>
          <w:sz w:val="24"/>
        </w:rPr>
      </w:pPr>
      <w:r>
        <w:rPr>
          <w:bCs/>
          <w:sz w:val="24"/>
        </w:rPr>
        <w:t>12</w:t>
      </w:r>
      <w:r>
        <w:rPr>
          <w:bCs/>
          <w:sz w:val="24"/>
        </w:rPr>
        <w:t>）</w:t>
      </w:r>
      <w:r>
        <w:rPr>
          <w:rFonts w:hAnsi="宋体"/>
          <w:bCs/>
          <w:sz w:val="24"/>
          <w:szCs w:val="24"/>
        </w:rPr>
        <w:t>对基金当事人权利和义务产生重大影响的其他事项；</w:t>
      </w:r>
    </w:p>
    <w:p w:rsidR="00B67D8A" w:rsidRDefault="00B67D8A">
      <w:pPr>
        <w:adjustRightInd w:val="0"/>
        <w:snapToGrid w:val="0"/>
        <w:spacing w:line="360" w:lineRule="auto"/>
        <w:ind w:firstLineChars="200" w:firstLine="480"/>
        <w:rPr>
          <w:bCs/>
          <w:sz w:val="24"/>
        </w:rPr>
      </w:pPr>
      <w:r>
        <w:rPr>
          <w:sz w:val="24"/>
        </w:rPr>
        <w:t>13</w:t>
      </w:r>
      <w:r>
        <w:rPr>
          <w:sz w:val="24"/>
        </w:rPr>
        <w:t>）</w:t>
      </w:r>
      <w:r>
        <w:rPr>
          <w:rFonts w:hAnsi="宋体"/>
          <w:bCs/>
          <w:sz w:val="24"/>
          <w:szCs w:val="24"/>
        </w:rPr>
        <w:t>法律法规、基金合同或中国证监会规定的其他应当召开基金份额持有人大会的事项。</w:t>
      </w:r>
    </w:p>
    <w:p w:rsidR="00B67D8A" w:rsidRDefault="00B67D8A">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调低基金管理费、基金托管费和其他应由本基金或基金份额持有人承担的费用；</w:t>
      </w:r>
    </w:p>
    <w:p w:rsidR="00B67D8A" w:rsidRDefault="00B67D8A">
      <w:pPr>
        <w:adjustRightInd w:val="0"/>
        <w:snapToGrid w:val="0"/>
        <w:spacing w:line="360" w:lineRule="auto"/>
        <w:ind w:firstLineChars="200" w:firstLine="480"/>
        <w:rPr>
          <w:sz w:val="24"/>
        </w:rPr>
      </w:pPr>
      <w:r>
        <w:rPr>
          <w:bCs/>
          <w:sz w:val="24"/>
        </w:rPr>
        <w:t>2</w:t>
      </w:r>
      <w:r>
        <w:rPr>
          <w:bCs/>
          <w:sz w:val="24"/>
        </w:rPr>
        <w:t>）</w:t>
      </w:r>
      <w:r>
        <w:rPr>
          <w:rFonts w:hAnsi="宋体"/>
          <w:bCs/>
          <w:sz w:val="24"/>
          <w:szCs w:val="24"/>
        </w:rPr>
        <w:t>法律法规要求增加的基金费用的收取；</w:t>
      </w:r>
    </w:p>
    <w:p w:rsidR="00B67D8A" w:rsidRDefault="00B67D8A">
      <w:pPr>
        <w:adjustRightInd w:val="0"/>
        <w:snapToGrid w:val="0"/>
        <w:spacing w:line="360" w:lineRule="auto"/>
        <w:ind w:firstLineChars="200" w:firstLine="480"/>
        <w:rPr>
          <w:sz w:val="24"/>
        </w:rPr>
      </w:pPr>
      <w:r>
        <w:rPr>
          <w:sz w:val="24"/>
        </w:rPr>
        <w:lastRenderedPageBreak/>
        <w:t>3</w:t>
      </w:r>
      <w:r>
        <w:rPr>
          <w:sz w:val="24"/>
        </w:rPr>
        <w:t>）</w:t>
      </w:r>
      <w:r>
        <w:rPr>
          <w:rFonts w:hAnsi="宋体"/>
          <w:bCs/>
          <w:sz w:val="24"/>
          <w:szCs w:val="24"/>
        </w:rPr>
        <w:t>在法律法规和基金合同规定的范围内调整本基金的申购费率、调低赎回费率、变更或增加收费方式；</w:t>
      </w:r>
    </w:p>
    <w:p w:rsidR="00B67D8A" w:rsidRDefault="00B67D8A">
      <w:pPr>
        <w:adjustRightInd w:val="0"/>
        <w:snapToGrid w:val="0"/>
        <w:spacing w:line="440" w:lineRule="exact"/>
        <w:ind w:firstLineChars="200" w:firstLine="480"/>
        <w:rPr>
          <w:sz w:val="24"/>
        </w:rPr>
      </w:pPr>
      <w:r>
        <w:rPr>
          <w:sz w:val="24"/>
        </w:rPr>
        <w:t>4</w:t>
      </w:r>
      <w:r>
        <w:rPr>
          <w:sz w:val="24"/>
        </w:rPr>
        <w:t>）</w:t>
      </w:r>
      <w:proofErr w:type="gramStart"/>
      <w:r>
        <w:rPr>
          <w:rFonts w:hAnsi="宋体"/>
          <w:bCs/>
          <w:sz w:val="24"/>
          <w:szCs w:val="24"/>
        </w:rPr>
        <w:t>因相应</w:t>
      </w:r>
      <w:proofErr w:type="gramEnd"/>
      <w:r>
        <w:rPr>
          <w:rFonts w:hAnsi="宋体"/>
          <w:bCs/>
          <w:sz w:val="24"/>
          <w:szCs w:val="24"/>
        </w:rPr>
        <w:t>的法律法规发生变动而应当对基金合同进行修改；</w:t>
      </w:r>
    </w:p>
    <w:p w:rsidR="00B67D8A" w:rsidRDefault="00B67D8A">
      <w:pPr>
        <w:adjustRightInd w:val="0"/>
        <w:snapToGrid w:val="0"/>
        <w:spacing w:line="440" w:lineRule="exact"/>
        <w:ind w:firstLineChars="200" w:firstLine="480"/>
        <w:rPr>
          <w:bCs/>
          <w:sz w:val="24"/>
        </w:rPr>
      </w:pPr>
      <w:r>
        <w:rPr>
          <w:sz w:val="24"/>
        </w:rPr>
        <w:t>5</w:t>
      </w:r>
      <w:r>
        <w:rPr>
          <w:sz w:val="24"/>
        </w:rPr>
        <w:t>）</w:t>
      </w:r>
      <w:r>
        <w:rPr>
          <w:rFonts w:hAnsi="宋体"/>
          <w:bCs/>
          <w:sz w:val="24"/>
          <w:szCs w:val="24"/>
        </w:rPr>
        <w:t>对基金合同的修改对基金份额持有人利益无实质性不利影响或修改不涉及基金合同当事人权利义务关系发生重大变化；</w:t>
      </w:r>
    </w:p>
    <w:p w:rsidR="00B67D8A" w:rsidRDefault="00B67D8A">
      <w:pPr>
        <w:adjustRightInd w:val="0"/>
        <w:snapToGrid w:val="0"/>
        <w:spacing w:line="440" w:lineRule="exact"/>
        <w:ind w:firstLineChars="200" w:firstLine="480"/>
        <w:rPr>
          <w:bCs/>
          <w:sz w:val="24"/>
        </w:rPr>
      </w:pPr>
      <w:r>
        <w:rPr>
          <w:bCs/>
          <w:sz w:val="24"/>
        </w:rPr>
        <w:t>6</w:t>
      </w:r>
      <w:r>
        <w:rPr>
          <w:bCs/>
          <w:sz w:val="24"/>
        </w:rPr>
        <w:t>）</w:t>
      </w:r>
      <w:r>
        <w:rPr>
          <w:rFonts w:hAnsi="宋体" w:hint="eastAsia"/>
          <w:bCs/>
          <w:sz w:val="24"/>
        </w:rPr>
        <w:t>基金管理人根据基金实际运作情况和市场环境的变化，</w:t>
      </w:r>
      <w:proofErr w:type="gramStart"/>
      <w:r>
        <w:rPr>
          <w:rFonts w:hAnsi="宋体" w:hint="eastAsia"/>
          <w:bCs/>
          <w:sz w:val="24"/>
        </w:rPr>
        <w:t>对年化现金</w:t>
      </w:r>
      <w:proofErr w:type="gramEnd"/>
      <w:r>
        <w:rPr>
          <w:rFonts w:hAnsi="宋体" w:hint="eastAsia"/>
          <w:bCs/>
          <w:sz w:val="24"/>
        </w:rPr>
        <w:t>支付比率进行调整；</w:t>
      </w:r>
    </w:p>
    <w:p w:rsidR="00B67D8A" w:rsidRDefault="00B67D8A">
      <w:pPr>
        <w:adjustRightInd w:val="0"/>
        <w:snapToGrid w:val="0"/>
        <w:spacing w:line="420" w:lineRule="exact"/>
        <w:ind w:firstLineChars="200" w:firstLine="480"/>
        <w:rPr>
          <w:bCs/>
          <w:sz w:val="24"/>
        </w:rPr>
      </w:pPr>
      <w:r>
        <w:rPr>
          <w:rFonts w:hAnsi="宋体" w:hint="eastAsia"/>
          <w:bCs/>
          <w:sz w:val="24"/>
          <w:szCs w:val="24"/>
        </w:rPr>
        <w:t>7</w:t>
      </w:r>
      <w:r>
        <w:rPr>
          <w:rFonts w:hAnsi="宋体" w:hint="eastAsia"/>
          <w:bCs/>
          <w:sz w:val="24"/>
          <w:szCs w:val="24"/>
        </w:rPr>
        <w:t>）</w:t>
      </w:r>
      <w:r>
        <w:rPr>
          <w:rFonts w:hAnsi="宋体"/>
          <w:bCs/>
          <w:sz w:val="24"/>
          <w:szCs w:val="24"/>
        </w:rPr>
        <w:t>按照法律法规和基金合同规定不需召开基金份额持有人大会的以外的其他情形。</w:t>
      </w:r>
    </w:p>
    <w:p w:rsidR="00B67D8A" w:rsidRDefault="00B67D8A">
      <w:pPr>
        <w:widowControl/>
        <w:adjustRightInd w:val="0"/>
        <w:snapToGrid w:val="0"/>
        <w:spacing w:line="360" w:lineRule="auto"/>
        <w:ind w:firstLineChars="200" w:firstLine="480"/>
        <w:outlineLvl w:val="8"/>
        <w:rPr>
          <w:sz w:val="24"/>
        </w:rPr>
      </w:pPr>
      <w:r>
        <w:rPr>
          <w:sz w:val="24"/>
        </w:rPr>
        <w:t>2</w:t>
      </w:r>
      <w:r>
        <w:rPr>
          <w:sz w:val="24"/>
        </w:rPr>
        <w:t>、会议召集人及召集方式</w:t>
      </w:r>
    </w:p>
    <w:p w:rsidR="00B67D8A" w:rsidRDefault="00B67D8A">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除法律法规规定或基金合同另有约定外，基金份额持有人大会由基金管理人召集；</w:t>
      </w:r>
    </w:p>
    <w:p w:rsidR="00B67D8A" w:rsidRDefault="00B67D8A">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基金管理人未按规定召集或不能召集时，由基金托管人召集；</w:t>
      </w:r>
    </w:p>
    <w:p w:rsidR="00B67D8A" w:rsidRDefault="00B67D8A">
      <w:pPr>
        <w:adjustRightInd w:val="0"/>
        <w:snapToGrid w:val="0"/>
        <w:spacing w:line="360" w:lineRule="auto"/>
        <w:ind w:firstLineChars="200" w:firstLine="480"/>
        <w:rPr>
          <w:bCs/>
          <w:sz w:val="24"/>
        </w:rPr>
      </w:pPr>
      <w:r>
        <w:rPr>
          <w:bCs/>
          <w:sz w:val="24"/>
        </w:rPr>
        <w:t>（</w:t>
      </w:r>
      <w:r>
        <w:rPr>
          <w:bCs/>
          <w:sz w:val="24"/>
        </w:rPr>
        <w:t>3</w:t>
      </w:r>
      <w:r>
        <w:rPr>
          <w:bCs/>
          <w:sz w:val="24"/>
        </w:rPr>
        <w:t>）</w:t>
      </w:r>
      <w:r>
        <w:rPr>
          <w:rFonts w:hAnsi="宋体"/>
          <w:bCs/>
          <w:sz w:val="24"/>
          <w:szCs w:val="24"/>
        </w:rPr>
        <w:t>基金托管人认为有必要召开基金份额持有人大会的，应当向基金管理人提出书面提议。基金管理人应当自收到书面提议之日起</w:t>
      </w:r>
      <w:r>
        <w:rPr>
          <w:bCs/>
          <w:sz w:val="24"/>
          <w:szCs w:val="24"/>
        </w:rPr>
        <w:t>10</w:t>
      </w:r>
      <w:r>
        <w:rPr>
          <w:rFonts w:hAnsi="宋体"/>
          <w:bCs/>
          <w:sz w:val="24"/>
          <w:szCs w:val="24"/>
        </w:rPr>
        <w:t>日内决定是否召集，并书面告知基金托管人。基金管理人决定召集的，应当自出具书面决定之日起</w:t>
      </w:r>
      <w:r>
        <w:rPr>
          <w:bCs/>
          <w:sz w:val="24"/>
          <w:szCs w:val="24"/>
        </w:rPr>
        <w:t>60</w:t>
      </w:r>
      <w:r>
        <w:rPr>
          <w:rFonts w:hAnsi="宋体"/>
          <w:bCs/>
          <w:sz w:val="24"/>
          <w:szCs w:val="24"/>
        </w:rPr>
        <w:t>日内召开；基金管理人决定不召集，基金托管人仍认为有必要召开的，应当由基金托管人自行召集。</w:t>
      </w:r>
    </w:p>
    <w:p w:rsidR="00B67D8A" w:rsidRDefault="00B67D8A">
      <w:pPr>
        <w:adjustRightInd w:val="0"/>
        <w:snapToGrid w:val="0"/>
        <w:spacing w:line="360" w:lineRule="auto"/>
        <w:ind w:firstLineChars="200" w:firstLine="480"/>
        <w:rPr>
          <w:bCs/>
          <w:sz w:val="24"/>
        </w:rPr>
      </w:pPr>
      <w:r>
        <w:rPr>
          <w:bCs/>
          <w:sz w:val="24"/>
        </w:rPr>
        <w:t>（</w:t>
      </w:r>
      <w:r>
        <w:rPr>
          <w:bCs/>
          <w:sz w:val="24"/>
        </w:rPr>
        <w:t>4</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Ansi="宋体"/>
          <w:bCs/>
          <w:sz w:val="24"/>
          <w:szCs w:val="24"/>
        </w:rPr>
        <w:t>日内决定是否召集，并书面告知提出提议的基金份额持有人代表和基金托管人。基金管理人决定召集的，应当自出具书面决定之日起</w:t>
      </w:r>
      <w:r>
        <w:rPr>
          <w:bCs/>
          <w:sz w:val="24"/>
          <w:szCs w:val="24"/>
        </w:rPr>
        <w:t>60</w:t>
      </w:r>
      <w:r>
        <w:rPr>
          <w:rFonts w:hAnsi="宋体"/>
          <w:bCs/>
          <w:sz w:val="24"/>
          <w:szCs w:val="24"/>
        </w:rPr>
        <w:t>日内召开；基金管理人决定不召集，代表基金份额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）的基金份额持有人仍认为有必要召开的，应当向基金托管人提出书面提议。基金托管人应当自收到书面提议之日起</w:t>
      </w:r>
      <w:r>
        <w:rPr>
          <w:bCs/>
          <w:sz w:val="24"/>
          <w:szCs w:val="24"/>
        </w:rPr>
        <w:t>10</w:t>
      </w:r>
      <w:r>
        <w:rPr>
          <w:rFonts w:hAnsi="宋体"/>
          <w:bCs/>
          <w:sz w:val="24"/>
          <w:szCs w:val="24"/>
        </w:rPr>
        <w:t>日内决定是否召集，并书面告知提出提议的基金份额持有人代表和基金管理人；基金托管人决定召集的，应当自出具书面决定之日起</w:t>
      </w:r>
      <w:r>
        <w:rPr>
          <w:bCs/>
          <w:sz w:val="24"/>
          <w:szCs w:val="24"/>
        </w:rPr>
        <w:t>60</w:t>
      </w:r>
      <w:r>
        <w:rPr>
          <w:rFonts w:hAnsi="宋体"/>
          <w:bCs/>
          <w:sz w:val="24"/>
          <w:szCs w:val="24"/>
        </w:rPr>
        <w:t>日内召开。</w:t>
      </w:r>
    </w:p>
    <w:p w:rsidR="00B67D8A" w:rsidRDefault="00B67D8A">
      <w:pPr>
        <w:adjustRightInd w:val="0"/>
        <w:snapToGrid w:val="0"/>
        <w:spacing w:line="360" w:lineRule="auto"/>
        <w:ind w:firstLineChars="200" w:firstLine="480"/>
        <w:rPr>
          <w:bCs/>
          <w:sz w:val="24"/>
        </w:rPr>
      </w:pPr>
      <w:r>
        <w:rPr>
          <w:bCs/>
          <w:sz w:val="24"/>
        </w:rPr>
        <w:t>（</w:t>
      </w:r>
      <w:r>
        <w:rPr>
          <w:bCs/>
          <w:sz w:val="24"/>
        </w:rPr>
        <w:t>5</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）的基金份额持有人就同一事项要求召开基金份额持有人大会，而基金管理人、基金托管人都不召集的，单独或合计代表</w:t>
      </w:r>
      <w:r>
        <w:rPr>
          <w:rFonts w:hAnsi="宋体"/>
          <w:bCs/>
          <w:sz w:val="24"/>
          <w:szCs w:val="24"/>
        </w:rPr>
        <w:lastRenderedPageBreak/>
        <w:t>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）的基金份额持有人有权自行召集，并至少提前</w:t>
      </w:r>
      <w:r>
        <w:rPr>
          <w:bCs/>
          <w:sz w:val="24"/>
          <w:szCs w:val="24"/>
        </w:rPr>
        <w:t>30</w:t>
      </w:r>
      <w:r>
        <w:rPr>
          <w:rFonts w:hAnsi="宋体"/>
          <w:bCs/>
          <w:sz w:val="24"/>
          <w:szCs w:val="24"/>
        </w:rPr>
        <w:t>日报中国证监会备案。基金份额持有人依法自行召集基金份额持有人大会的，基金管理人、基金托管人应当配合，不得阻碍、干扰。</w:t>
      </w:r>
    </w:p>
    <w:p w:rsidR="00B67D8A" w:rsidRDefault="00B67D8A">
      <w:pPr>
        <w:adjustRightInd w:val="0"/>
        <w:snapToGrid w:val="0"/>
        <w:spacing w:line="360" w:lineRule="auto"/>
        <w:ind w:firstLineChars="200" w:firstLine="480"/>
        <w:rPr>
          <w:sz w:val="24"/>
        </w:rPr>
      </w:pPr>
      <w:r>
        <w:rPr>
          <w:bCs/>
          <w:sz w:val="24"/>
        </w:rPr>
        <w:t>（</w:t>
      </w:r>
      <w:r>
        <w:rPr>
          <w:bCs/>
          <w:sz w:val="24"/>
        </w:rPr>
        <w:t>6</w:t>
      </w:r>
      <w:r>
        <w:rPr>
          <w:bCs/>
          <w:sz w:val="24"/>
        </w:rPr>
        <w:t>）</w:t>
      </w:r>
      <w:r>
        <w:rPr>
          <w:rFonts w:hAnsi="宋体"/>
          <w:bCs/>
          <w:sz w:val="24"/>
          <w:szCs w:val="24"/>
        </w:rPr>
        <w:t>基金份额持有人会议的召集人负责选择确定开会时间、地点、方式和权益登记日。</w:t>
      </w:r>
    </w:p>
    <w:p w:rsidR="00B67D8A" w:rsidRDefault="00B67D8A">
      <w:pPr>
        <w:widowControl/>
        <w:adjustRightInd w:val="0"/>
        <w:snapToGrid w:val="0"/>
        <w:spacing w:line="360" w:lineRule="auto"/>
        <w:ind w:firstLineChars="200" w:firstLine="480"/>
        <w:outlineLvl w:val="8"/>
        <w:rPr>
          <w:sz w:val="24"/>
        </w:rPr>
      </w:pPr>
      <w:r>
        <w:rPr>
          <w:sz w:val="24"/>
        </w:rPr>
        <w:t>3</w:t>
      </w:r>
      <w:r>
        <w:rPr>
          <w:sz w:val="24"/>
        </w:rPr>
        <w:t>、召开基金份额持有人大会的通知时间、通知内容、通知方式</w:t>
      </w:r>
    </w:p>
    <w:p w:rsidR="00B67D8A" w:rsidRDefault="00B67D8A">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召开基金份额持有人大会，召集人应于会议召开前</w:t>
      </w:r>
      <w:r>
        <w:rPr>
          <w:bCs/>
          <w:sz w:val="24"/>
          <w:szCs w:val="24"/>
        </w:rPr>
        <w:t>30</w:t>
      </w:r>
      <w:r>
        <w:rPr>
          <w:rFonts w:hAnsi="宋体"/>
          <w:bCs/>
          <w:sz w:val="24"/>
          <w:szCs w:val="24"/>
        </w:rPr>
        <w:t>日，在指定媒体公告。基金份额持有人大会通知应至少载明以下内容：</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会议召开的时间、地点和会议形式；</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会议</w:t>
      </w:r>
      <w:proofErr w:type="gramStart"/>
      <w:r>
        <w:rPr>
          <w:rFonts w:hAnsi="宋体"/>
          <w:bCs/>
          <w:sz w:val="24"/>
          <w:szCs w:val="24"/>
        </w:rPr>
        <w:t>拟审议</w:t>
      </w:r>
      <w:proofErr w:type="gramEnd"/>
      <w:r>
        <w:rPr>
          <w:rFonts w:hAnsi="宋体"/>
          <w:bCs/>
          <w:sz w:val="24"/>
          <w:szCs w:val="24"/>
        </w:rPr>
        <w:t>的事项、议事程序和表决方式；</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有权出席基金份额持有人大会的基金份额持有人的权益登记日；</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授权委托证明的内容要求（包括但不限于代理人身份，代理权限和代理有效期限等）、送达时间和地点</w:t>
      </w:r>
      <w:r>
        <w:rPr>
          <w:rFonts w:hint="eastAsia"/>
          <w:bCs/>
          <w:sz w:val="24"/>
          <w:szCs w:val="24"/>
        </w:rPr>
        <w:t>；</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会务常设联系人姓名及联系电话；</w:t>
      </w:r>
    </w:p>
    <w:p w:rsidR="00B67D8A" w:rsidRDefault="00B67D8A">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出席会议者必须准备的文件和必须履行的手续；</w:t>
      </w:r>
    </w:p>
    <w:p w:rsidR="00B67D8A" w:rsidRDefault="00B67D8A">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召集人需要通知的其他事项。</w:t>
      </w:r>
    </w:p>
    <w:p w:rsidR="00B67D8A" w:rsidRDefault="00B67D8A">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67D8A" w:rsidRDefault="00B67D8A">
      <w:pPr>
        <w:widowControl/>
        <w:adjustRightInd w:val="0"/>
        <w:snapToGrid w:val="0"/>
        <w:spacing w:line="360" w:lineRule="auto"/>
        <w:ind w:firstLineChars="200" w:firstLine="480"/>
        <w:outlineLvl w:val="8"/>
        <w:rPr>
          <w:sz w:val="24"/>
        </w:rPr>
      </w:pPr>
      <w:r>
        <w:rPr>
          <w:bCs/>
          <w:sz w:val="24"/>
        </w:rPr>
        <w:t>（</w:t>
      </w:r>
      <w:r>
        <w:rPr>
          <w:bCs/>
          <w:sz w:val="24"/>
        </w:rPr>
        <w:t>3</w:t>
      </w:r>
      <w:r>
        <w:rPr>
          <w:bCs/>
          <w:sz w:val="24"/>
        </w:rPr>
        <w:t>）</w:t>
      </w:r>
      <w:r>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Ansi="宋体"/>
          <w:bCs/>
          <w:sz w:val="24"/>
          <w:szCs w:val="24"/>
        </w:rPr>
        <w:t>拒不派</w:t>
      </w:r>
      <w:proofErr w:type="gramEnd"/>
      <w:r>
        <w:rPr>
          <w:rFonts w:hAnsi="宋体"/>
          <w:bCs/>
          <w:sz w:val="24"/>
          <w:szCs w:val="24"/>
        </w:rPr>
        <w:t>代表对书面表决意见的计票进行监督的，不影响表决意见的计票效力。</w:t>
      </w:r>
    </w:p>
    <w:p w:rsidR="00B67D8A" w:rsidRDefault="00B67D8A">
      <w:pPr>
        <w:widowControl/>
        <w:adjustRightInd w:val="0"/>
        <w:snapToGrid w:val="0"/>
        <w:spacing w:line="360" w:lineRule="auto"/>
        <w:ind w:firstLineChars="200" w:firstLine="480"/>
        <w:outlineLvl w:val="8"/>
        <w:rPr>
          <w:sz w:val="24"/>
        </w:rPr>
      </w:pPr>
      <w:r>
        <w:rPr>
          <w:sz w:val="24"/>
        </w:rPr>
        <w:t>4</w:t>
      </w:r>
      <w:r>
        <w:rPr>
          <w:sz w:val="24"/>
        </w:rPr>
        <w:t>、基金份额持有人出席会议的方式</w:t>
      </w:r>
    </w:p>
    <w:p w:rsidR="00B67D8A" w:rsidRDefault="00B67D8A">
      <w:pPr>
        <w:adjustRightInd w:val="0"/>
        <w:snapToGrid w:val="0"/>
        <w:spacing w:line="360" w:lineRule="auto"/>
        <w:ind w:firstLineChars="200" w:firstLine="480"/>
        <w:rPr>
          <w:bCs/>
          <w:sz w:val="24"/>
        </w:rPr>
      </w:pPr>
      <w:r>
        <w:rPr>
          <w:rFonts w:hAnsi="宋体"/>
          <w:bCs/>
          <w:sz w:val="24"/>
          <w:szCs w:val="24"/>
        </w:rPr>
        <w:t>基金份额持有人大会可通过现场开会方式、通讯开会方式</w:t>
      </w:r>
      <w:r>
        <w:rPr>
          <w:rFonts w:hAnsi="宋体"/>
          <w:sz w:val="24"/>
          <w:szCs w:val="24"/>
        </w:rPr>
        <w:t>或法律法规和监管机关允许的其他方式</w:t>
      </w:r>
      <w:r>
        <w:rPr>
          <w:rFonts w:hAnsi="宋体"/>
          <w:bCs/>
          <w:sz w:val="24"/>
          <w:szCs w:val="24"/>
        </w:rPr>
        <w:t>召开，会议的召开方式由会议召集人确定。</w:t>
      </w:r>
    </w:p>
    <w:p w:rsidR="00B67D8A" w:rsidRDefault="00B67D8A">
      <w:pPr>
        <w:adjustRightInd w:val="0"/>
        <w:snapToGrid w:val="0"/>
        <w:spacing w:line="360" w:lineRule="auto"/>
        <w:ind w:firstLineChars="200" w:firstLine="480"/>
        <w:rPr>
          <w:bCs/>
          <w:sz w:val="24"/>
        </w:rPr>
      </w:pPr>
      <w:r>
        <w:rPr>
          <w:bCs/>
          <w:sz w:val="24"/>
        </w:rPr>
        <w:lastRenderedPageBreak/>
        <w:t>（</w:t>
      </w:r>
      <w:r>
        <w:rPr>
          <w:bCs/>
          <w:sz w:val="24"/>
        </w:rPr>
        <w:t>1</w:t>
      </w:r>
      <w:r>
        <w:rPr>
          <w:bCs/>
          <w:sz w:val="24"/>
        </w:rPr>
        <w:t>）</w:t>
      </w:r>
      <w:r>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经核对，汇总到会者出示的在权益登记日持有基金份额的凭证显示，有效的基金份额不少于本基金在权益登记日基金总份额的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rsidR="00B67D8A" w:rsidRDefault="00B67D8A">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通讯开会。通讯开会系指基金份额持有人将其对表决事项的投票以书面形式在表决截至日以前送达至召集人指定的地址。通讯开会应以书面方式进行表决。</w:t>
      </w:r>
    </w:p>
    <w:p w:rsidR="00B67D8A" w:rsidRDefault="00B67D8A">
      <w:pPr>
        <w:adjustRightInd w:val="0"/>
        <w:snapToGrid w:val="0"/>
        <w:spacing w:line="360" w:lineRule="auto"/>
        <w:ind w:firstLineChars="200" w:firstLine="480"/>
        <w:rPr>
          <w:bCs/>
          <w:sz w:val="24"/>
        </w:rPr>
      </w:pPr>
      <w:r>
        <w:rPr>
          <w:rFonts w:hAnsi="宋体"/>
          <w:bCs/>
          <w:sz w:val="24"/>
          <w:szCs w:val="24"/>
        </w:rPr>
        <w:t>在同时符合以下条件时，通讯开会的方式视为有效：</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会议召集人按基金合同约定公布会议通知后，在</w:t>
      </w:r>
      <w:r>
        <w:rPr>
          <w:bCs/>
          <w:sz w:val="24"/>
          <w:szCs w:val="24"/>
        </w:rPr>
        <w:t>2</w:t>
      </w:r>
      <w:r>
        <w:rPr>
          <w:rFonts w:hAnsi="宋体"/>
          <w:bCs/>
          <w:sz w:val="24"/>
          <w:szCs w:val="24"/>
        </w:rPr>
        <w:t>个工作日内连续公布相关提示性公告；</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67D8A" w:rsidRDefault="00B67D8A">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本人直接出具书面意见或授权他人代表出具书面意见的，基金份额持有人所持有的基金份额不小于在权益登记日基金总份额的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上述第</w:t>
      </w:r>
      <w:r>
        <w:rPr>
          <w:bCs/>
          <w:sz w:val="24"/>
          <w:szCs w:val="24"/>
        </w:rPr>
        <w:t>3</w:t>
      </w:r>
      <w:r>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67D8A" w:rsidRDefault="00B67D8A">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会议通知公布前报中国证监会备案。</w:t>
      </w:r>
    </w:p>
    <w:p w:rsidR="00B67D8A" w:rsidRDefault="00B67D8A">
      <w:pPr>
        <w:adjustRightInd w:val="0"/>
        <w:snapToGrid w:val="0"/>
        <w:spacing w:line="360" w:lineRule="auto"/>
        <w:ind w:firstLineChars="200" w:firstLine="480"/>
        <w:rPr>
          <w:sz w:val="24"/>
        </w:rPr>
      </w:pPr>
      <w:r>
        <w:rPr>
          <w:bCs/>
          <w:sz w:val="24"/>
        </w:rPr>
        <w:t>（</w:t>
      </w:r>
      <w:r>
        <w:rPr>
          <w:bCs/>
          <w:sz w:val="24"/>
        </w:rPr>
        <w:t>3</w:t>
      </w:r>
      <w:r>
        <w:rPr>
          <w:bCs/>
          <w:sz w:val="24"/>
        </w:rPr>
        <w:t>）</w:t>
      </w:r>
      <w:r>
        <w:rPr>
          <w:rFonts w:hAnsi="宋体"/>
          <w:bCs/>
          <w:sz w:val="24"/>
          <w:szCs w:val="24"/>
        </w:rPr>
        <w:t>在法律法规或监管机关允许的情况下，本基金亦可采用网络、电话等其他非书面方式由基金份额持有人向其授权代表进行授权。</w:t>
      </w:r>
    </w:p>
    <w:p w:rsidR="00B67D8A" w:rsidRDefault="00B67D8A">
      <w:pPr>
        <w:widowControl/>
        <w:adjustRightInd w:val="0"/>
        <w:snapToGrid w:val="0"/>
        <w:spacing w:line="360" w:lineRule="auto"/>
        <w:ind w:firstLineChars="200" w:firstLine="480"/>
        <w:outlineLvl w:val="8"/>
        <w:rPr>
          <w:sz w:val="24"/>
        </w:rPr>
      </w:pPr>
      <w:r>
        <w:rPr>
          <w:bCs/>
          <w:sz w:val="24"/>
        </w:rPr>
        <w:lastRenderedPageBreak/>
        <w:t>（</w:t>
      </w:r>
      <w:r>
        <w:rPr>
          <w:bCs/>
          <w:sz w:val="24"/>
        </w:rPr>
        <w:t>4</w:t>
      </w:r>
      <w:r>
        <w:rPr>
          <w:bCs/>
          <w:sz w:val="24"/>
        </w:rPr>
        <w:t>）</w:t>
      </w:r>
      <w:r>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B67D8A" w:rsidRDefault="00B67D8A">
      <w:pPr>
        <w:widowControl/>
        <w:adjustRightInd w:val="0"/>
        <w:snapToGrid w:val="0"/>
        <w:spacing w:line="360" w:lineRule="auto"/>
        <w:ind w:firstLineChars="200" w:firstLine="480"/>
        <w:outlineLvl w:val="8"/>
        <w:rPr>
          <w:sz w:val="24"/>
        </w:rPr>
      </w:pPr>
      <w:r>
        <w:rPr>
          <w:sz w:val="24"/>
        </w:rPr>
        <w:t>5</w:t>
      </w:r>
      <w:r>
        <w:rPr>
          <w:sz w:val="24"/>
        </w:rPr>
        <w:t>、议事内容与程序</w:t>
      </w:r>
    </w:p>
    <w:p w:rsidR="00B67D8A" w:rsidRDefault="00B67D8A">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rsidR="00B67D8A" w:rsidRDefault="00B67D8A">
      <w:pPr>
        <w:adjustRightInd w:val="0"/>
        <w:snapToGrid w:val="0"/>
        <w:spacing w:line="360" w:lineRule="auto"/>
        <w:ind w:firstLineChars="200" w:firstLine="480"/>
        <w:rPr>
          <w:bCs/>
          <w:sz w:val="24"/>
          <w:szCs w:val="24"/>
        </w:rPr>
      </w:pPr>
      <w:r>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67D8A" w:rsidRDefault="00B67D8A">
      <w:pPr>
        <w:adjustRightInd w:val="0"/>
        <w:snapToGrid w:val="0"/>
        <w:spacing w:line="360" w:lineRule="auto"/>
        <w:ind w:firstLineChars="200" w:firstLine="480"/>
        <w:rPr>
          <w:bCs/>
          <w:sz w:val="24"/>
          <w:szCs w:val="24"/>
        </w:rPr>
      </w:pPr>
      <w:r>
        <w:rPr>
          <w:rFonts w:hAnsi="宋体"/>
          <w:bCs/>
          <w:sz w:val="24"/>
          <w:szCs w:val="24"/>
        </w:rPr>
        <w:t>基金份额持有人大会的召集人发出召集会议的通知后，对原有提案的修改应当在基金份额持有人大会召开前及时公告。</w:t>
      </w:r>
    </w:p>
    <w:p w:rsidR="00B67D8A" w:rsidRDefault="00B67D8A">
      <w:pPr>
        <w:adjustRightInd w:val="0"/>
        <w:snapToGrid w:val="0"/>
        <w:spacing w:line="360" w:lineRule="auto"/>
        <w:ind w:firstLineChars="200" w:firstLine="480"/>
        <w:rPr>
          <w:bCs/>
          <w:sz w:val="24"/>
        </w:rPr>
      </w:pPr>
      <w:r>
        <w:rPr>
          <w:rFonts w:hAnsi="宋体"/>
          <w:bCs/>
          <w:sz w:val="24"/>
          <w:szCs w:val="24"/>
        </w:rPr>
        <w:t>基金份额持有人大会不得对未事先公告的议事内容进行表决。</w:t>
      </w:r>
    </w:p>
    <w:p w:rsidR="00B67D8A" w:rsidRDefault="00B67D8A">
      <w:pPr>
        <w:adjustRightInd w:val="0"/>
        <w:snapToGrid w:val="0"/>
        <w:spacing w:line="360" w:lineRule="auto"/>
        <w:ind w:firstLineChars="200" w:firstLine="480"/>
        <w:rPr>
          <w:bCs/>
          <w:sz w:val="24"/>
        </w:rPr>
      </w:pPr>
      <w:r>
        <w:rPr>
          <w:bCs/>
          <w:sz w:val="24"/>
        </w:rPr>
        <w:t>（</w:t>
      </w:r>
      <w:r>
        <w:rPr>
          <w:bCs/>
          <w:sz w:val="24"/>
        </w:rPr>
        <w:t>2</w:t>
      </w:r>
      <w:r>
        <w:rPr>
          <w:bCs/>
          <w:sz w:val="24"/>
        </w:rPr>
        <w:t>）议事程序</w:t>
      </w:r>
    </w:p>
    <w:p w:rsidR="00B67D8A" w:rsidRDefault="00B67D8A">
      <w:pPr>
        <w:adjustRightInd w:val="0"/>
        <w:snapToGrid w:val="0"/>
        <w:spacing w:line="360" w:lineRule="auto"/>
        <w:ind w:firstLineChars="200" w:firstLine="480"/>
        <w:rPr>
          <w:bCs/>
          <w:sz w:val="24"/>
        </w:rPr>
      </w:pPr>
      <w:r>
        <w:rPr>
          <w:bCs/>
          <w:sz w:val="24"/>
        </w:rPr>
        <w:t>1</w:t>
      </w:r>
      <w:r>
        <w:rPr>
          <w:bCs/>
          <w:sz w:val="24"/>
        </w:rPr>
        <w:t>）现场开会</w:t>
      </w:r>
    </w:p>
    <w:p w:rsidR="00B67D8A" w:rsidRDefault="00B67D8A">
      <w:pPr>
        <w:adjustRightInd w:val="0"/>
        <w:snapToGrid w:val="0"/>
        <w:spacing w:line="360" w:lineRule="auto"/>
        <w:ind w:firstLineChars="200" w:firstLine="480"/>
        <w:rPr>
          <w:bCs/>
          <w:sz w:val="24"/>
          <w:szCs w:val="24"/>
        </w:rPr>
      </w:pPr>
      <w:r>
        <w:rPr>
          <w:rFonts w:hAnsi="宋体"/>
          <w:bCs/>
          <w:sz w:val="24"/>
          <w:szCs w:val="24"/>
        </w:rPr>
        <w:t>在现场开会的方式下，首先由大会主持人按照下列第</w:t>
      </w:r>
      <w:r>
        <w:rPr>
          <w:rFonts w:hAnsi="宋体" w:hint="eastAsia"/>
          <w:bCs/>
          <w:sz w:val="24"/>
          <w:szCs w:val="24"/>
        </w:rPr>
        <w:t>7</w:t>
      </w:r>
      <w:r>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hAnsi="宋体"/>
          <w:bCs/>
          <w:sz w:val="24"/>
          <w:szCs w:val="24"/>
        </w:rPr>
        <w:t>作出</w:t>
      </w:r>
      <w:proofErr w:type="gramEnd"/>
      <w:r>
        <w:rPr>
          <w:rFonts w:hAnsi="宋体"/>
          <w:bCs/>
          <w:sz w:val="24"/>
          <w:szCs w:val="24"/>
        </w:rPr>
        <w:t>的决议的效力。</w:t>
      </w:r>
    </w:p>
    <w:p w:rsidR="00B67D8A" w:rsidRDefault="00B67D8A">
      <w:pPr>
        <w:adjustRightInd w:val="0"/>
        <w:snapToGrid w:val="0"/>
        <w:spacing w:line="360" w:lineRule="auto"/>
        <w:ind w:firstLineChars="200" w:firstLine="480"/>
        <w:rPr>
          <w:bCs/>
          <w:sz w:val="24"/>
        </w:rPr>
      </w:pPr>
      <w:r>
        <w:rPr>
          <w:rFonts w:hAnsi="宋体"/>
          <w:bCs/>
          <w:sz w:val="24"/>
          <w:szCs w:val="24"/>
        </w:rPr>
        <w:t>会议召集人应当制作出席会议人员的签名册。签名</w:t>
      </w:r>
      <w:proofErr w:type="gramStart"/>
      <w:r>
        <w:rPr>
          <w:rFonts w:hAnsi="宋体"/>
          <w:bCs/>
          <w:sz w:val="24"/>
          <w:szCs w:val="24"/>
        </w:rPr>
        <w:t>册</w:t>
      </w:r>
      <w:proofErr w:type="gramEnd"/>
      <w:r>
        <w:rPr>
          <w:rFonts w:hAnsi="宋体"/>
          <w:bCs/>
          <w:sz w:val="24"/>
          <w:szCs w:val="24"/>
        </w:rPr>
        <w:t>载明参加会议人员姓名（或单位名称）、身份证明文件号码、持有或代表有表决权的基金份额、委托人姓名（或单位名称）和联系方式等事项。</w:t>
      </w:r>
    </w:p>
    <w:p w:rsidR="00B67D8A" w:rsidRDefault="00B67D8A">
      <w:pPr>
        <w:adjustRightInd w:val="0"/>
        <w:snapToGrid w:val="0"/>
        <w:spacing w:line="360" w:lineRule="auto"/>
        <w:ind w:firstLineChars="200" w:firstLine="480"/>
        <w:rPr>
          <w:bCs/>
          <w:sz w:val="24"/>
        </w:rPr>
      </w:pPr>
      <w:r>
        <w:rPr>
          <w:bCs/>
          <w:sz w:val="24"/>
        </w:rPr>
        <w:t>2</w:t>
      </w:r>
      <w:r>
        <w:rPr>
          <w:bCs/>
          <w:sz w:val="24"/>
        </w:rPr>
        <w:t>）通讯开会</w:t>
      </w:r>
    </w:p>
    <w:p w:rsidR="00B67D8A" w:rsidRDefault="00B67D8A">
      <w:pPr>
        <w:adjustRightInd w:val="0"/>
        <w:snapToGrid w:val="0"/>
        <w:spacing w:line="360" w:lineRule="auto"/>
        <w:ind w:firstLineChars="200" w:firstLine="480"/>
        <w:rPr>
          <w:sz w:val="24"/>
        </w:rPr>
      </w:pPr>
      <w:r>
        <w:rPr>
          <w:rFonts w:hAnsi="宋体"/>
          <w:bCs/>
          <w:sz w:val="24"/>
          <w:szCs w:val="24"/>
        </w:rPr>
        <w:t>在通讯开会的情况下，首先由召集人提前</w:t>
      </w:r>
      <w:r>
        <w:rPr>
          <w:bCs/>
          <w:sz w:val="24"/>
          <w:szCs w:val="24"/>
        </w:rPr>
        <w:t>30</w:t>
      </w:r>
      <w:r>
        <w:rPr>
          <w:rFonts w:hAnsi="宋体"/>
          <w:bCs/>
          <w:sz w:val="24"/>
          <w:szCs w:val="24"/>
        </w:rPr>
        <w:t>日公布提案，在所通知的表决截止日期后</w:t>
      </w:r>
      <w:r>
        <w:rPr>
          <w:bCs/>
          <w:sz w:val="24"/>
          <w:szCs w:val="24"/>
        </w:rPr>
        <w:t>2</w:t>
      </w:r>
      <w:r>
        <w:rPr>
          <w:rFonts w:hAnsi="宋体"/>
          <w:bCs/>
          <w:sz w:val="24"/>
          <w:szCs w:val="24"/>
        </w:rPr>
        <w:t>个工作日内在公证机关监督下由召集人统计全部有效表决，在公证机关监</w:t>
      </w:r>
      <w:r>
        <w:rPr>
          <w:rFonts w:hAnsi="宋体"/>
          <w:bCs/>
          <w:sz w:val="24"/>
          <w:szCs w:val="24"/>
        </w:rPr>
        <w:lastRenderedPageBreak/>
        <w:t>督下形成决议。</w:t>
      </w:r>
    </w:p>
    <w:p w:rsidR="00B67D8A" w:rsidRDefault="00B67D8A">
      <w:pPr>
        <w:widowControl/>
        <w:adjustRightInd w:val="0"/>
        <w:snapToGrid w:val="0"/>
        <w:spacing w:line="360" w:lineRule="auto"/>
        <w:ind w:firstLineChars="200" w:firstLine="480"/>
        <w:outlineLvl w:val="8"/>
        <w:rPr>
          <w:sz w:val="24"/>
        </w:rPr>
      </w:pPr>
      <w:r>
        <w:rPr>
          <w:sz w:val="24"/>
        </w:rPr>
        <w:t>6</w:t>
      </w:r>
      <w:r>
        <w:rPr>
          <w:sz w:val="24"/>
        </w:rPr>
        <w:t>、</w:t>
      </w:r>
      <w:r>
        <w:rPr>
          <w:sz w:val="24"/>
          <w:szCs w:val="18"/>
        </w:rPr>
        <w:t>表决</w:t>
      </w:r>
    </w:p>
    <w:p w:rsidR="00B67D8A" w:rsidRDefault="00B67D8A">
      <w:pPr>
        <w:adjustRightInd w:val="0"/>
        <w:snapToGrid w:val="0"/>
        <w:spacing w:line="360" w:lineRule="auto"/>
        <w:ind w:firstLineChars="200" w:firstLine="480"/>
        <w:rPr>
          <w:bCs/>
          <w:sz w:val="24"/>
          <w:szCs w:val="24"/>
        </w:rPr>
      </w:pPr>
      <w:r>
        <w:rPr>
          <w:rFonts w:hAnsi="宋体"/>
          <w:bCs/>
          <w:sz w:val="24"/>
          <w:szCs w:val="24"/>
        </w:rPr>
        <w:t>基金份额持有人所持每份基金份额有一票表决权。</w:t>
      </w:r>
    </w:p>
    <w:p w:rsidR="00B67D8A" w:rsidRDefault="00B67D8A">
      <w:pPr>
        <w:adjustRightInd w:val="0"/>
        <w:snapToGrid w:val="0"/>
        <w:spacing w:line="360" w:lineRule="auto"/>
        <w:ind w:firstLineChars="200" w:firstLine="480"/>
        <w:rPr>
          <w:bCs/>
          <w:sz w:val="24"/>
        </w:rPr>
      </w:pPr>
      <w:r>
        <w:rPr>
          <w:rFonts w:hAnsi="宋体"/>
          <w:bCs/>
          <w:sz w:val="24"/>
          <w:szCs w:val="24"/>
        </w:rPr>
        <w:t>基金份额持有人大会决议分为一般决议和特别决议：</w:t>
      </w:r>
    </w:p>
    <w:p w:rsidR="00B67D8A" w:rsidRDefault="00B67D8A">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一般决议，一般决议须经参加大会的基金份额持有人或其代理人所持表决权的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）通过方为有效；除下列第</w:t>
      </w:r>
      <w:r>
        <w:rPr>
          <w:rFonts w:hAnsi="宋体" w:hint="eastAsia"/>
          <w:bCs/>
          <w:sz w:val="24"/>
          <w:szCs w:val="24"/>
        </w:rPr>
        <w:t>（</w:t>
      </w:r>
      <w:r>
        <w:rPr>
          <w:bCs/>
          <w:sz w:val="24"/>
          <w:szCs w:val="24"/>
        </w:rPr>
        <w:t>2</w:t>
      </w:r>
      <w:r>
        <w:rPr>
          <w:rFonts w:hint="eastAsia"/>
          <w:bCs/>
          <w:sz w:val="24"/>
          <w:szCs w:val="24"/>
        </w:rPr>
        <w:t>）</w:t>
      </w:r>
      <w:r>
        <w:rPr>
          <w:rFonts w:hAnsi="宋体"/>
          <w:bCs/>
          <w:sz w:val="24"/>
          <w:szCs w:val="24"/>
        </w:rPr>
        <w:t>项所规定的须以特别决议通过事项以外的其他事项均以一般决议的方式通过。</w:t>
      </w:r>
    </w:p>
    <w:p w:rsidR="00B67D8A" w:rsidRDefault="00B67D8A">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特别决议，特别决议应当经参加大会的基金份额持有人或其代理人所持表决权的</w:t>
      </w:r>
      <w:r>
        <w:rPr>
          <w:bCs/>
          <w:sz w:val="24"/>
          <w:szCs w:val="24"/>
        </w:rPr>
        <w:t>2/3</w:t>
      </w:r>
      <w:r>
        <w:rPr>
          <w:rFonts w:hAnsi="宋体"/>
          <w:bCs/>
          <w:sz w:val="24"/>
          <w:szCs w:val="24"/>
        </w:rPr>
        <w:t>以上（含</w:t>
      </w:r>
      <w:r>
        <w:rPr>
          <w:bCs/>
          <w:sz w:val="24"/>
          <w:szCs w:val="24"/>
        </w:rPr>
        <w:t>2/3</w:t>
      </w:r>
      <w:r>
        <w:rPr>
          <w:rFonts w:hAnsi="宋体"/>
          <w:bCs/>
          <w:sz w:val="24"/>
          <w:szCs w:val="24"/>
        </w:rPr>
        <w:t>）通过方可做出。转换基金运作方式、更换基金管理人或者基金托管人、终止基金合同以特别决议通过方为有效。</w:t>
      </w:r>
    </w:p>
    <w:p w:rsidR="00B67D8A" w:rsidRDefault="00B67D8A">
      <w:pPr>
        <w:adjustRightInd w:val="0"/>
        <w:snapToGrid w:val="0"/>
        <w:spacing w:line="360" w:lineRule="auto"/>
        <w:ind w:firstLineChars="200" w:firstLine="480"/>
        <w:rPr>
          <w:bCs/>
          <w:sz w:val="24"/>
          <w:szCs w:val="24"/>
        </w:rPr>
      </w:pPr>
      <w:r>
        <w:rPr>
          <w:rFonts w:hAnsi="宋体"/>
          <w:bCs/>
          <w:sz w:val="24"/>
          <w:szCs w:val="24"/>
        </w:rPr>
        <w:t>基金份额持有人大会采取记名方式进行投票表决。</w:t>
      </w:r>
    </w:p>
    <w:p w:rsidR="00B67D8A" w:rsidRDefault="00B67D8A">
      <w:pPr>
        <w:adjustRightInd w:val="0"/>
        <w:snapToGrid w:val="0"/>
        <w:spacing w:line="360" w:lineRule="auto"/>
        <w:ind w:firstLineChars="200" w:firstLine="480"/>
        <w:rPr>
          <w:bCs/>
          <w:sz w:val="24"/>
          <w:szCs w:val="24"/>
        </w:rPr>
      </w:pPr>
      <w:r>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67D8A" w:rsidRDefault="00B67D8A">
      <w:pPr>
        <w:adjustRightInd w:val="0"/>
        <w:snapToGrid w:val="0"/>
        <w:spacing w:line="360" w:lineRule="auto"/>
        <w:ind w:firstLineChars="200" w:firstLine="480"/>
        <w:rPr>
          <w:sz w:val="24"/>
        </w:rPr>
      </w:pPr>
      <w:r>
        <w:rPr>
          <w:rFonts w:hAnsi="宋体"/>
          <w:bCs/>
          <w:sz w:val="24"/>
          <w:szCs w:val="24"/>
        </w:rPr>
        <w:t>基金份额持有人大会的各项提案或同一项提案内并列的各项议题应当分开审议、逐项表决。</w:t>
      </w:r>
    </w:p>
    <w:p w:rsidR="00B67D8A" w:rsidRDefault="00B67D8A">
      <w:pPr>
        <w:widowControl/>
        <w:adjustRightInd w:val="0"/>
        <w:snapToGrid w:val="0"/>
        <w:spacing w:line="360" w:lineRule="auto"/>
        <w:ind w:firstLineChars="200" w:firstLine="480"/>
        <w:outlineLvl w:val="8"/>
        <w:rPr>
          <w:sz w:val="24"/>
        </w:rPr>
      </w:pPr>
      <w:r>
        <w:rPr>
          <w:sz w:val="24"/>
        </w:rPr>
        <w:t>7</w:t>
      </w:r>
      <w:r>
        <w:rPr>
          <w:sz w:val="24"/>
        </w:rPr>
        <w:t>、计票</w:t>
      </w:r>
    </w:p>
    <w:p w:rsidR="00B67D8A" w:rsidRDefault="00B67D8A">
      <w:pPr>
        <w:adjustRightInd w:val="0"/>
        <w:snapToGrid w:val="0"/>
        <w:spacing w:line="360" w:lineRule="auto"/>
        <w:ind w:firstLineChars="200" w:firstLine="480"/>
        <w:rPr>
          <w:bCs/>
          <w:sz w:val="24"/>
        </w:rPr>
      </w:pPr>
      <w:r>
        <w:rPr>
          <w:bCs/>
          <w:sz w:val="24"/>
        </w:rPr>
        <w:t>（</w:t>
      </w:r>
      <w:r>
        <w:rPr>
          <w:bCs/>
          <w:sz w:val="24"/>
        </w:rPr>
        <w:t>1</w:t>
      </w:r>
      <w:r>
        <w:rPr>
          <w:bCs/>
          <w:sz w:val="24"/>
        </w:rPr>
        <w:t>）现场开会</w:t>
      </w:r>
    </w:p>
    <w:p w:rsidR="00B67D8A" w:rsidRDefault="00B67D8A">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Ansi="宋体"/>
          <w:bCs/>
          <w:sz w:val="24"/>
          <w:szCs w:val="24"/>
        </w:rPr>
        <w:t>或大会</w:t>
      </w:r>
      <w:proofErr w:type="gramEnd"/>
      <w:r>
        <w:rPr>
          <w:rFonts w:hAnsi="宋体"/>
          <w:bCs/>
          <w:sz w:val="24"/>
          <w:szCs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67D8A" w:rsidRDefault="00B67D8A">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监票人应当在基金份额持有人表决后立即进行清点并由大会主持人当场公布计票结果。</w:t>
      </w:r>
    </w:p>
    <w:p w:rsidR="00B67D8A" w:rsidRDefault="00B67D8A">
      <w:pPr>
        <w:adjustRightInd w:val="0"/>
        <w:snapToGrid w:val="0"/>
        <w:spacing w:line="360" w:lineRule="auto"/>
        <w:ind w:firstLineChars="200" w:firstLine="480"/>
        <w:rPr>
          <w:bCs/>
          <w:sz w:val="24"/>
        </w:rPr>
      </w:pPr>
      <w:r>
        <w:rPr>
          <w:bCs/>
          <w:sz w:val="24"/>
        </w:rPr>
        <w:lastRenderedPageBreak/>
        <w:t>3</w:t>
      </w:r>
      <w:r>
        <w:rPr>
          <w:bCs/>
          <w:sz w:val="24"/>
        </w:rPr>
        <w:t>）</w:t>
      </w:r>
      <w:r>
        <w:rPr>
          <w:rFonts w:hAnsi="宋体"/>
          <w:bCs/>
          <w:sz w:val="24"/>
          <w:szCs w:val="24"/>
        </w:rPr>
        <w:t>如果会议主持人或基金份额持有人或代理人对于提交的表决结果有怀疑，可以在宣布表决结果后立即对所投票</w:t>
      </w:r>
      <w:proofErr w:type="gramStart"/>
      <w:r>
        <w:rPr>
          <w:rFonts w:hAnsi="宋体"/>
          <w:bCs/>
          <w:sz w:val="24"/>
          <w:szCs w:val="24"/>
        </w:rPr>
        <w:t>数要求</w:t>
      </w:r>
      <w:proofErr w:type="gramEnd"/>
      <w:r>
        <w:rPr>
          <w:rFonts w:hAnsi="宋体"/>
          <w:bCs/>
          <w:sz w:val="24"/>
          <w:szCs w:val="24"/>
        </w:rPr>
        <w:t>进行重新清点。监票人应当进行重新清点，重新清点以一次为限。重新清点后，大会主持人应当当场公布重新清点结果。</w:t>
      </w:r>
    </w:p>
    <w:p w:rsidR="00B67D8A" w:rsidRDefault="00B67D8A">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计票过程应由公证机关予以公证</w:t>
      </w:r>
      <w:r>
        <w:rPr>
          <w:bCs/>
          <w:sz w:val="24"/>
          <w:szCs w:val="24"/>
        </w:rPr>
        <w:t>,</w:t>
      </w:r>
      <w:r>
        <w:rPr>
          <w:rFonts w:hAnsi="宋体"/>
          <w:bCs/>
          <w:sz w:val="24"/>
          <w:szCs w:val="24"/>
        </w:rPr>
        <w:t>基金管理人或基金托管人拒不出席大会的，不影响计票的效力。</w:t>
      </w:r>
    </w:p>
    <w:p w:rsidR="00B67D8A" w:rsidRDefault="00B67D8A">
      <w:pPr>
        <w:adjustRightInd w:val="0"/>
        <w:snapToGrid w:val="0"/>
        <w:spacing w:line="360" w:lineRule="auto"/>
        <w:ind w:firstLineChars="200" w:firstLine="480"/>
        <w:rPr>
          <w:bCs/>
          <w:sz w:val="24"/>
        </w:rPr>
      </w:pPr>
      <w:r>
        <w:rPr>
          <w:bCs/>
          <w:sz w:val="24"/>
        </w:rPr>
        <w:t>（</w:t>
      </w:r>
      <w:r>
        <w:rPr>
          <w:bCs/>
          <w:sz w:val="24"/>
        </w:rPr>
        <w:t>2</w:t>
      </w:r>
      <w:r>
        <w:rPr>
          <w:bCs/>
          <w:sz w:val="24"/>
        </w:rPr>
        <w:t>）通讯开会</w:t>
      </w:r>
    </w:p>
    <w:p w:rsidR="00B67D8A" w:rsidRDefault="00B67D8A">
      <w:pPr>
        <w:widowControl/>
        <w:adjustRightInd w:val="0"/>
        <w:snapToGrid w:val="0"/>
        <w:spacing w:line="360" w:lineRule="auto"/>
        <w:ind w:firstLineChars="200" w:firstLine="480"/>
        <w:outlineLvl w:val="8"/>
        <w:rPr>
          <w:sz w:val="24"/>
        </w:rPr>
      </w:pPr>
      <w:r>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Ansi="宋体"/>
          <w:bCs/>
          <w:sz w:val="24"/>
          <w:szCs w:val="24"/>
        </w:rPr>
        <w:t>人拒派</w:t>
      </w:r>
      <w:proofErr w:type="gramEnd"/>
      <w:r>
        <w:rPr>
          <w:rFonts w:hAnsi="宋体"/>
          <w:bCs/>
          <w:sz w:val="24"/>
          <w:szCs w:val="24"/>
        </w:rPr>
        <w:t>代表对书面表决意见的计票进行监督的，不影响计票和表决结果。</w:t>
      </w:r>
    </w:p>
    <w:p w:rsidR="00B67D8A" w:rsidRDefault="00B67D8A">
      <w:pPr>
        <w:widowControl/>
        <w:adjustRightInd w:val="0"/>
        <w:snapToGrid w:val="0"/>
        <w:spacing w:line="360" w:lineRule="auto"/>
        <w:ind w:firstLineChars="200" w:firstLine="480"/>
        <w:outlineLvl w:val="8"/>
        <w:rPr>
          <w:sz w:val="24"/>
        </w:rPr>
      </w:pPr>
      <w:r>
        <w:rPr>
          <w:sz w:val="24"/>
        </w:rPr>
        <w:t>8</w:t>
      </w:r>
      <w:r>
        <w:rPr>
          <w:sz w:val="24"/>
        </w:rPr>
        <w:t>、</w:t>
      </w:r>
      <w:r>
        <w:rPr>
          <w:bCs/>
          <w:sz w:val="24"/>
        </w:rPr>
        <w:t>生效与公告</w:t>
      </w:r>
    </w:p>
    <w:p w:rsidR="00B67D8A" w:rsidRDefault="00B67D8A">
      <w:pPr>
        <w:adjustRightInd w:val="0"/>
        <w:snapToGrid w:val="0"/>
        <w:spacing w:line="360" w:lineRule="auto"/>
        <w:ind w:firstLineChars="200" w:firstLine="480"/>
        <w:rPr>
          <w:bCs/>
          <w:sz w:val="24"/>
          <w:szCs w:val="24"/>
        </w:rPr>
      </w:pPr>
      <w:r>
        <w:rPr>
          <w:rFonts w:hAnsi="宋体"/>
          <w:bCs/>
          <w:sz w:val="24"/>
          <w:szCs w:val="24"/>
        </w:rPr>
        <w:t>基金份额持有人大会的决议，召集人应当自通过之日起</w:t>
      </w:r>
      <w:r>
        <w:rPr>
          <w:bCs/>
          <w:sz w:val="24"/>
          <w:szCs w:val="24"/>
        </w:rPr>
        <w:t>5</w:t>
      </w:r>
      <w:r>
        <w:rPr>
          <w:rFonts w:hAnsi="宋体"/>
          <w:bCs/>
          <w:sz w:val="24"/>
          <w:szCs w:val="24"/>
        </w:rPr>
        <w:t>日内报中国证监会核准或者备案。</w:t>
      </w:r>
    </w:p>
    <w:p w:rsidR="00B67D8A" w:rsidRDefault="00B67D8A">
      <w:pPr>
        <w:adjustRightInd w:val="0"/>
        <w:snapToGrid w:val="0"/>
        <w:spacing w:line="360" w:lineRule="auto"/>
        <w:ind w:firstLineChars="200" w:firstLine="480"/>
        <w:rPr>
          <w:bCs/>
          <w:sz w:val="24"/>
          <w:szCs w:val="24"/>
        </w:rPr>
      </w:pPr>
      <w:r>
        <w:rPr>
          <w:rFonts w:hAnsi="宋体"/>
          <w:bCs/>
          <w:sz w:val="24"/>
          <w:szCs w:val="24"/>
        </w:rPr>
        <w:t>基金份额持有人大会的决议自中国证监会依法核准或者出具无异议意见之日起生效。</w:t>
      </w:r>
    </w:p>
    <w:p w:rsidR="00B67D8A" w:rsidRDefault="00B67D8A">
      <w:pPr>
        <w:adjustRightInd w:val="0"/>
        <w:snapToGrid w:val="0"/>
        <w:spacing w:line="360" w:lineRule="auto"/>
        <w:ind w:firstLineChars="200" w:firstLine="480"/>
        <w:rPr>
          <w:bCs/>
          <w:sz w:val="24"/>
          <w:szCs w:val="24"/>
        </w:rPr>
      </w:pPr>
      <w:r>
        <w:rPr>
          <w:rFonts w:hAnsi="宋体"/>
          <w:bCs/>
          <w:sz w:val="24"/>
          <w:szCs w:val="24"/>
        </w:rPr>
        <w:t>基金份额持有人大会决议自生效之日起</w:t>
      </w:r>
      <w:r>
        <w:rPr>
          <w:bCs/>
          <w:sz w:val="24"/>
          <w:szCs w:val="24"/>
        </w:rPr>
        <w:t>2</w:t>
      </w:r>
      <w:r>
        <w:rPr>
          <w:rFonts w:hAnsi="宋体"/>
          <w:bCs/>
          <w:sz w:val="24"/>
          <w:szCs w:val="24"/>
        </w:rPr>
        <w:t>个工作日内在指定媒体上公告。如果采用通讯方式进行表决，在公告基金份额持有人大会决议时，必须将公证书全文、公证机构、公证员姓名等一同公告。</w:t>
      </w:r>
    </w:p>
    <w:p w:rsidR="00B67D8A" w:rsidRDefault="00B67D8A">
      <w:pPr>
        <w:widowControl/>
        <w:adjustRightInd w:val="0"/>
        <w:snapToGrid w:val="0"/>
        <w:spacing w:line="360" w:lineRule="auto"/>
        <w:ind w:firstLineChars="200" w:firstLine="480"/>
        <w:outlineLvl w:val="8"/>
        <w:rPr>
          <w:bCs/>
          <w:sz w:val="24"/>
        </w:rPr>
      </w:pPr>
      <w:r>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B67D8A" w:rsidRDefault="00B67D8A">
      <w:pPr>
        <w:widowControl/>
        <w:adjustRightInd w:val="0"/>
        <w:snapToGrid w:val="0"/>
        <w:spacing w:line="360" w:lineRule="auto"/>
        <w:ind w:firstLineChars="200" w:firstLine="480"/>
        <w:outlineLvl w:val="8"/>
        <w:rPr>
          <w:kern w:val="0"/>
          <w:sz w:val="24"/>
        </w:rPr>
      </w:pPr>
      <w:r>
        <w:rPr>
          <w:bCs/>
          <w:sz w:val="24"/>
        </w:rPr>
        <w:t>9</w:t>
      </w:r>
      <w:r>
        <w:rPr>
          <w:bCs/>
          <w:sz w:val="24"/>
        </w:rPr>
        <w:t>、</w:t>
      </w:r>
      <w:r>
        <w:rPr>
          <w:rFonts w:hAnsi="宋体"/>
          <w:bCs/>
          <w:sz w:val="24"/>
          <w:szCs w:val="24"/>
        </w:rPr>
        <w:t>法律法规或监管部门对基金份额持有人大会另有规定的，从其规定。</w:t>
      </w:r>
    </w:p>
    <w:p w:rsidR="00B67D8A" w:rsidRDefault="00B67D8A">
      <w:pPr>
        <w:widowControl/>
        <w:adjustRightInd w:val="0"/>
        <w:snapToGrid w:val="0"/>
        <w:spacing w:line="360" w:lineRule="auto"/>
        <w:ind w:firstLineChars="200" w:firstLine="482"/>
        <w:outlineLvl w:val="1"/>
        <w:rPr>
          <w:b/>
          <w:kern w:val="0"/>
          <w:sz w:val="24"/>
        </w:rPr>
      </w:pPr>
      <w:r>
        <w:rPr>
          <w:b/>
          <w:kern w:val="0"/>
          <w:sz w:val="24"/>
        </w:rPr>
        <w:t>（三）基金合同的变更与终止</w:t>
      </w:r>
    </w:p>
    <w:p w:rsidR="00B67D8A" w:rsidRDefault="00B67D8A">
      <w:pPr>
        <w:widowControl/>
        <w:adjustRightInd w:val="0"/>
        <w:snapToGrid w:val="0"/>
        <w:spacing w:line="360" w:lineRule="auto"/>
        <w:ind w:firstLineChars="200" w:firstLine="480"/>
        <w:outlineLvl w:val="8"/>
        <w:rPr>
          <w:kern w:val="0"/>
          <w:sz w:val="24"/>
        </w:rPr>
      </w:pPr>
      <w:r>
        <w:rPr>
          <w:kern w:val="0"/>
          <w:sz w:val="24"/>
        </w:rPr>
        <w:t>1</w:t>
      </w:r>
      <w:r>
        <w:rPr>
          <w:kern w:val="0"/>
          <w:sz w:val="24"/>
        </w:rPr>
        <w:t>、</w:t>
      </w:r>
      <w:r>
        <w:rPr>
          <w:bCs/>
          <w:sz w:val="24"/>
        </w:rPr>
        <w:t>基金合同</w:t>
      </w:r>
      <w:r>
        <w:rPr>
          <w:kern w:val="0"/>
          <w:sz w:val="24"/>
        </w:rPr>
        <w:t>的变更</w:t>
      </w:r>
    </w:p>
    <w:p w:rsidR="00B67D8A" w:rsidRDefault="00B67D8A">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变更基金合同涉及法律法规规定或本基金合同约定应经基金份额持有人大会决议通过的事项的，应召</w:t>
      </w:r>
      <w:proofErr w:type="gramStart"/>
      <w:r>
        <w:rPr>
          <w:rFonts w:hAnsi="宋体"/>
          <w:bCs/>
          <w:sz w:val="24"/>
        </w:rPr>
        <w:t>开基金</w:t>
      </w:r>
      <w:proofErr w:type="gramEnd"/>
      <w:r>
        <w:rPr>
          <w:rFonts w:hAnsi="宋体"/>
          <w:bCs/>
          <w:sz w:val="24"/>
        </w:rPr>
        <w:t>份额持有人大会决议通过。对于可不经基金份额持有人大会决议通过的事项，由基金管理人和基金托管人同意后变更并公告，并报中国证监会备案。</w:t>
      </w:r>
    </w:p>
    <w:p w:rsidR="00B67D8A" w:rsidRDefault="00B67D8A">
      <w:pPr>
        <w:widowControl/>
        <w:adjustRightInd w:val="0"/>
        <w:snapToGrid w:val="0"/>
        <w:spacing w:line="360" w:lineRule="auto"/>
        <w:ind w:firstLineChars="200" w:firstLine="480"/>
        <w:outlineLvl w:val="8"/>
        <w:rPr>
          <w:kern w:val="0"/>
          <w:sz w:val="24"/>
        </w:rPr>
      </w:pPr>
      <w:r>
        <w:rPr>
          <w:rFonts w:hint="eastAsia"/>
          <w:bCs/>
          <w:sz w:val="24"/>
        </w:rPr>
        <w:lastRenderedPageBreak/>
        <w:t>（</w:t>
      </w:r>
      <w:r>
        <w:rPr>
          <w:bCs/>
          <w:sz w:val="24"/>
        </w:rPr>
        <w:t>2</w:t>
      </w:r>
      <w:r>
        <w:rPr>
          <w:rFonts w:hAnsi="宋体" w:hint="eastAsia"/>
          <w:bCs/>
          <w:sz w:val="24"/>
        </w:rPr>
        <w:t>）</w:t>
      </w:r>
      <w:r>
        <w:rPr>
          <w:rFonts w:hAnsi="宋体"/>
          <w:bCs/>
          <w:sz w:val="24"/>
        </w:rPr>
        <w:t>关于基金合同变更的基金份额持有人大会决议经中国证监会核准或出具无异议意见后方可执行，</w:t>
      </w:r>
      <w:proofErr w:type="gramStart"/>
      <w:r>
        <w:rPr>
          <w:rFonts w:hAnsi="宋体"/>
          <w:bCs/>
          <w:sz w:val="24"/>
        </w:rPr>
        <w:t>自决议</w:t>
      </w:r>
      <w:proofErr w:type="gramEnd"/>
      <w:r>
        <w:rPr>
          <w:rFonts w:hAnsi="宋体"/>
          <w:bCs/>
          <w:sz w:val="24"/>
        </w:rPr>
        <w:t>生效后两日内依照《信息披露办法》的规定在指定媒体公告。</w:t>
      </w:r>
    </w:p>
    <w:p w:rsidR="00B67D8A" w:rsidRDefault="00B67D8A">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rsidR="00B67D8A" w:rsidRDefault="00B67D8A">
      <w:pPr>
        <w:adjustRightInd w:val="0"/>
        <w:snapToGrid w:val="0"/>
        <w:spacing w:line="360" w:lineRule="auto"/>
        <w:ind w:firstLineChars="200" w:firstLine="480"/>
        <w:rPr>
          <w:bCs/>
          <w:sz w:val="24"/>
        </w:rPr>
      </w:pPr>
      <w:r>
        <w:rPr>
          <w:bCs/>
          <w:sz w:val="24"/>
        </w:rPr>
        <w:t>有下列情形之一的，基金合同应当终止：</w:t>
      </w:r>
    </w:p>
    <w:p w:rsidR="00B67D8A" w:rsidRDefault="00B67D8A">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基金份额持有人大会决定终止的；</w:t>
      </w:r>
    </w:p>
    <w:p w:rsidR="00B67D8A" w:rsidRDefault="00B67D8A">
      <w:pPr>
        <w:adjustRightInd w:val="0"/>
        <w:snapToGrid w:val="0"/>
        <w:spacing w:line="360" w:lineRule="auto"/>
        <w:ind w:firstLineChars="200" w:firstLine="480"/>
        <w:rPr>
          <w:bCs/>
          <w:sz w:val="24"/>
        </w:rPr>
      </w:pPr>
      <w:r>
        <w:rPr>
          <w:rFonts w:hint="eastAsia"/>
          <w:bCs/>
          <w:sz w:val="24"/>
        </w:rPr>
        <w:t>（</w:t>
      </w:r>
      <w:r>
        <w:rPr>
          <w:bCs/>
          <w:sz w:val="24"/>
        </w:rPr>
        <w:t>2</w:t>
      </w:r>
      <w:r>
        <w:rPr>
          <w:rFonts w:hAnsi="宋体" w:hint="eastAsia"/>
          <w:bCs/>
          <w:sz w:val="24"/>
        </w:rPr>
        <w:t>）</w:t>
      </w:r>
      <w:r>
        <w:rPr>
          <w:rFonts w:hAnsi="宋体"/>
          <w:bCs/>
          <w:sz w:val="24"/>
        </w:rPr>
        <w:t>基金管理人、基金托管人职责终止，在</w:t>
      </w:r>
      <w:r>
        <w:rPr>
          <w:bCs/>
          <w:sz w:val="24"/>
        </w:rPr>
        <w:t>6</w:t>
      </w:r>
      <w:r>
        <w:rPr>
          <w:rFonts w:hAnsi="宋体"/>
          <w:bCs/>
          <w:sz w:val="24"/>
        </w:rPr>
        <w:t>个月内没有新基金管理人、新基金托管人承接的；</w:t>
      </w:r>
    </w:p>
    <w:p w:rsidR="00B67D8A" w:rsidRDefault="00B67D8A">
      <w:pPr>
        <w:adjustRightInd w:val="0"/>
        <w:snapToGrid w:val="0"/>
        <w:spacing w:line="360" w:lineRule="auto"/>
        <w:ind w:firstLineChars="200" w:firstLine="480"/>
        <w:rPr>
          <w:bCs/>
          <w:sz w:val="24"/>
        </w:rPr>
      </w:pPr>
      <w:r>
        <w:rPr>
          <w:rFonts w:hint="eastAsia"/>
          <w:bCs/>
          <w:sz w:val="24"/>
        </w:rPr>
        <w:t>（</w:t>
      </w:r>
      <w:r>
        <w:rPr>
          <w:bCs/>
          <w:sz w:val="24"/>
        </w:rPr>
        <w:t>3</w:t>
      </w:r>
      <w:r>
        <w:rPr>
          <w:rFonts w:hAnsi="宋体" w:hint="eastAsia"/>
          <w:bCs/>
          <w:sz w:val="24"/>
        </w:rPr>
        <w:t>）</w:t>
      </w:r>
      <w:r>
        <w:rPr>
          <w:rFonts w:hAnsi="宋体"/>
          <w:bCs/>
          <w:sz w:val="24"/>
        </w:rPr>
        <w:t>基金合同约定的其他情形；</w:t>
      </w:r>
    </w:p>
    <w:p w:rsidR="00B67D8A" w:rsidRDefault="00B67D8A">
      <w:pPr>
        <w:adjustRightInd w:val="0"/>
        <w:snapToGrid w:val="0"/>
        <w:spacing w:line="360" w:lineRule="auto"/>
        <w:ind w:firstLineChars="200" w:firstLine="480"/>
        <w:rPr>
          <w:bCs/>
          <w:sz w:val="24"/>
        </w:rPr>
      </w:pPr>
      <w:r>
        <w:rPr>
          <w:rFonts w:hint="eastAsia"/>
          <w:bCs/>
          <w:sz w:val="24"/>
        </w:rPr>
        <w:t>（</w:t>
      </w:r>
      <w:r>
        <w:rPr>
          <w:bCs/>
          <w:sz w:val="24"/>
        </w:rPr>
        <w:t>4</w:t>
      </w:r>
      <w:r>
        <w:rPr>
          <w:rFonts w:hAnsi="宋体" w:hint="eastAsia"/>
          <w:bCs/>
          <w:sz w:val="24"/>
        </w:rPr>
        <w:t>）</w:t>
      </w:r>
      <w:r>
        <w:rPr>
          <w:rFonts w:hAnsi="宋体"/>
          <w:bCs/>
          <w:sz w:val="24"/>
        </w:rPr>
        <w:t>相关法律法规和中国证监会规定的其他情况。</w:t>
      </w:r>
    </w:p>
    <w:p w:rsidR="00B67D8A" w:rsidRDefault="00B67D8A">
      <w:pPr>
        <w:widowControl/>
        <w:adjustRightInd w:val="0"/>
        <w:snapToGrid w:val="0"/>
        <w:spacing w:line="360" w:lineRule="auto"/>
        <w:ind w:firstLineChars="200" w:firstLine="482"/>
        <w:outlineLvl w:val="1"/>
        <w:rPr>
          <w:b/>
          <w:kern w:val="0"/>
          <w:sz w:val="24"/>
        </w:rPr>
      </w:pPr>
      <w:r>
        <w:rPr>
          <w:b/>
          <w:kern w:val="0"/>
          <w:sz w:val="24"/>
        </w:rPr>
        <w:t>（四）争议的处理和适用的法律</w:t>
      </w:r>
    </w:p>
    <w:p w:rsidR="00B67D8A" w:rsidRDefault="00B67D8A">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B67D8A" w:rsidRDefault="00B67D8A">
      <w:pPr>
        <w:widowControl/>
        <w:adjustRightInd w:val="0"/>
        <w:snapToGrid w:val="0"/>
        <w:spacing w:line="360" w:lineRule="auto"/>
        <w:ind w:firstLineChars="200" w:firstLine="480"/>
        <w:outlineLvl w:val="1"/>
        <w:rPr>
          <w:bCs/>
          <w:sz w:val="24"/>
        </w:rPr>
      </w:pPr>
      <w:r>
        <w:rPr>
          <w:bCs/>
          <w:sz w:val="24"/>
        </w:rPr>
        <w:t>基金合同受中国法律管辖。</w:t>
      </w:r>
      <w:bookmarkStart w:id="105" w:name="_Toc523711688"/>
    </w:p>
    <w:p w:rsidR="00B67D8A" w:rsidRDefault="00B67D8A">
      <w:pPr>
        <w:widowControl/>
        <w:adjustRightInd w:val="0"/>
        <w:snapToGrid w:val="0"/>
        <w:spacing w:line="360" w:lineRule="auto"/>
        <w:ind w:firstLineChars="200" w:firstLine="482"/>
        <w:outlineLvl w:val="1"/>
        <w:rPr>
          <w:b/>
          <w:kern w:val="0"/>
          <w:sz w:val="24"/>
        </w:rPr>
      </w:pPr>
      <w:r>
        <w:rPr>
          <w:b/>
          <w:kern w:val="0"/>
          <w:sz w:val="24"/>
        </w:rPr>
        <w:t>（五）基金合同存放及投资者取得基金合同的方式</w:t>
      </w:r>
    </w:p>
    <w:p w:rsidR="00B67D8A" w:rsidRDefault="00B67D8A">
      <w:pPr>
        <w:widowControl/>
        <w:adjustRightInd w:val="0"/>
        <w:snapToGrid w:val="0"/>
        <w:spacing w:line="360" w:lineRule="auto"/>
        <w:ind w:firstLineChars="200" w:firstLine="480"/>
        <w:outlineLvl w:val="1"/>
        <w:rPr>
          <w:bCs/>
          <w:sz w:val="24"/>
        </w:rPr>
      </w:pPr>
      <w:r>
        <w:rPr>
          <w:rFonts w:hint="eastAsia"/>
          <w:bCs/>
          <w:sz w:val="24"/>
        </w:rPr>
        <w:t>基金合同正本一式六份，除上报有关监管机构一式二份外，基金管理人、基金托管人各持有二份，每份具有同等的法律效力。</w:t>
      </w:r>
    </w:p>
    <w:p w:rsidR="00B67D8A" w:rsidRDefault="00B67D8A">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bookmarkEnd w:id="105"/>
    </w:p>
    <w:p w:rsidR="00B67D8A" w:rsidRDefault="00B67D8A">
      <w:pPr>
        <w:adjustRightInd w:val="0"/>
        <w:snapToGrid w:val="0"/>
        <w:spacing w:line="360" w:lineRule="auto"/>
        <w:ind w:firstLineChars="200" w:firstLine="480"/>
        <w:rPr>
          <w:rFonts w:ascii="宋体" w:hAnsi="宋体"/>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106" w:name="_Toc382321333"/>
      <w:r>
        <w:rPr>
          <w:rFonts w:ascii="宋体" w:hAnsi="宋体" w:hint="eastAsia"/>
          <w:b/>
          <w:kern w:val="0"/>
          <w:sz w:val="30"/>
        </w:rPr>
        <w:t>二十二、托管协议的内容摘要</w:t>
      </w:r>
      <w:bookmarkEnd w:id="106"/>
    </w:p>
    <w:p w:rsidR="00B67D8A" w:rsidRDefault="00B67D8A">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B67D8A" w:rsidRDefault="00B67D8A">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rsidR="00B67D8A" w:rsidRDefault="00B67D8A">
      <w:pPr>
        <w:adjustRightInd w:val="0"/>
        <w:snapToGrid w:val="0"/>
        <w:spacing w:line="360" w:lineRule="auto"/>
        <w:ind w:firstLineChars="200" w:firstLine="480"/>
        <w:rPr>
          <w:sz w:val="24"/>
          <w:szCs w:val="24"/>
        </w:rPr>
      </w:pPr>
      <w:r>
        <w:rPr>
          <w:rFonts w:hAnsi="宋体"/>
          <w:sz w:val="24"/>
          <w:szCs w:val="24"/>
        </w:rPr>
        <w:t>名称：交银施罗德基金管理有限公司</w:t>
      </w:r>
    </w:p>
    <w:p w:rsidR="00B67D8A" w:rsidRDefault="00B67D8A">
      <w:pPr>
        <w:adjustRightInd w:val="0"/>
        <w:snapToGrid w:val="0"/>
        <w:spacing w:line="360" w:lineRule="auto"/>
        <w:ind w:firstLineChars="200" w:firstLine="480"/>
        <w:rPr>
          <w:sz w:val="24"/>
          <w:szCs w:val="24"/>
        </w:rPr>
      </w:pPr>
      <w:r>
        <w:rPr>
          <w:rFonts w:hAnsi="宋体"/>
          <w:sz w:val="24"/>
          <w:szCs w:val="24"/>
        </w:rPr>
        <w:t>注册地址：上海市浦东</w:t>
      </w:r>
      <w:proofErr w:type="gramStart"/>
      <w:r>
        <w:rPr>
          <w:rFonts w:hAnsi="宋体"/>
          <w:sz w:val="24"/>
          <w:szCs w:val="24"/>
        </w:rPr>
        <w:t>新区银</w:t>
      </w:r>
      <w:proofErr w:type="gramEnd"/>
      <w:r>
        <w:rPr>
          <w:rFonts w:hAnsi="宋体"/>
          <w:sz w:val="24"/>
          <w:szCs w:val="24"/>
        </w:rPr>
        <w:t>城中路</w:t>
      </w:r>
      <w:r>
        <w:rPr>
          <w:sz w:val="24"/>
          <w:szCs w:val="24"/>
        </w:rPr>
        <w:t>188</w:t>
      </w:r>
      <w:r>
        <w:rPr>
          <w:rFonts w:hAnsi="宋体"/>
          <w:sz w:val="24"/>
          <w:szCs w:val="24"/>
        </w:rPr>
        <w:t>号交通银行大楼二层（裙）</w:t>
      </w:r>
    </w:p>
    <w:p w:rsidR="00B67D8A" w:rsidRDefault="00B67D8A">
      <w:pPr>
        <w:adjustRightInd w:val="0"/>
        <w:snapToGrid w:val="0"/>
        <w:spacing w:line="360" w:lineRule="auto"/>
        <w:ind w:firstLineChars="200" w:firstLine="480"/>
        <w:rPr>
          <w:sz w:val="24"/>
          <w:szCs w:val="24"/>
        </w:rPr>
      </w:pPr>
      <w:r>
        <w:rPr>
          <w:rFonts w:hAnsi="宋体"/>
          <w:sz w:val="24"/>
          <w:szCs w:val="24"/>
        </w:rPr>
        <w:lastRenderedPageBreak/>
        <w:t>办公地址：</w:t>
      </w:r>
      <w:r w:rsidR="00C51B21" w:rsidRPr="001734F7">
        <w:rPr>
          <w:rFonts w:ascii="宋体" w:hAnsi="宋体" w:cs="宋体" w:hint="eastAsia"/>
          <w:sz w:val="24"/>
        </w:rPr>
        <w:t>上海浦东</w:t>
      </w:r>
      <w:proofErr w:type="gramStart"/>
      <w:r w:rsidR="00C51B21" w:rsidRPr="001734F7">
        <w:rPr>
          <w:rFonts w:ascii="宋体" w:hAnsi="宋体" w:cs="宋体" w:hint="eastAsia"/>
          <w:sz w:val="24"/>
        </w:rPr>
        <w:t>新区世纪</w:t>
      </w:r>
      <w:proofErr w:type="gramEnd"/>
      <w:r w:rsidR="00C51B21" w:rsidRPr="001734F7">
        <w:rPr>
          <w:rFonts w:ascii="宋体" w:hAnsi="宋体" w:cs="宋体" w:hint="eastAsia"/>
          <w:sz w:val="24"/>
        </w:rPr>
        <w:t>大道8号国</w:t>
      </w:r>
      <w:proofErr w:type="gramStart"/>
      <w:r w:rsidR="00C51B21" w:rsidRPr="001734F7">
        <w:rPr>
          <w:rFonts w:ascii="宋体" w:hAnsi="宋体" w:cs="宋体" w:hint="eastAsia"/>
          <w:sz w:val="24"/>
        </w:rPr>
        <w:t>金中心</w:t>
      </w:r>
      <w:proofErr w:type="gramEnd"/>
      <w:r w:rsidR="00C51B21" w:rsidRPr="001734F7">
        <w:rPr>
          <w:rFonts w:ascii="宋体" w:hAnsi="宋体" w:cs="宋体" w:hint="eastAsia"/>
          <w:sz w:val="24"/>
        </w:rPr>
        <w:t>二期21-22楼</w:t>
      </w:r>
    </w:p>
    <w:p w:rsidR="00B67D8A" w:rsidRDefault="00B67D8A">
      <w:pPr>
        <w:adjustRightInd w:val="0"/>
        <w:snapToGrid w:val="0"/>
        <w:spacing w:line="360" w:lineRule="auto"/>
        <w:ind w:firstLineChars="200" w:firstLine="480"/>
        <w:rPr>
          <w:sz w:val="24"/>
          <w:szCs w:val="24"/>
        </w:rPr>
      </w:pPr>
      <w:r>
        <w:rPr>
          <w:rFonts w:hAnsi="宋体"/>
          <w:sz w:val="24"/>
          <w:szCs w:val="24"/>
        </w:rPr>
        <w:t>邮政编码：</w:t>
      </w:r>
      <w:r>
        <w:rPr>
          <w:sz w:val="24"/>
          <w:szCs w:val="24"/>
        </w:rPr>
        <w:t>200120</w:t>
      </w:r>
    </w:p>
    <w:p w:rsidR="00B67D8A" w:rsidRDefault="00B67D8A">
      <w:pPr>
        <w:adjustRightInd w:val="0"/>
        <w:snapToGrid w:val="0"/>
        <w:spacing w:line="360" w:lineRule="auto"/>
        <w:ind w:firstLineChars="200" w:firstLine="480"/>
        <w:rPr>
          <w:sz w:val="24"/>
          <w:szCs w:val="24"/>
        </w:rPr>
      </w:pPr>
      <w:r>
        <w:rPr>
          <w:rFonts w:hAnsi="宋体"/>
          <w:sz w:val="24"/>
          <w:szCs w:val="24"/>
        </w:rPr>
        <w:t>法定代表人：钱文挥</w:t>
      </w:r>
    </w:p>
    <w:p w:rsidR="00B67D8A" w:rsidRDefault="00B67D8A">
      <w:pPr>
        <w:adjustRightInd w:val="0"/>
        <w:snapToGrid w:val="0"/>
        <w:spacing w:line="360" w:lineRule="auto"/>
        <w:ind w:firstLineChars="200" w:firstLine="480"/>
        <w:rPr>
          <w:sz w:val="24"/>
          <w:szCs w:val="24"/>
        </w:rPr>
      </w:pPr>
      <w:r>
        <w:rPr>
          <w:rFonts w:hAnsi="宋体"/>
          <w:sz w:val="24"/>
          <w:szCs w:val="24"/>
        </w:rPr>
        <w:t>成立日期：</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p>
    <w:p w:rsidR="00B67D8A" w:rsidRDefault="00B67D8A">
      <w:pPr>
        <w:adjustRightInd w:val="0"/>
        <w:snapToGrid w:val="0"/>
        <w:spacing w:line="360" w:lineRule="auto"/>
        <w:ind w:firstLineChars="200" w:firstLine="480"/>
        <w:rPr>
          <w:sz w:val="24"/>
          <w:szCs w:val="24"/>
        </w:rPr>
      </w:pPr>
      <w:r>
        <w:rPr>
          <w:rFonts w:hAnsi="宋体"/>
          <w:sz w:val="24"/>
          <w:szCs w:val="24"/>
        </w:rPr>
        <w:t>批准设立机关及批准设立文号：中国证监会证</w:t>
      </w:r>
      <w:proofErr w:type="gramStart"/>
      <w:r>
        <w:rPr>
          <w:rFonts w:hAnsi="宋体"/>
          <w:sz w:val="24"/>
          <w:szCs w:val="24"/>
        </w:rPr>
        <w:t>监基金字</w:t>
      </w:r>
      <w:proofErr w:type="gramEnd"/>
      <w:r>
        <w:rPr>
          <w:sz w:val="24"/>
          <w:szCs w:val="24"/>
        </w:rPr>
        <w:t>[2005]128</w:t>
      </w:r>
      <w:r>
        <w:rPr>
          <w:rFonts w:hAnsi="宋体"/>
          <w:sz w:val="24"/>
          <w:szCs w:val="24"/>
        </w:rPr>
        <w:t>号</w:t>
      </w:r>
    </w:p>
    <w:p w:rsidR="00B67D8A" w:rsidRDefault="00B67D8A">
      <w:pPr>
        <w:adjustRightInd w:val="0"/>
        <w:snapToGrid w:val="0"/>
        <w:spacing w:line="360" w:lineRule="auto"/>
        <w:ind w:firstLineChars="200" w:firstLine="480"/>
        <w:rPr>
          <w:sz w:val="24"/>
          <w:szCs w:val="24"/>
        </w:rPr>
      </w:pPr>
      <w:r>
        <w:rPr>
          <w:rFonts w:hAnsi="宋体"/>
          <w:sz w:val="24"/>
          <w:szCs w:val="24"/>
        </w:rPr>
        <w:t>组织形式：有限责任公司</w:t>
      </w:r>
    </w:p>
    <w:p w:rsidR="00B67D8A" w:rsidRDefault="00B67D8A">
      <w:pPr>
        <w:adjustRightInd w:val="0"/>
        <w:snapToGrid w:val="0"/>
        <w:spacing w:line="360" w:lineRule="auto"/>
        <w:ind w:firstLineChars="200" w:firstLine="480"/>
        <w:rPr>
          <w:sz w:val="24"/>
          <w:szCs w:val="24"/>
        </w:rPr>
      </w:pPr>
      <w:r>
        <w:rPr>
          <w:rFonts w:hAnsi="宋体"/>
          <w:sz w:val="24"/>
          <w:szCs w:val="24"/>
        </w:rPr>
        <w:t>注册资本：</w:t>
      </w:r>
      <w:r>
        <w:rPr>
          <w:sz w:val="24"/>
          <w:szCs w:val="24"/>
        </w:rPr>
        <w:t>2</w:t>
      </w:r>
      <w:r>
        <w:rPr>
          <w:rFonts w:hAnsi="宋体"/>
          <w:sz w:val="24"/>
          <w:szCs w:val="24"/>
        </w:rPr>
        <w:t>亿元人民币</w:t>
      </w:r>
    </w:p>
    <w:p w:rsidR="00B67D8A" w:rsidRDefault="00B67D8A">
      <w:pPr>
        <w:adjustRightInd w:val="0"/>
        <w:snapToGrid w:val="0"/>
        <w:spacing w:line="360" w:lineRule="auto"/>
        <w:ind w:firstLineChars="200" w:firstLine="480"/>
        <w:rPr>
          <w:sz w:val="24"/>
          <w:szCs w:val="24"/>
        </w:rPr>
      </w:pPr>
      <w:r>
        <w:rPr>
          <w:rFonts w:hAnsi="宋体"/>
          <w:sz w:val="24"/>
          <w:szCs w:val="24"/>
        </w:rPr>
        <w:t>存续期间：持续经营</w:t>
      </w:r>
    </w:p>
    <w:p w:rsidR="00B67D8A" w:rsidRDefault="00B67D8A">
      <w:pPr>
        <w:widowControl/>
        <w:adjustRightInd w:val="0"/>
        <w:snapToGrid w:val="0"/>
        <w:spacing w:line="360" w:lineRule="auto"/>
        <w:ind w:firstLineChars="200" w:firstLine="480"/>
        <w:rPr>
          <w:kern w:val="0"/>
          <w:sz w:val="24"/>
        </w:rPr>
      </w:pPr>
      <w:r>
        <w:rPr>
          <w:rFonts w:hAnsi="宋体"/>
          <w:sz w:val="24"/>
          <w:szCs w:val="24"/>
        </w:rPr>
        <w:t>经营范围：基金管理业务、发起设立基金及中国证券监督管理委员会批准的其他业务。</w:t>
      </w:r>
    </w:p>
    <w:p w:rsidR="00B67D8A" w:rsidRDefault="00B67D8A">
      <w:pPr>
        <w:widowControl/>
        <w:adjustRightInd w:val="0"/>
        <w:snapToGrid w:val="0"/>
        <w:spacing w:line="360" w:lineRule="auto"/>
        <w:ind w:firstLineChars="200" w:firstLine="480"/>
        <w:rPr>
          <w:kern w:val="0"/>
          <w:sz w:val="24"/>
        </w:rPr>
      </w:pPr>
      <w:r>
        <w:rPr>
          <w:kern w:val="0"/>
          <w:sz w:val="24"/>
        </w:rPr>
        <w:t>2</w:t>
      </w:r>
      <w:r>
        <w:rPr>
          <w:rFonts w:hAnsi="宋体"/>
          <w:kern w:val="0"/>
          <w:sz w:val="24"/>
        </w:rPr>
        <w:t>、基金托管人</w:t>
      </w:r>
    </w:p>
    <w:p w:rsidR="00B67D8A" w:rsidRDefault="00B67D8A">
      <w:pPr>
        <w:adjustRightInd w:val="0"/>
        <w:snapToGrid w:val="0"/>
        <w:spacing w:line="360" w:lineRule="auto"/>
        <w:ind w:firstLineChars="200" w:firstLine="480"/>
        <w:rPr>
          <w:rFonts w:hAnsi="宋体"/>
          <w:sz w:val="24"/>
          <w:szCs w:val="24"/>
        </w:rPr>
      </w:pPr>
      <w:r>
        <w:rPr>
          <w:rFonts w:hAnsi="宋体"/>
          <w:sz w:val="24"/>
          <w:szCs w:val="24"/>
        </w:rPr>
        <w:t>名称：中国农业银行股份有限公司</w:t>
      </w:r>
    </w:p>
    <w:p w:rsidR="00B67D8A" w:rsidRDefault="00B67D8A">
      <w:pPr>
        <w:adjustRightInd w:val="0"/>
        <w:snapToGrid w:val="0"/>
        <w:spacing w:line="360" w:lineRule="auto"/>
        <w:ind w:firstLineChars="200" w:firstLine="480"/>
        <w:rPr>
          <w:sz w:val="24"/>
          <w:szCs w:val="24"/>
        </w:rPr>
      </w:pPr>
      <w:r>
        <w:rPr>
          <w:rFonts w:hAnsi="宋体"/>
          <w:sz w:val="24"/>
          <w:szCs w:val="24"/>
        </w:rPr>
        <w:t>注册地址：北京市东城区建国门内大街</w:t>
      </w:r>
      <w:r>
        <w:rPr>
          <w:sz w:val="24"/>
          <w:szCs w:val="24"/>
        </w:rPr>
        <w:t>69</w:t>
      </w:r>
      <w:r>
        <w:rPr>
          <w:rFonts w:hAnsi="宋体"/>
          <w:sz w:val="24"/>
          <w:szCs w:val="24"/>
        </w:rPr>
        <w:t>号</w:t>
      </w:r>
    </w:p>
    <w:p w:rsidR="00B67D8A" w:rsidRDefault="00B67D8A">
      <w:pPr>
        <w:adjustRightInd w:val="0"/>
        <w:snapToGrid w:val="0"/>
        <w:spacing w:line="360" w:lineRule="auto"/>
        <w:ind w:firstLineChars="200" w:firstLine="480"/>
        <w:rPr>
          <w:sz w:val="24"/>
          <w:szCs w:val="24"/>
        </w:rPr>
      </w:pPr>
      <w:r>
        <w:rPr>
          <w:rFonts w:hAnsi="宋体"/>
          <w:sz w:val="24"/>
          <w:szCs w:val="24"/>
        </w:rPr>
        <w:t>办公地址：北京市西城区复兴门内大街</w:t>
      </w:r>
      <w:r>
        <w:rPr>
          <w:sz w:val="24"/>
          <w:szCs w:val="24"/>
        </w:rPr>
        <w:t>28</w:t>
      </w:r>
      <w:r>
        <w:rPr>
          <w:rFonts w:hAnsi="宋体"/>
          <w:sz w:val="24"/>
          <w:szCs w:val="24"/>
        </w:rPr>
        <w:t>号</w:t>
      </w:r>
      <w:proofErr w:type="gramStart"/>
      <w:r>
        <w:rPr>
          <w:rFonts w:hAnsi="宋体"/>
          <w:sz w:val="24"/>
          <w:szCs w:val="24"/>
        </w:rPr>
        <w:t>凯</w:t>
      </w:r>
      <w:proofErr w:type="gramEnd"/>
      <w:r>
        <w:rPr>
          <w:rFonts w:hAnsi="宋体"/>
          <w:sz w:val="24"/>
          <w:szCs w:val="24"/>
        </w:rPr>
        <w:t>晨世贸中心东座九层</w:t>
      </w:r>
    </w:p>
    <w:p w:rsidR="00B67D8A" w:rsidRDefault="00B67D8A">
      <w:pPr>
        <w:adjustRightInd w:val="0"/>
        <w:snapToGrid w:val="0"/>
        <w:spacing w:line="360" w:lineRule="auto"/>
        <w:ind w:firstLineChars="200" w:firstLine="480"/>
        <w:rPr>
          <w:sz w:val="24"/>
          <w:szCs w:val="24"/>
        </w:rPr>
      </w:pPr>
      <w:r>
        <w:rPr>
          <w:rFonts w:hAnsi="宋体"/>
          <w:sz w:val="24"/>
          <w:szCs w:val="24"/>
        </w:rPr>
        <w:t>邮政编码：</w:t>
      </w:r>
      <w:r>
        <w:rPr>
          <w:sz w:val="24"/>
          <w:szCs w:val="24"/>
        </w:rPr>
        <w:t>100031</w:t>
      </w:r>
    </w:p>
    <w:p w:rsidR="00B67D8A" w:rsidRDefault="00B67D8A">
      <w:pPr>
        <w:adjustRightInd w:val="0"/>
        <w:snapToGrid w:val="0"/>
        <w:spacing w:line="360" w:lineRule="auto"/>
        <w:ind w:firstLineChars="200" w:firstLine="480"/>
        <w:rPr>
          <w:sz w:val="24"/>
          <w:szCs w:val="24"/>
        </w:rPr>
      </w:pPr>
      <w:r>
        <w:rPr>
          <w:rFonts w:hAnsi="宋体"/>
          <w:sz w:val="24"/>
          <w:szCs w:val="24"/>
        </w:rPr>
        <w:t>法定代表人：蒋超良</w:t>
      </w:r>
    </w:p>
    <w:p w:rsidR="00B67D8A" w:rsidRDefault="00B67D8A">
      <w:pPr>
        <w:adjustRightInd w:val="0"/>
        <w:snapToGrid w:val="0"/>
        <w:spacing w:line="360" w:lineRule="auto"/>
        <w:ind w:firstLineChars="200" w:firstLine="480"/>
        <w:rPr>
          <w:sz w:val="24"/>
          <w:szCs w:val="24"/>
        </w:rPr>
      </w:pPr>
      <w:r>
        <w:rPr>
          <w:rFonts w:hAnsi="宋体"/>
          <w:sz w:val="24"/>
          <w:szCs w:val="24"/>
        </w:rPr>
        <w:t>成立时间：</w:t>
      </w:r>
      <w:r>
        <w:rPr>
          <w:sz w:val="24"/>
          <w:szCs w:val="24"/>
        </w:rPr>
        <w:t>2009</w:t>
      </w:r>
      <w:r>
        <w:rPr>
          <w:rFonts w:hAnsi="宋体"/>
          <w:sz w:val="24"/>
          <w:szCs w:val="24"/>
        </w:rPr>
        <w:t>年</w:t>
      </w:r>
      <w:r>
        <w:rPr>
          <w:sz w:val="24"/>
          <w:szCs w:val="24"/>
        </w:rPr>
        <w:t>1</w:t>
      </w:r>
      <w:r>
        <w:rPr>
          <w:rFonts w:hAnsi="宋体"/>
          <w:sz w:val="24"/>
          <w:szCs w:val="24"/>
        </w:rPr>
        <w:t>月</w:t>
      </w:r>
      <w:r>
        <w:rPr>
          <w:sz w:val="24"/>
          <w:szCs w:val="24"/>
        </w:rPr>
        <w:t>15</w:t>
      </w:r>
      <w:r>
        <w:rPr>
          <w:rFonts w:hAnsi="宋体"/>
          <w:sz w:val="24"/>
          <w:szCs w:val="24"/>
        </w:rPr>
        <w:t>日</w:t>
      </w:r>
    </w:p>
    <w:p w:rsidR="00B67D8A" w:rsidRDefault="00B67D8A">
      <w:pPr>
        <w:adjustRightInd w:val="0"/>
        <w:snapToGrid w:val="0"/>
        <w:spacing w:line="360" w:lineRule="auto"/>
        <w:ind w:firstLineChars="200" w:firstLine="480"/>
        <w:rPr>
          <w:sz w:val="24"/>
          <w:szCs w:val="24"/>
        </w:rPr>
      </w:pPr>
      <w:r>
        <w:rPr>
          <w:rFonts w:hAnsi="宋体"/>
          <w:sz w:val="24"/>
          <w:szCs w:val="24"/>
        </w:rPr>
        <w:t>基金托管资格批准文号：中国证监会</w:t>
      </w:r>
      <w:proofErr w:type="gramStart"/>
      <w:r>
        <w:rPr>
          <w:rFonts w:hAnsi="宋体"/>
          <w:sz w:val="24"/>
          <w:szCs w:val="24"/>
        </w:rPr>
        <w:t>证监基字</w:t>
      </w:r>
      <w:proofErr w:type="gramEnd"/>
      <w:r>
        <w:rPr>
          <w:sz w:val="24"/>
          <w:szCs w:val="24"/>
        </w:rPr>
        <w:t>[1998]23</w:t>
      </w:r>
      <w:r>
        <w:rPr>
          <w:rFonts w:hAnsi="宋体"/>
          <w:sz w:val="24"/>
          <w:szCs w:val="24"/>
        </w:rPr>
        <w:t>号</w:t>
      </w:r>
    </w:p>
    <w:p w:rsidR="00B67D8A" w:rsidRDefault="00B67D8A">
      <w:pPr>
        <w:adjustRightInd w:val="0"/>
        <w:snapToGrid w:val="0"/>
        <w:spacing w:line="360" w:lineRule="auto"/>
        <w:ind w:firstLineChars="200" w:firstLine="480"/>
        <w:rPr>
          <w:sz w:val="24"/>
          <w:szCs w:val="24"/>
        </w:rPr>
      </w:pPr>
      <w:r>
        <w:rPr>
          <w:rFonts w:hAnsi="宋体"/>
          <w:sz w:val="24"/>
          <w:szCs w:val="24"/>
        </w:rPr>
        <w:t>注册资本：</w:t>
      </w:r>
      <w:r>
        <w:rPr>
          <w:sz w:val="24"/>
          <w:szCs w:val="24"/>
        </w:rPr>
        <w:t>32,479,411.7</w:t>
      </w:r>
      <w:r>
        <w:rPr>
          <w:rFonts w:hAnsi="宋体"/>
          <w:sz w:val="24"/>
          <w:szCs w:val="24"/>
        </w:rPr>
        <w:t>万元人民币</w:t>
      </w:r>
    </w:p>
    <w:p w:rsidR="00B67D8A" w:rsidRDefault="00B67D8A">
      <w:pPr>
        <w:adjustRightInd w:val="0"/>
        <w:snapToGrid w:val="0"/>
        <w:spacing w:line="360" w:lineRule="auto"/>
        <w:ind w:firstLineChars="200" w:firstLine="480"/>
        <w:rPr>
          <w:sz w:val="24"/>
          <w:szCs w:val="24"/>
        </w:rPr>
      </w:pPr>
      <w:r>
        <w:rPr>
          <w:rFonts w:hAnsi="宋体"/>
          <w:sz w:val="24"/>
          <w:szCs w:val="24"/>
        </w:rPr>
        <w:t>存续期间：持续经营</w:t>
      </w:r>
    </w:p>
    <w:p w:rsidR="00B67D8A" w:rsidRPr="00A568E6" w:rsidRDefault="00B67D8A" w:rsidP="00A568E6">
      <w:pPr>
        <w:adjustRightInd w:val="0"/>
        <w:snapToGrid w:val="0"/>
        <w:spacing w:line="360" w:lineRule="auto"/>
        <w:ind w:firstLineChars="200" w:firstLine="480"/>
        <w:rPr>
          <w:rFonts w:hAnsi="宋体"/>
          <w:sz w:val="24"/>
          <w:szCs w:val="24"/>
        </w:rPr>
      </w:pPr>
      <w:r w:rsidRPr="00A568E6">
        <w:rPr>
          <w:rFonts w:hAnsi="宋体" w:hint="eastAsia"/>
          <w:sz w:val="24"/>
          <w:szCs w:val="24"/>
        </w:rPr>
        <w:t>经营范围：</w:t>
      </w:r>
      <w:r w:rsidR="00D201C0" w:rsidRPr="00D201C0">
        <w:rPr>
          <w:rFonts w:hAnsi="宋体" w:hint="eastAsia"/>
          <w:sz w:val="24"/>
          <w:szCs w:val="24"/>
        </w:rPr>
        <w:t>吸收公众存款；发放短期、中期、长期贷款；办理国内外结</w:t>
      </w:r>
      <w:r w:rsidR="00D201C0" w:rsidRPr="00D201C0">
        <w:rPr>
          <w:rFonts w:hAnsi="宋体" w:hint="eastAsia"/>
          <w:sz w:val="24"/>
          <w:szCs w:val="24"/>
        </w:rPr>
        <w:t xml:space="preserve"> </w:t>
      </w:r>
      <w:r w:rsidR="00D201C0" w:rsidRPr="00D201C0">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w:t>
      </w:r>
      <w:r w:rsidR="00D201C0" w:rsidRPr="00D201C0">
        <w:rPr>
          <w:rFonts w:hAnsi="宋体" w:hint="eastAsia"/>
          <w:sz w:val="24"/>
          <w:szCs w:val="24"/>
        </w:rPr>
        <w:lastRenderedPageBreak/>
        <w:t>个人财务顾问服务；证券公司客户交易结算资金存管业务；证券投资基金托管业务；企业年金托管业务；产业投资基金托管业务；合格境外机构投资者境内证</w:t>
      </w:r>
      <w:r w:rsidR="00D201C0" w:rsidRPr="00D201C0">
        <w:rPr>
          <w:rFonts w:hAnsi="宋体" w:hint="eastAsia"/>
          <w:sz w:val="24"/>
          <w:szCs w:val="24"/>
        </w:rPr>
        <w:t xml:space="preserve"> </w:t>
      </w:r>
      <w:proofErr w:type="gramStart"/>
      <w:r w:rsidR="00D201C0" w:rsidRPr="00D201C0">
        <w:rPr>
          <w:rFonts w:hAnsi="宋体" w:hint="eastAsia"/>
          <w:sz w:val="24"/>
          <w:szCs w:val="24"/>
        </w:rPr>
        <w:t>券</w:t>
      </w:r>
      <w:proofErr w:type="gramEnd"/>
      <w:r w:rsidR="00D201C0" w:rsidRPr="00D201C0">
        <w:rPr>
          <w:rFonts w:hAnsi="宋体" w:hint="eastAsia"/>
          <w:sz w:val="24"/>
          <w:szCs w:val="24"/>
        </w:rPr>
        <w:t>投资托管业务；代理开放式基金业务；电话银行、手机银行、网上银行业务；金融衍生产品交易业务；经国务院银行业监督管理机构等监管部门批准的其他业务。</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rsidR="00B67D8A" w:rsidRDefault="00B67D8A">
      <w:pPr>
        <w:adjustRightInd w:val="0"/>
        <w:snapToGrid w:val="0"/>
        <w:spacing w:line="360" w:lineRule="auto"/>
        <w:ind w:firstLineChars="200" w:firstLine="480"/>
        <w:rPr>
          <w:sz w:val="24"/>
          <w:szCs w:val="24"/>
        </w:rPr>
      </w:pPr>
      <w:r>
        <w:rPr>
          <w:sz w:val="24"/>
          <w:szCs w:val="24"/>
        </w:rPr>
        <w:t>1</w:t>
      </w:r>
      <w:r>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67D8A" w:rsidRDefault="00B67D8A">
      <w:pPr>
        <w:adjustRightInd w:val="0"/>
        <w:snapToGrid w:val="0"/>
        <w:spacing w:line="360" w:lineRule="auto"/>
        <w:ind w:firstLineChars="200" w:firstLine="480"/>
        <w:rPr>
          <w:bCs/>
          <w:sz w:val="24"/>
        </w:rPr>
      </w:pPr>
      <w:r>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B67D8A" w:rsidRDefault="00B67D8A">
      <w:pPr>
        <w:adjustRightInd w:val="0"/>
        <w:snapToGrid w:val="0"/>
        <w:spacing w:line="360" w:lineRule="auto"/>
        <w:ind w:firstLineChars="200" w:firstLine="480"/>
        <w:rPr>
          <w:bCs/>
          <w:sz w:val="24"/>
        </w:rPr>
      </w:pPr>
      <w:r>
        <w:rPr>
          <w:rFonts w:hAnsi="宋体"/>
          <w:bCs/>
          <w:sz w:val="24"/>
        </w:rPr>
        <w:t>本基金的投资组合比例为：股票、权证等权益类资产占基金资产净值的</w:t>
      </w:r>
      <w:r>
        <w:rPr>
          <w:bCs/>
          <w:sz w:val="24"/>
        </w:rPr>
        <w:t>30%-70%</w:t>
      </w:r>
      <w:r>
        <w:rPr>
          <w:rFonts w:hAnsi="宋体"/>
          <w:bCs/>
          <w:sz w:val="24"/>
        </w:rPr>
        <w:t>，其中权证的投资比例不超过基金资产净值的</w:t>
      </w:r>
      <w:r>
        <w:rPr>
          <w:bCs/>
          <w:sz w:val="24"/>
        </w:rPr>
        <w:t>3%</w:t>
      </w:r>
      <w:r>
        <w:rPr>
          <w:rFonts w:hAnsi="宋体"/>
          <w:bCs/>
          <w:sz w:val="24"/>
        </w:rPr>
        <w:t>；</w:t>
      </w:r>
      <w:r>
        <w:rPr>
          <w:rFonts w:hAnsi="宋体"/>
          <w:sz w:val="24"/>
        </w:rPr>
        <w:t>债券、资产支持证券、货币市场工具、银行存款等</w:t>
      </w:r>
      <w:r>
        <w:rPr>
          <w:rFonts w:hAnsi="宋体"/>
          <w:bCs/>
          <w:sz w:val="24"/>
        </w:rPr>
        <w:t>固定收益类资产和现金不低于基金资产净值的</w:t>
      </w:r>
      <w:r>
        <w:rPr>
          <w:bCs/>
          <w:sz w:val="24"/>
        </w:rPr>
        <w:t>30%</w:t>
      </w:r>
      <w:r>
        <w:rPr>
          <w:rFonts w:hAnsi="宋体"/>
          <w:bCs/>
          <w:sz w:val="24"/>
        </w:rPr>
        <w:t>，其中现金或到期日在一年以内的政府债券投资比例不低于基金资产净值的</w:t>
      </w:r>
      <w:r>
        <w:rPr>
          <w:bCs/>
          <w:sz w:val="24"/>
        </w:rPr>
        <w:t>5%</w:t>
      </w:r>
      <w:r>
        <w:rPr>
          <w:rFonts w:hAnsi="宋体"/>
          <w:bCs/>
          <w:sz w:val="24"/>
        </w:rPr>
        <w:t>。</w:t>
      </w:r>
    </w:p>
    <w:p w:rsidR="00B67D8A" w:rsidRDefault="00B67D8A">
      <w:pPr>
        <w:widowControl/>
        <w:adjustRightInd w:val="0"/>
        <w:snapToGrid w:val="0"/>
        <w:spacing w:line="360" w:lineRule="auto"/>
        <w:ind w:firstLineChars="200" w:firstLine="480"/>
        <w:outlineLvl w:val="1"/>
        <w:rPr>
          <w:sz w:val="24"/>
          <w:szCs w:val="24"/>
        </w:rPr>
      </w:pPr>
      <w:r>
        <w:rPr>
          <w:rFonts w:hAnsi="宋体"/>
          <w:bCs/>
          <w:sz w:val="24"/>
        </w:rPr>
        <w:t>如法律法规或监管机构以后允许基金投资其他品种，基金管理人在履行适当程序后，可以将其纳入投资范围，并可依据届时有效的法律法规适时合理地调整投资范围。</w:t>
      </w:r>
    </w:p>
    <w:p w:rsidR="00B67D8A" w:rsidRDefault="00B67D8A">
      <w:pPr>
        <w:adjustRightInd w:val="0"/>
        <w:snapToGrid w:val="0"/>
        <w:spacing w:line="360" w:lineRule="auto"/>
        <w:ind w:firstLineChars="200" w:firstLine="480"/>
        <w:rPr>
          <w:sz w:val="24"/>
          <w:szCs w:val="24"/>
        </w:rPr>
      </w:pPr>
      <w:r>
        <w:rPr>
          <w:sz w:val="24"/>
          <w:szCs w:val="24"/>
        </w:rPr>
        <w:t>2</w:t>
      </w:r>
      <w:r>
        <w:rPr>
          <w:rFonts w:hAnsi="宋体"/>
          <w:sz w:val="24"/>
          <w:szCs w:val="24"/>
        </w:rPr>
        <w:t>、基金托管人根据有关法律法规的规定及基金合同的约定，对基金投资、融资、融券比例进行监督。基金托管人按下述比例和调整期限进行监督：</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本基金持有一家上市公司的股票，其市值不超过基金资产净值的</w:t>
      </w:r>
      <w:r>
        <w:rPr>
          <w:sz w:val="24"/>
          <w:szCs w:val="24"/>
        </w:rPr>
        <w:t>10%</w:t>
      </w:r>
      <w:r>
        <w:rPr>
          <w:rFonts w:hAnsi="宋体"/>
          <w:sz w:val="24"/>
          <w:szCs w:val="24"/>
        </w:rPr>
        <w:t>；</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本基金与本基金管理人管理的且由本托管人托管的其他基金持有一家公司发行的证券，其市值不超过该证券的</w:t>
      </w:r>
      <w:r>
        <w:rPr>
          <w:sz w:val="24"/>
          <w:szCs w:val="24"/>
        </w:rPr>
        <w:t>10%</w:t>
      </w:r>
      <w:r>
        <w:rPr>
          <w:rFonts w:hAnsi="宋体"/>
          <w:sz w:val="24"/>
          <w:szCs w:val="24"/>
        </w:rPr>
        <w:t>；</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进入全国银行间同业市场进行债券回购的资金余额不超过基金资产净值的</w:t>
      </w:r>
      <w:r>
        <w:rPr>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p>
    <w:p w:rsidR="00B67D8A" w:rsidRDefault="00B67D8A">
      <w:pPr>
        <w:adjustRightInd w:val="0"/>
        <w:snapToGrid w:val="0"/>
        <w:spacing w:line="360" w:lineRule="auto"/>
        <w:ind w:firstLineChars="200" w:firstLine="480"/>
        <w:rPr>
          <w:sz w:val="24"/>
          <w:szCs w:val="24"/>
        </w:rPr>
      </w:pPr>
      <w:r>
        <w:rPr>
          <w:rFonts w:hint="eastAsia"/>
          <w:sz w:val="24"/>
          <w:szCs w:val="24"/>
        </w:rPr>
        <w:lastRenderedPageBreak/>
        <w:t>（</w:t>
      </w:r>
      <w:r>
        <w:rPr>
          <w:sz w:val="24"/>
          <w:szCs w:val="24"/>
        </w:rPr>
        <w:t>4</w:t>
      </w:r>
      <w:r>
        <w:rPr>
          <w:rFonts w:hAnsi="宋体" w:hint="eastAsia"/>
          <w:sz w:val="24"/>
          <w:szCs w:val="24"/>
        </w:rPr>
        <w:t>）</w:t>
      </w:r>
      <w:r>
        <w:rPr>
          <w:rFonts w:hAnsi="宋体"/>
          <w:sz w:val="24"/>
          <w:szCs w:val="24"/>
        </w:rPr>
        <w:t>本基金参与股票发行申购，本基金所申报的金额不超过本基金的总资产，本基金所申报的股票数量不超过拟发行股票公司本次发行股票的总量；</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本基金在任何交易日买入权证的总金额，不得超过上一交易日基金资产净值的</w:t>
      </w:r>
      <w:r>
        <w:rPr>
          <w:sz w:val="24"/>
          <w:szCs w:val="24"/>
        </w:rPr>
        <w:t>5‰</w:t>
      </w:r>
      <w:r>
        <w:rPr>
          <w:rFonts w:hAnsi="宋体"/>
          <w:sz w:val="24"/>
          <w:szCs w:val="24"/>
        </w:rPr>
        <w:t>；本基金持有的全部权证，其市值不得超过基金资产净值的</w:t>
      </w:r>
      <w:r>
        <w:rPr>
          <w:sz w:val="24"/>
          <w:szCs w:val="24"/>
        </w:rPr>
        <w:t>3%</w:t>
      </w:r>
      <w:r>
        <w:rPr>
          <w:rFonts w:hAnsi="宋体"/>
          <w:sz w:val="24"/>
          <w:szCs w:val="24"/>
        </w:rPr>
        <w:t>；本基金与本基金管理人管理的其他基金持有的同一权证，不得超过该权证的</w:t>
      </w:r>
      <w:r>
        <w:rPr>
          <w:sz w:val="24"/>
          <w:szCs w:val="24"/>
        </w:rPr>
        <w:t>10%</w:t>
      </w:r>
      <w:r>
        <w:rPr>
          <w:rFonts w:hAnsi="宋体"/>
          <w:sz w:val="24"/>
          <w:szCs w:val="24"/>
        </w:rPr>
        <w:t>；</w:t>
      </w:r>
    </w:p>
    <w:p w:rsidR="00B67D8A" w:rsidRDefault="00B67D8A">
      <w:pPr>
        <w:adjustRightInd w:val="0"/>
        <w:snapToGrid w:val="0"/>
        <w:spacing w:line="360" w:lineRule="auto"/>
        <w:ind w:firstLineChars="200" w:firstLine="480"/>
        <w:rPr>
          <w:bCs/>
          <w:sz w:val="24"/>
        </w:rPr>
      </w:pPr>
      <w:r>
        <w:rPr>
          <w:rFonts w:hint="eastAsia"/>
          <w:sz w:val="24"/>
          <w:szCs w:val="24"/>
        </w:rPr>
        <w:t>（</w:t>
      </w:r>
      <w:r>
        <w:rPr>
          <w:sz w:val="24"/>
          <w:szCs w:val="24"/>
        </w:rPr>
        <w:t>6</w:t>
      </w:r>
      <w:r>
        <w:rPr>
          <w:rFonts w:hAnsi="宋体" w:hint="eastAsia"/>
          <w:sz w:val="24"/>
          <w:szCs w:val="24"/>
        </w:rPr>
        <w:t>）</w:t>
      </w:r>
      <w:r>
        <w:rPr>
          <w:rFonts w:hAnsi="宋体"/>
          <w:bCs/>
          <w:sz w:val="24"/>
        </w:rPr>
        <w:t>本基金应投资于信用级别评级为</w:t>
      </w:r>
      <w:r>
        <w:rPr>
          <w:bCs/>
          <w:sz w:val="24"/>
        </w:rPr>
        <w:t>BBB</w:t>
      </w:r>
      <w:r>
        <w:rPr>
          <w:rFonts w:hAnsi="宋体"/>
          <w:bCs/>
          <w:sz w:val="24"/>
        </w:rPr>
        <w:t>以上</w:t>
      </w:r>
      <w:r>
        <w:rPr>
          <w:bCs/>
          <w:sz w:val="24"/>
        </w:rPr>
        <w:t>(</w:t>
      </w:r>
      <w:r>
        <w:rPr>
          <w:rFonts w:hAnsi="宋体"/>
          <w:bCs/>
          <w:sz w:val="24"/>
        </w:rPr>
        <w:t>含</w:t>
      </w:r>
      <w:r>
        <w:rPr>
          <w:bCs/>
          <w:sz w:val="24"/>
        </w:rPr>
        <w:t>BBB)</w:t>
      </w:r>
      <w:r>
        <w:rPr>
          <w:rFonts w:hAnsi="宋体"/>
          <w:bCs/>
          <w:sz w:val="24"/>
        </w:rPr>
        <w:t>的资产支持证券。基金持有资产支持证券期间，如果其信用等级下降、不再符合投资标准，应在评级报告发布之日起</w:t>
      </w:r>
      <w:r>
        <w:rPr>
          <w:bCs/>
          <w:sz w:val="24"/>
        </w:rPr>
        <w:t>3</w:t>
      </w:r>
      <w:r>
        <w:rPr>
          <w:rFonts w:hAnsi="宋体"/>
          <w:bCs/>
          <w:sz w:val="24"/>
        </w:rPr>
        <w:t>个月内予以全部卖出；</w:t>
      </w:r>
    </w:p>
    <w:p w:rsidR="00B67D8A" w:rsidRDefault="00B67D8A">
      <w:pPr>
        <w:adjustRightInd w:val="0"/>
        <w:snapToGrid w:val="0"/>
        <w:spacing w:line="360" w:lineRule="auto"/>
        <w:ind w:firstLineChars="200" w:firstLine="480"/>
        <w:rPr>
          <w:sz w:val="24"/>
          <w:szCs w:val="24"/>
        </w:rPr>
      </w:pPr>
      <w:r>
        <w:rPr>
          <w:rFonts w:hint="eastAsia"/>
          <w:bCs/>
          <w:sz w:val="24"/>
        </w:rPr>
        <w:t>（</w:t>
      </w:r>
      <w:r>
        <w:rPr>
          <w:bCs/>
          <w:sz w:val="24"/>
        </w:rPr>
        <w:t>7</w:t>
      </w:r>
      <w:r>
        <w:rPr>
          <w:rFonts w:hAnsi="宋体" w:hint="eastAsia"/>
          <w:bCs/>
          <w:sz w:val="24"/>
        </w:rPr>
        <w:t>）</w:t>
      </w:r>
      <w:r>
        <w:rPr>
          <w:rFonts w:hAnsi="宋体"/>
          <w:sz w:val="24"/>
          <w:szCs w:val="24"/>
        </w:rPr>
        <w:t>本基金持有的同一（指同一信用级别）资产支持证券的比例，不得超过该资产支持证券规模的</w:t>
      </w:r>
      <w:r>
        <w:rPr>
          <w:sz w:val="24"/>
          <w:szCs w:val="24"/>
        </w:rPr>
        <w:t>10%</w:t>
      </w:r>
      <w:r>
        <w:rPr>
          <w:rFonts w:hAnsi="宋体"/>
          <w:sz w:val="24"/>
          <w:szCs w:val="24"/>
        </w:rPr>
        <w:t>；本基金投资于同一原始权益人的各类资产支持证券的比例，不得超过基金资产净值的</w:t>
      </w:r>
      <w:r>
        <w:rPr>
          <w:sz w:val="24"/>
          <w:szCs w:val="24"/>
        </w:rPr>
        <w:t>10%</w:t>
      </w:r>
      <w:r>
        <w:rPr>
          <w:rFonts w:hAnsi="宋体"/>
          <w:sz w:val="24"/>
          <w:szCs w:val="24"/>
        </w:rPr>
        <w:t>；本基金管理人管理的全部证券投资基金投资于同一原始权益人的各类资产支持证券，不得超过其各类资产支持证券合计规模的</w:t>
      </w:r>
      <w:r>
        <w:rPr>
          <w:sz w:val="24"/>
          <w:szCs w:val="24"/>
        </w:rPr>
        <w:t>10%</w:t>
      </w:r>
      <w:r>
        <w:rPr>
          <w:rFonts w:hAnsi="宋体"/>
          <w:sz w:val="24"/>
          <w:szCs w:val="24"/>
        </w:rPr>
        <w:t>；本基金持有的全部资产支持证券，其市值不得超过基金资产净值的</w:t>
      </w:r>
      <w:r>
        <w:rPr>
          <w:sz w:val="24"/>
          <w:szCs w:val="24"/>
        </w:rPr>
        <w:t>20%</w:t>
      </w:r>
      <w:r>
        <w:rPr>
          <w:rFonts w:hAnsi="宋体"/>
          <w:sz w:val="24"/>
          <w:szCs w:val="24"/>
        </w:rPr>
        <w:t>；</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Ansi="宋体" w:hint="eastAsia"/>
          <w:sz w:val="24"/>
          <w:szCs w:val="24"/>
        </w:rPr>
        <w:t>）</w:t>
      </w:r>
      <w:r>
        <w:rPr>
          <w:rFonts w:hAnsi="宋体"/>
          <w:sz w:val="24"/>
          <w:szCs w:val="24"/>
        </w:rPr>
        <w:t>保持不低于基金资产净值</w:t>
      </w:r>
      <w:r>
        <w:rPr>
          <w:sz w:val="24"/>
          <w:szCs w:val="24"/>
        </w:rPr>
        <w:t>5%</w:t>
      </w:r>
      <w:r>
        <w:rPr>
          <w:rFonts w:hAnsi="宋体"/>
          <w:sz w:val="24"/>
          <w:szCs w:val="24"/>
        </w:rPr>
        <w:t>的现金或者到期日在一年以内的政府债券；</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9</w:t>
      </w:r>
      <w:r>
        <w:rPr>
          <w:rFonts w:hAnsi="宋体" w:hint="eastAsia"/>
          <w:sz w:val="24"/>
          <w:szCs w:val="24"/>
        </w:rPr>
        <w:t>）</w:t>
      </w:r>
      <w:r>
        <w:rPr>
          <w:rFonts w:hAnsi="宋体"/>
          <w:sz w:val="24"/>
          <w:szCs w:val="24"/>
        </w:rPr>
        <w:t>本基金不得违反基金合同中有关投资范围、投资策略、投资比例的规定；</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10</w:t>
      </w:r>
      <w:r>
        <w:rPr>
          <w:rFonts w:hAnsi="宋体" w:hint="eastAsia"/>
          <w:sz w:val="24"/>
          <w:szCs w:val="24"/>
        </w:rPr>
        <w:t>）</w:t>
      </w:r>
      <w:r>
        <w:rPr>
          <w:rFonts w:hAnsi="宋体"/>
          <w:kern w:val="0"/>
          <w:sz w:val="24"/>
          <w:szCs w:val="24"/>
        </w:rPr>
        <w:t>法律法规或监管部门对上述比例限制另有规定的，从其规定。</w:t>
      </w:r>
    </w:p>
    <w:p w:rsidR="00B67D8A" w:rsidRDefault="00B67D8A">
      <w:pPr>
        <w:adjustRightInd w:val="0"/>
        <w:snapToGrid w:val="0"/>
        <w:spacing w:line="360" w:lineRule="auto"/>
        <w:ind w:firstLineChars="200" w:firstLine="480"/>
        <w:rPr>
          <w:sz w:val="24"/>
          <w:szCs w:val="24"/>
        </w:rPr>
      </w:pPr>
      <w:r>
        <w:rPr>
          <w:rFonts w:hAnsi="宋体"/>
          <w:sz w:val="24"/>
          <w:szCs w:val="24"/>
        </w:rPr>
        <w:t>基金管理人应当自基金合同生效之日起</w:t>
      </w:r>
      <w:r>
        <w:rPr>
          <w:sz w:val="24"/>
          <w:szCs w:val="24"/>
        </w:rPr>
        <w:t>6</w:t>
      </w:r>
      <w:r>
        <w:rPr>
          <w:rFonts w:hAnsi="宋体"/>
          <w:sz w:val="24"/>
          <w:szCs w:val="24"/>
        </w:rPr>
        <w:t>个月内使基金的投资组合比例符合基金合同的有关约定。因证券市场波动、上市公司合并、基金规模变动等基金管理人之外的因素致使基金投资比例不符合上述</w:t>
      </w:r>
      <w:r>
        <w:rPr>
          <w:rFonts w:hAnsi="宋体" w:hint="eastAsia"/>
          <w:sz w:val="24"/>
          <w:szCs w:val="24"/>
        </w:rPr>
        <w:t>（</w:t>
      </w:r>
      <w:r>
        <w:rPr>
          <w:sz w:val="24"/>
          <w:szCs w:val="24"/>
        </w:rPr>
        <w:t>1</w:t>
      </w:r>
      <w:r>
        <w:rPr>
          <w:rFonts w:hint="eastAsia"/>
          <w:sz w:val="24"/>
          <w:szCs w:val="24"/>
        </w:rPr>
        <w:t>）</w:t>
      </w:r>
      <w:r>
        <w:rPr>
          <w:kern w:val="0"/>
          <w:sz w:val="24"/>
          <w:szCs w:val="24"/>
        </w:rPr>
        <w:t>-</w:t>
      </w:r>
      <w:r>
        <w:rPr>
          <w:rFonts w:hint="eastAsia"/>
          <w:kern w:val="0"/>
          <w:sz w:val="24"/>
          <w:szCs w:val="24"/>
        </w:rPr>
        <w:t>（</w:t>
      </w:r>
      <w:r>
        <w:rPr>
          <w:sz w:val="24"/>
          <w:szCs w:val="24"/>
        </w:rPr>
        <w:t>3</w:t>
      </w:r>
      <w:r>
        <w:rPr>
          <w:rFonts w:hint="eastAsia"/>
          <w:sz w:val="24"/>
          <w:szCs w:val="24"/>
        </w:rPr>
        <w:t>）</w:t>
      </w:r>
      <w:r>
        <w:rPr>
          <w:rFonts w:hAnsi="宋体"/>
          <w:sz w:val="24"/>
          <w:szCs w:val="24"/>
        </w:rPr>
        <w:t>项</w:t>
      </w:r>
      <w:r>
        <w:rPr>
          <w:rFonts w:hAnsi="宋体"/>
          <w:kern w:val="0"/>
          <w:sz w:val="24"/>
          <w:szCs w:val="24"/>
        </w:rPr>
        <w:t>以及</w:t>
      </w:r>
      <w:r>
        <w:rPr>
          <w:rFonts w:hAnsi="宋体" w:hint="eastAsia"/>
          <w:kern w:val="0"/>
          <w:sz w:val="24"/>
          <w:szCs w:val="24"/>
        </w:rPr>
        <w:t>（</w:t>
      </w:r>
      <w:r>
        <w:rPr>
          <w:kern w:val="0"/>
          <w:sz w:val="24"/>
          <w:szCs w:val="24"/>
        </w:rPr>
        <w:t>5</w:t>
      </w:r>
      <w:r>
        <w:rPr>
          <w:rFonts w:hint="eastAsia"/>
          <w:kern w:val="0"/>
          <w:sz w:val="24"/>
          <w:szCs w:val="24"/>
        </w:rPr>
        <w:t>）</w:t>
      </w:r>
      <w:r>
        <w:rPr>
          <w:kern w:val="0"/>
          <w:sz w:val="24"/>
          <w:szCs w:val="24"/>
        </w:rPr>
        <w:t>-</w:t>
      </w:r>
      <w:r>
        <w:rPr>
          <w:rFonts w:hint="eastAsia"/>
          <w:kern w:val="0"/>
          <w:sz w:val="24"/>
          <w:szCs w:val="24"/>
        </w:rPr>
        <w:t>（</w:t>
      </w:r>
      <w:r>
        <w:rPr>
          <w:kern w:val="0"/>
          <w:sz w:val="24"/>
          <w:szCs w:val="24"/>
        </w:rPr>
        <w:t>10</w:t>
      </w:r>
      <w:r>
        <w:rPr>
          <w:rFonts w:hint="eastAsia"/>
          <w:kern w:val="0"/>
          <w:sz w:val="24"/>
          <w:szCs w:val="24"/>
        </w:rPr>
        <w:t>）</w:t>
      </w:r>
      <w:r>
        <w:rPr>
          <w:rFonts w:hAnsi="宋体"/>
          <w:kern w:val="0"/>
          <w:sz w:val="24"/>
          <w:szCs w:val="24"/>
        </w:rPr>
        <w:t>项</w:t>
      </w:r>
      <w:r>
        <w:rPr>
          <w:rFonts w:hAnsi="宋体"/>
          <w:sz w:val="24"/>
          <w:szCs w:val="24"/>
        </w:rPr>
        <w:t>规定的投资比例的，基金管理人应当在</w:t>
      </w:r>
      <w:r>
        <w:rPr>
          <w:sz w:val="24"/>
          <w:szCs w:val="24"/>
        </w:rPr>
        <w:t>10</w:t>
      </w:r>
      <w:r>
        <w:rPr>
          <w:rFonts w:hAnsi="宋体"/>
          <w:sz w:val="24"/>
          <w:szCs w:val="24"/>
        </w:rPr>
        <w:t>个交易日内进行调整。</w:t>
      </w:r>
      <w:r>
        <w:rPr>
          <w:rFonts w:hAnsi="宋体"/>
          <w:kern w:val="0"/>
          <w:sz w:val="24"/>
          <w:szCs w:val="24"/>
        </w:rPr>
        <w:t>法律法规或监管部门另有规定的，从其规定。</w:t>
      </w:r>
    </w:p>
    <w:p w:rsidR="00B67D8A" w:rsidRDefault="00B67D8A">
      <w:pPr>
        <w:adjustRightInd w:val="0"/>
        <w:snapToGrid w:val="0"/>
        <w:spacing w:line="360" w:lineRule="auto"/>
        <w:ind w:firstLineChars="200" w:firstLine="480"/>
        <w:rPr>
          <w:sz w:val="24"/>
          <w:szCs w:val="24"/>
        </w:rPr>
      </w:pPr>
      <w:r>
        <w:rPr>
          <w:rFonts w:hAnsi="宋体"/>
          <w:sz w:val="24"/>
          <w:szCs w:val="24"/>
        </w:rPr>
        <w:t>上述投资组合限制条款中，若属法律法规</w:t>
      </w:r>
      <w:r>
        <w:rPr>
          <w:rFonts w:hAnsi="宋体"/>
          <w:bCs/>
          <w:sz w:val="24"/>
        </w:rPr>
        <w:t>或监管部门</w:t>
      </w:r>
      <w:r>
        <w:rPr>
          <w:rFonts w:hAnsi="宋体"/>
          <w:sz w:val="24"/>
          <w:szCs w:val="24"/>
        </w:rPr>
        <w:t>的强制性规定，则当法律法规或监管部门取消</w:t>
      </w:r>
      <w:r>
        <w:rPr>
          <w:rFonts w:hAnsi="宋体"/>
          <w:bCs/>
          <w:sz w:val="24"/>
        </w:rPr>
        <w:t>或修改</w:t>
      </w:r>
      <w:r>
        <w:rPr>
          <w:rFonts w:hAnsi="宋体"/>
          <w:sz w:val="24"/>
          <w:szCs w:val="24"/>
        </w:rPr>
        <w:t>上述限制，</w:t>
      </w:r>
      <w:r>
        <w:rPr>
          <w:rFonts w:hAnsi="宋体"/>
          <w:bCs/>
          <w:sz w:val="24"/>
        </w:rPr>
        <w:t>如适用于本基金，基金管理人</w:t>
      </w:r>
      <w:r>
        <w:rPr>
          <w:rFonts w:hAnsi="宋体"/>
          <w:sz w:val="24"/>
          <w:szCs w:val="24"/>
        </w:rPr>
        <w:t>在履行适当程序后，本基金投资</w:t>
      </w:r>
      <w:r>
        <w:rPr>
          <w:rFonts w:hAnsi="宋体"/>
          <w:bCs/>
          <w:sz w:val="24"/>
        </w:rPr>
        <w:t>所受限制相应调整</w:t>
      </w:r>
      <w:r>
        <w:rPr>
          <w:rFonts w:hAnsi="宋体"/>
          <w:sz w:val="24"/>
          <w:szCs w:val="24"/>
        </w:rPr>
        <w:t>。</w:t>
      </w:r>
    </w:p>
    <w:p w:rsidR="00B67D8A" w:rsidRDefault="00B67D8A">
      <w:pPr>
        <w:widowControl/>
        <w:adjustRightInd w:val="0"/>
        <w:snapToGrid w:val="0"/>
        <w:spacing w:line="360" w:lineRule="auto"/>
        <w:ind w:firstLineChars="200" w:firstLine="480"/>
        <w:outlineLvl w:val="1"/>
        <w:rPr>
          <w:sz w:val="24"/>
          <w:szCs w:val="24"/>
        </w:rPr>
      </w:pPr>
      <w:r>
        <w:rPr>
          <w:rFonts w:hAnsi="宋体"/>
          <w:sz w:val="24"/>
          <w:szCs w:val="24"/>
        </w:rPr>
        <w:t>基金托管人对基金投资的监督和检查自基金合同生效之日起开始。</w:t>
      </w:r>
    </w:p>
    <w:p w:rsidR="00B67D8A" w:rsidRDefault="00B67D8A">
      <w:pPr>
        <w:adjustRightInd w:val="0"/>
        <w:snapToGrid w:val="0"/>
        <w:spacing w:line="360" w:lineRule="auto"/>
        <w:ind w:firstLineChars="200" w:firstLine="480"/>
        <w:rPr>
          <w:sz w:val="24"/>
          <w:szCs w:val="24"/>
        </w:rPr>
      </w:pPr>
      <w:r>
        <w:rPr>
          <w:sz w:val="24"/>
          <w:szCs w:val="24"/>
        </w:rPr>
        <w:t>3</w:t>
      </w:r>
      <w:r>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w:t>
      </w:r>
      <w:r>
        <w:rPr>
          <w:rFonts w:hAnsi="宋体"/>
          <w:sz w:val="24"/>
          <w:szCs w:val="24"/>
        </w:rPr>
        <w:lastRenderedPageBreak/>
        <w:t>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B67D8A" w:rsidRDefault="00B67D8A">
      <w:pPr>
        <w:widowControl/>
        <w:adjustRightInd w:val="0"/>
        <w:snapToGrid w:val="0"/>
        <w:spacing w:line="360" w:lineRule="auto"/>
        <w:ind w:firstLineChars="200" w:firstLine="480"/>
        <w:outlineLvl w:val="1"/>
        <w:rPr>
          <w:rFonts w:hAnsi="宋体"/>
          <w:sz w:val="24"/>
          <w:szCs w:val="24"/>
        </w:rPr>
      </w:pPr>
      <w:proofErr w:type="gramStart"/>
      <w:r>
        <w:rPr>
          <w:rFonts w:hAnsi="宋体"/>
          <w:sz w:val="24"/>
          <w:szCs w:val="24"/>
        </w:rPr>
        <w:t>若基金</w:t>
      </w:r>
      <w:proofErr w:type="gramEnd"/>
      <w:r>
        <w:rPr>
          <w:rFonts w:hAnsi="宋体"/>
          <w:sz w:val="24"/>
          <w:szCs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hAnsi="宋体"/>
          <w:sz w:val="24"/>
          <w:szCs w:val="24"/>
        </w:rPr>
        <w:t>则基金</w:t>
      </w:r>
      <w:proofErr w:type="gramEnd"/>
      <w:r>
        <w:rPr>
          <w:rFonts w:hAnsi="宋体"/>
          <w:sz w:val="24"/>
          <w:szCs w:val="24"/>
        </w:rPr>
        <w:t>托管人不承担由此造成的损失，并应向中国证监会报告。</w:t>
      </w:r>
    </w:p>
    <w:p w:rsidR="00B67D8A" w:rsidRDefault="00B67D8A">
      <w:pPr>
        <w:widowControl/>
        <w:adjustRightInd w:val="0"/>
        <w:snapToGrid w:val="0"/>
        <w:spacing w:line="360" w:lineRule="auto"/>
        <w:ind w:firstLineChars="200" w:firstLine="480"/>
        <w:outlineLvl w:val="1"/>
        <w:rPr>
          <w:sz w:val="24"/>
          <w:szCs w:val="24"/>
        </w:rPr>
      </w:pPr>
      <w:r>
        <w:rPr>
          <w:sz w:val="24"/>
          <w:szCs w:val="24"/>
        </w:rPr>
        <w:t>4</w:t>
      </w:r>
      <w:r>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sz w:val="24"/>
          <w:szCs w:val="24"/>
        </w:rPr>
        <w:t>1</w:t>
      </w:r>
      <w:r>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67D8A" w:rsidRDefault="00B67D8A">
      <w:pPr>
        <w:adjustRightInd w:val="0"/>
        <w:snapToGrid w:val="0"/>
        <w:spacing w:line="360" w:lineRule="auto"/>
        <w:ind w:firstLineChars="200" w:firstLine="480"/>
        <w:rPr>
          <w:sz w:val="24"/>
          <w:szCs w:val="24"/>
        </w:rPr>
      </w:pPr>
      <w:r>
        <w:rPr>
          <w:sz w:val="24"/>
          <w:szCs w:val="24"/>
        </w:rPr>
        <w:t>5</w:t>
      </w:r>
      <w:r>
        <w:rPr>
          <w:rFonts w:hAnsi="宋体"/>
          <w:sz w:val="24"/>
          <w:szCs w:val="24"/>
        </w:rPr>
        <w:t>、基金托管人根据有关法律法规的规定及基金合同的约定，对基金管理人选择存款银行进行监督。</w:t>
      </w:r>
    </w:p>
    <w:p w:rsidR="00B67D8A" w:rsidRDefault="00B67D8A">
      <w:pPr>
        <w:adjustRightInd w:val="0"/>
        <w:snapToGrid w:val="0"/>
        <w:spacing w:line="360" w:lineRule="auto"/>
        <w:ind w:firstLineChars="200" w:firstLine="480"/>
        <w:rPr>
          <w:sz w:val="24"/>
          <w:szCs w:val="24"/>
        </w:rPr>
      </w:pPr>
      <w:r>
        <w:rPr>
          <w:rFonts w:hAnsi="宋体"/>
          <w:sz w:val="24"/>
          <w:szCs w:val="24"/>
        </w:rPr>
        <w:t>基金投资银行定期存款的，基金管理人应根据法律法规的规定及基金合同的约定，确定符合条件的所有存款银行的名单，并及时提供给基金托管人，基金托管人</w:t>
      </w:r>
      <w:r>
        <w:rPr>
          <w:rFonts w:hAnsi="宋体"/>
          <w:sz w:val="24"/>
          <w:szCs w:val="24"/>
        </w:rPr>
        <w:lastRenderedPageBreak/>
        <w:t>应据以对基金投资银行存款的交易对手是否符合有关规定进行监督。</w:t>
      </w:r>
    </w:p>
    <w:p w:rsidR="00B67D8A" w:rsidRDefault="00B67D8A">
      <w:pPr>
        <w:adjustRightInd w:val="0"/>
        <w:snapToGrid w:val="0"/>
        <w:spacing w:line="360" w:lineRule="auto"/>
        <w:ind w:firstLineChars="200" w:firstLine="480"/>
        <w:rPr>
          <w:sz w:val="24"/>
          <w:szCs w:val="24"/>
        </w:rPr>
      </w:pPr>
      <w:r>
        <w:rPr>
          <w:rFonts w:hAnsi="宋体"/>
          <w:sz w:val="24"/>
          <w:szCs w:val="24"/>
        </w:rPr>
        <w:t>本基金投资银行存款应符合如下规定：</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基金管理人、基金托管人应当与存款银行建立定期对账机制，确保基金银行存款业务账目及核算的真实、准确。</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基金托管人应加强对基金银行存款业务的监督与核查，严格审查、复核相关协议、账户资料、投资指令、存款证实书等有关文件，切实履行托管职责。</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基金管理人与基金托管人在开展基金存款业务时，应严格遵守《基金法》、《运作办法》等有关法律法规，以及国家有关账户管理、利率管理、支付结算等的各项规定。</w:t>
      </w:r>
    </w:p>
    <w:p w:rsidR="00B67D8A" w:rsidRDefault="00B67D8A">
      <w:pPr>
        <w:widowControl/>
        <w:adjustRightInd w:val="0"/>
        <w:snapToGrid w:val="0"/>
        <w:spacing w:line="360" w:lineRule="auto"/>
        <w:ind w:firstLineChars="200" w:firstLine="480"/>
        <w:outlineLvl w:val="1"/>
        <w:rPr>
          <w:sz w:val="24"/>
          <w:szCs w:val="24"/>
        </w:rPr>
      </w:pPr>
      <w:r>
        <w:rPr>
          <w:rFonts w:hAnsi="宋体"/>
          <w:sz w:val="24"/>
          <w:szCs w:val="24"/>
        </w:rPr>
        <w:t>基金托管人发现基金管理人在选择存款银行时有违反有关法律法规的规定及基金合同的约定的行为，应及时以书面形式通知基金管理人在</w:t>
      </w:r>
      <w:r>
        <w:rPr>
          <w:sz w:val="24"/>
          <w:szCs w:val="24"/>
        </w:rPr>
        <w:t>10</w:t>
      </w:r>
      <w:r>
        <w:rPr>
          <w:rFonts w:hAnsi="宋体"/>
          <w:sz w:val="24"/>
          <w:szCs w:val="24"/>
        </w:rPr>
        <w:t>个工作日内纠正。基金管理人对基金托管人通知的违规事项未能在</w:t>
      </w:r>
      <w:r>
        <w:rPr>
          <w:sz w:val="24"/>
          <w:szCs w:val="24"/>
        </w:rPr>
        <w:t>10</w:t>
      </w:r>
      <w:r>
        <w:rPr>
          <w:rFonts w:hAnsi="宋体"/>
          <w:sz w:val="24"/>
          <w:szCs w:val="24"/>
        </w:rPr>
        <w:t>个工作日内纠正的，基金托管人应报告中国证监会。基金托管人发现基金管理人有重大违规行为，应立即报告中国证监会，同时通知基金管理人在</w:t>
      </w:r>
      <w:r>
        <w:rPr>
          <w:sz w:val="24"/>
          <w:szCs w:val="24"/>
        </w:rPr>
        <w:t>10</w:t>
      </w:r>
      <w:r>
        <w:rPr>
          <w:rFonts w:hAnsi="宋体"/>
          <w:sz w:val="24"/>
          <w:szCs w:val="24"/>
        </w:rPr>
        <w:t>个工作日内纠正或拒绝结算。</w:t>
      </w:r>
    </w:p>
    <w:p w:rsidR="00B67D8A" w:rsidRDefault="00B67D8A">
      <w:pPr>
        <w:adjustRightInd w:val="0"/>
        <w:snapToGrid w:val="0"/>
        <w:spacing w:line="360" w:lineRule="auto"/>
        <w:ind w:firstLineChars="200" w:firstLine="480"/>
        <w:rPr>
          <w:sz w:val="24"/>
          <w:szCs w:val="24"/>
        </w:rPr>
      </w:pPr>
      <w:r>
        <w:rPr>
          <w:sz w:val="24"/>
          <w:szCs w:val="24"/>
        </w:rPr>
        <w:t>6</w:t>
      </w:r>
      <w:r>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67D8A" w:rsidRDefault="00B67D8A">
      <w:pPr>
        <w:widowControl/>
        <w:adjustRightInd w:val="0"/>
        <w:snapToGrid w:val="0"/>
        <w:spacing w:line="360" w:lineRule="auto"/>
        <w:ind w:firstLineChars="200" w:firstLine="480"/>
        <w:outlineLvl w:val="1"/>
        <w:rPr>
          <w:sz w:val="24"/>
          <w:szCs w:val="24"/>
        </w:rPr>
      </w:pPr>
      <w:r>
        <w:rPr>
          <w:rFonts w:hAnsi="宋体"/>
          <w:sz w:val="24"/>
          <w:szCs w:val="24"/>
        </w:rPr>
        <w:t>如果基金管理人未经基金托管人的审核擅自将不实的业绩表现数据印制在宣传推介材料上，</w:t>
      </w:r>
      <w:proofErr w:type="gramStart"/>
      <w:r>
        <w:rPr>
          <w:rFonts w:hAnsi="宋体"/>
          <w:sz w:val="24"/>
          <w:szCs w:val="24"/>
        </w:rPr>
        <w:t>则基金</w:t>
      </w:r>
      <w:proofErr w:type="gramEnd"/>
      <w:r>
        <w:rPr>
          <w:rFonts w:hAnsi="宋体"/>
          <w:sz w:val="24"/>
          <w:szCs w:val="24"/>
        </w:rPr>
        <w:t>托管人对此不承担任何责任，并将在发现后立即报告中国证监会。</w:t>
      </w:r>
    </w:p>
    <w:p w:rsidR="00B67D8A" w:rsidRDefault="00B67D8A">
      <w:pPr>
        <w:pStyle w:val="CharCharChar1"/>
        <w:adjustRightInd w:val="0"/>
        <w:snapToGrid w:val="0"/>
        <w:spacing w:line="360" w:lineRule="auto"/>
        <w:ind w:firstLineChars="200" w:firstLine="480"/>
        <w:rPr>
          <w:sz w:val="24"/>
          <w:szCs w:val="24"/>
        </w:rPr>
      </w:pPr>
      <w:r>
        <w:rPr>
          <w:sz w:val="24"/>
          <w:szCs w:val="24"/>
        </w:rPr>
        <w:t>7</w:t>
      </w:r>
      <w:r>
        <w:rPr>
          <w:rFonts w:hAnsi="宋体"/>
          <w:sz w:val="24"/>
          <w:szCs w:val="24"/>
        </w:rPr>
        <w:t>、基金托管人根据有关法律法规的规定及基金合同的约定，对基金投资流通受限证券进行监督。</w:t>
      </w:r>
    </w:p>
    <w:p w:rsidR="00B67D8A" w:rsidRDefault="00B67D8A">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rsidR="00B67D8A" w:rsidRDefault="00B67D8A">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w:t>
      </w:r>
      <w:r>
        <w:rPr>
          <w:rFonts w:hAnsi="宋体"/>
          <w:sz w:val="24"/>
          <w:szCs w:val="24"/>
        </w:rPr>
        <w:lastRenderedPageBreak/>
        <w:t>交易中的质押</w:t>
      </w:r>
      <w:proofErr w:type="gramStart"/>
      <w:r>
        <w:rPr>
          <w:rFonts w:hAnsi="宋体"/>
          <w:sz w:val="24"/>
          <w:szCs w:val="24"/>
        </w:rPr>
        <w:t>券</w:t>
      </w:r>
      <w:proofErr w:type="gramEnd"/>
      <w:r>
        <w:rPr>
          <w:rFonts w:hAnsi="宋体"/>
          <w:sz w:val="24"/>
          <w:szCs w:val="24"/>
        </w:rPr>
        <w:t>等流通受限证券。</w:t>
      </w:r>
      <w:r>
        <w:rPr>
          <w:sz w:val="24"/>
          <w:szCs w:val="24"/>
        </w:rPr>
        <w:t xml:space="preserve">                                                    </w:t>
      </w:r>
    </w:p>
    <w:p w:rsidR="00B67D8A" w:rsidRDefault="00B67D8A">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hAnsi="宋体"/>
          <w:sz w:val="24"/>
        </w:rPr>
        <w:t>基金托管人据此监督基金管理人的流通受限证券投资行为。</w:t>
      </w:r>
    </w:p>
    <w:p w:rsidR="00B67D8A" w:rsidRDefault="00B67D8A">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rsidR="00B67D8A" w:rsidRDefault="00B67D8A">
      <w:pPr>
        <w:pStyle w:val="CharCharChar1"/>
        <w:adjustRightInd w:val="0"/>
        <w:snapToGrid w:val="0"/>
        <w:spacing w:line="360" w:lineRule="auto"/>
        <w:ind w:firstLineChars="200" w:firstLine="480"/>
        <w:rPr>
          <w:sz w:val="24"/>
          <w:szCs w:val="24"/>
        </w:rPr>
      </w:pPr>
      <w:r>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B67D8A" w:rsidRDefault="00B67D8A">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基金管理人应保证基金投资的流通受限证券登记存管在本基金名下，并保证基金托管人能够正常查询。因基金管理</w:t>
      </w:r>
      <w:proofErr w:type="gramStart"/>
      <w:r>
        <w:rPr>
          <w:rFonts w:hAnsi="宋体"/>
          <w:sz w:val="24"/>
          <w:szCs w:val="24"/>
        </w:rPr>
        <w:t>人原因</w:t>
      </w:r>
      <w:proofErr w:type="gramEnd"/>
      <w:r>
        <w:rPr>
          <w:rFonts w:hAnsi="宋体"/>
          <w:sz w:val="24"/>
          <w:szCs w:val="24"/>
        </w:rPr>
        <w:t>产生的流通受限证券登记存管问题，造成基金财产的损失或基金托管人无法安全保管基金财产的责任与损失，由基金管理人承担。</w:t>
      </w:r>
    </w:p>
    <w:p w:rsidR="00B67D8A" w:rsidRDefault="00B67D8A">
      <w:pPr>
        <w:widowControl/>
        <w:adjustRightInd w:val="0"/>
        <w:snapToGrid w:val="0"/>
        <w:spacing w:line="360" w:lineRule="auto"/>
        <w:ind w:firstLineChars="200" w:firstLine="480"/>
        <w:outlineLvl w:val="1"/>
        <w:rPr>
          <w:sz w:val="24"/>
          <w:szCs w:val="24"/>
        </w:rPr>
      </w:pPr>
      <w:r>
        <w:rPr>
          <w:rFonts w:hint="eastAsia"/>
          <w:sz w:val="24"/>
          <w:szCs w:val="24"/>
        </w:rPr>
        <w:t>（</w:t>
      </w:r>
      <w:r>
        <w:rPr>
          <w:sz w:val="24"/>
          <w:szCs w:val="24"/>
        </w:rPr>
        <w:t>7</w:t>
      </w:r>
      <w:r>
        <w:rPr>
          <w:rFonts w:hAnsi="宋体" w:hint="eastAsia"/>
          <w:sz w:val="24"/>
          <w:szCs w:val="24"/>
        </w:rPr>
        <w:t>）</w:t>
      </w:r>
      <w:r>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Pr>
          <w:rFonts w:hAnsi="宋体"/>
          <w:sz w:val="24"/>
        </w:rPr>
        <w:t>法律法规、</w:t>
      </w:r>
      <w:r>
        <w:rPr>
          <w:rFonts w:hAnsi="宋体"/>
          <w:sz w:val="24"/>
          <w:szCs w:val="24"/>
        </w:rPr>
        <w:t>基金合同及本协议履行职责外，因</w:t>
      </w:r>
      <w:r>
        <w:rPr>
          <w:rFonts w:hAnsi="宋体"/>
          <w:sz w:val="24"/>
          <w:szCs w:val="24"/>
        </w:rPr>
        <w:lastRenderedPageBreak/>
        <w:t>投资流通受限证券产生的损失，基金托管人按照本协议履行监督职责后不承担上述损失。</w:t>
      </w:r>
    </w:p>
    <w:p w:rsidR="00B67D8A" w:rsidRDefault="00B67D8A">
      <w:pPr>
        <w:widowControl/>
        <w:adjustRightInd w:val="0"/>
        <w:snapToGrid w:val="0"/>
        <w:spacing w:line="360" w:lineRule="auto"/>
        <w:ind w:firstLineChars="200" w:firstLine="480"/>
        <w:outlineLvl w:val="1"/>
        <w:rPr>
          <w:sz w:val="24"/>
          <w:szCs w:val="24"/>
        </w:rPr>
      </w:pPr>
      <w:r>
        <w:rPr>
          <w:sz w:val="24"/>
          <w:szCs w:val="24"/>
        </w:rPr>
        <w:t>8</w:t>
      </w:r>
      <w:r>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hint="eastAsia"/>
          <w:sz w:val="24"/>
          <w:szCs w:val="24"/>
        </w:rPr>
        <w:t>，</w:t>
      </w:r>
      <w:r>
        <w:rPr>
          <w:rFonts w:hAnsi="宋体"/>
          <w:sz w:val="24"/>
          <w:szCs w:val="24"/>
        </w:rPr>
        <w:t>基金托管人有权随时对通知事项进行复查</w:t>
      </w:r>
      <w:r>
        <w:rPr>
          <w:rFonts w:hint="eastAsia"/>
          <w:sz w:val="24"/>
          <w:szCs w:val="24"/>
        </w:rPr>
        <w:t>，</w:t>
      </w:r>
      <w:r>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67D8A" w:rsidRDefault="00B67D8A">
      <w:pPr>
        <w:widowControl/>
        <w:adjustRightInd w:val="0"/>
        <w:snapToGrid w:val="0"/>
        <w:spacing w:line="360" w:lineRule="auto"/>
        <w:ind w:firstLineChars="200" w:firstLine="480"/>
        <w:outlineLvl w:val="1"/>
        <w:rPr>
          <w:sz w:val="24"/>
          <w:szCs w:val="24"/>
        </w:rPr>
      </w:pPr>
      <w:r>
        <w:rPr>
          <w:sz w:val="24"/>
          <w:szCs w:val="24"/>
        </w:rPr>
        <w:t>9</w:t>
      </w:r>
      <w:r>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67D8A" w:rsidRDefault="00B67D8A">
      <w:pPr>
        <w:widowControl/>
        <w:adjustRightInd w:val="0"/>
        <w:snapToGrid w:val="0"/>
        <w:spacing w:line="360" w:lineRule="auto"/>
        <w:ind w:firstLineChars="200" w:firstLine="480"/>
        <w:rPr>
          <w:kern w:val="0"/>
          <w:sz w:val="24"/>
        </w:rPr>
      </w:pPr>
      <w:r>
        <w:rPr>
          <w:sz w:val="24"/>
          <w:szCs w:val="24"/>
        </w:rPr>
        <w:t>10</w:t>
      </w:r>
      <w:r>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rsidR="00B67D8A" w:rsidRDefault="00B67D8A">
      <w:pPr>
        <w:widowControl/>
        <w:adjustRightInd w:val="0"/>
        <w:snapToGrid w:val="0"/>
        <w:spacing w:line="360" w:lineRule="auto"/>
        <w:ind w:firstLineChars="200" w:firstLine="480"/>
        <w:outlineLvl w:val="1"/>
        <w:rPr>
          <w:sz w:val="24"/>
          <w:szCs w:val="24"/>
        </w:rPr>
      </w:pPr>
      <w:r>
        <w:rPr>
          <w:sz w:val="24"/>
          <w:szCs w:val="24"/>
        </w:rPr>
        <w:t>1</w:t>
      </w:r>
      <w:r>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67D8A" w:rsidRDefault="00B67D8A">
      <w:pPr>
        <w:widowControl/>
        <w:adjustRightInd w:val="0"/>
        <w:snapToGrid w:val="0"/>
        <w:spacing w:line="360" w:lineRule="auto"/>
        <w:ind w:firstLineChars="200" w:firstLine="480"/>
        <w:outlineLvl w:val="1"/>
        <w:rPr>
          <w:sz w:val="24"/>
          <w:szCs w:val="24"/>
        </w:rPr>
      </w:pPr>
      <w:r>
        <w:rPr>
          <w:sz w:val="24"/>
          <w:szCs w:val="24"/>
        </w:rPr>
        <w:lastRenderedPageBreak/>
        <w:t>2</w:t>
      </w:r>
      <w:r>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hint="eastAsia"/>
          <w:sz w:val="24"/>
          <w:szCs w:val="24"/>
        </w:rPr>
        <w:t>，</w:t>
      </w:r>
      <w:r>
        <w:rPr>
          <w:rFonts w:hAnsi="宋体"/>
          <w:sz w:val="24"/>
          <w:szCs w:val="24"/>
        </w:rPr>
        <w:t>督促基金托管人改正。基金托管人应积极配合基金管理人的核查行为，包括但不限于：提交相关资料以</w:t>
      </w:r>
      <w:proofErr w:type="gramStart"/>
      <w:r>
        <w:rPr>
          <w:rFonts w:hAnsi="宋体"/>
          <w:sz w:val="24"/>
          <w:szCs w:val="24"/>
        </w:rPr>
        <w:t>供基金</w:t>
      </w:r>
      <w:proofErr w:type="gramEnd"/>
      <w:r>
        <w:rPr>
          <w:rFonts w:hAnsi="宋体"/>
          <w:sz w:val="24"/>
          <w:szCs w:val="24"/>
        </w:rPr>
        <w:t>管理人核查托管财产的完整性和真实性，在规定时间内答复基金管理人并改正。</w:t>
      </w:r>
    </w:p>
    <w:p w:rsidR="00B67D8A" w:rsidRDefault="00B67D8A">
      <w:pPr>
        <w:adjustRightInd w:val="0"/>
        <w:snapToGrid w:val="0"/>
        <w:spacing w:line="360" w:lineRule="auto"/>
        <w:ind w:firstLineChars="200" w:firstLine="480"/>
        <w:rPr>
          <w:sz w:val="24"/>
        </w:rPr>
      </w:pPr>
      <w:r>
        <w:rPr>
          <w:sz w:val="24"/>
          <w:szCs w:val="24"/>
        </w:rPr>
        <w:t>3</w:t>
      </w:r>
      <w:r>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67D8A" w:rsidRDefault="00B67D8A">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rsidR="00B67D8A" w:rsidRDefault="00B67D8A">
      <w:pPr>
        <w:adjustRightInd w:val="0"/>
        <w:snapToGrid w:val="0"/>
        <w:spacing w:line="360" w:lineRule="auto"/>
        <w:ind w:firstLineChars="200" w:firstLine="480"/>
        <w:rPr>
          <w:sz w:val="24"/>
        </w:rPr>
      </w:pPr>
      <w:r>
        <w:rPr>
          <w:sz w:val="24"/>
        </w:rPr>
        <w:t>1</w:t>
      </w:r>
      <w:r>
        <w:rPr>
          <w:rFonts w:hAnsi="宋体"/>
          <w:sz w:val="24"/>
        </w:rPr>
        <w:t>、基金财产保管的原则</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基金财产应独立于基金管理人、基金托管人的固有财产。</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基金托管人应安全保管基金财产。未经基金管理人依据合法程序</w:t>
      </w:r>
      <w:proofErr w:type="gramStart"/>
      <w:r>
        <w:rPr>
          <w:rFonts w:hAnsi="宋体"/>
          <w:sz w:val="24"/>
          <w:szCs w:val="24"/>
        </w:rPr>
        <w:t>作出</w:t>
      </w:r>
      <w:proofErr w:type="gramEnd"/>
      <w:r>
        <w:rPr>
          <w:rFonts w:hAnsi="宋体"/>
          <w:sz w:val="24"/>
          <w:szCs w:val="24"/>
        </w:rPr>
        <w:t>的合法合</w:t>
      </w:r>
      <w:proofErr w:type="gramStart"/>
      <w:r>
        <w:rPr>
          <w:rFonts w:hAnsi="宋体"/>
          <w:sz w:val="24"/>
          <w:szCs w:val="24"/>
        </w:rPr>
        <w:t>规</w:t>
      </w:r>
      <w:proofErr w:type="gramEnd"/>
      <w:r>
        <w:rPr>
          <w:rFonts w:hAnsi="宋体"/>
          <w:sz w:val="24"/>
          <w:szCs w:val="24"/>
        </w:rPr>
        <w:t>指令，基金托管人不得自行运用、处分、分配基金的任何财产。</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基金托管人按照规定开设基金财产的资金账户和证券账户。</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基金托管人对所托管的不同基金财产分别设置账户，与基金托管人的其他业务和其他基金的托管业务实行严格的分</w:t>
      </w:r>
      <w:r>
        <w:rPr>
          <w:rFonts w:hAnsi="宋体"/>
          <w:sz w:val="24"/>
          <w:szCs w:val="28"/>
        </w:rPr>
        <w:t>账</w:t>
      </w:r>
      <w:r>
        <w:rPr>
          <w:rFonts w:hAnsi="宋体"/>
          <w:sz w:val="24"/>
          <w:szCs w:val="24"/>
        </w:rPr>
        <w:t>管理，确保基金财产的完整与独立。</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基金托管人根据基金管理人的指令，按照基金合同和本协议的约定保管基金财产，如有特殊情况双方可另行协商解决。</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67D8A" w:rsidRDefault="00B67D8A">
      <w:pPr>
        <w:adjustRightInd w:val="0"/>
        <w:snapToGrid w:val="0"/>
        <w:spacing w:line="360" w:lineRule="auto"/>
        <w:ind w:firstLineChars="200" w:firstLine="480"/>
        <w:rPr>
          <w:sz w:val="24"/>
        </w:rPr>
      </w:pPr>
      <w:r>
        <w:rPr>
          <w:rFonts w:hint="eastAsia"/>
          <w:sz w:val="24"/>
          <w:szCs w:val="24"/>
        </w:rPr>
        <w:t>（</w:t>
      </w:r>
      <w:r>
        <w:rPr>
          <w:sz w:val="24"/>
          <w:szCs w:val="24"/>
        </w:rPr>
        <w:t>7</w:t>
      </w:r>
      <w:r>
        <w:rPr>
          <w:rFonts w:hAnsi="宋体" w:hint="eastAsia"/>
          <w:sz w:val="24"/>
          <w:szCs w:val="24"/>
        </w:rPr>
        <w:t>）</w:t>
      </w:r>
      <w:r>
        <w:rPr>
          <w:rFonts w:hAnsi="宋体"/>
          <w:sz w:val="24"/>
          <w:szCs w:val="24"/>
        </w:rPr>
        <w:t>除依据法律法规和基金合同的规定外，基金托管人不得委托第三人托管基</w:t>
      </w:r>
      <w:r>
        <w:rPr>
          <w:rFonts w:hAnsi="宋体"/>
          <w:sz w:val="24"/>
          <w:szCs w:val="24"/>
        </w:rPr>
        <w:lastRenderedPageBreak/>
        <w:t>金财产。</w:t>
      </w:r>
    </w:p>
    <w:p w:rsidR="00B67D8A" w:rsidRDefault="00B67D8A">
      <w:pPr>
        <w:adjustRightInd w:val="0"/>
        <w:snapToGrid w:val="0"/>
        <w:spacing w:line="360" w:lineRule="auto"/>
        <w:ind w:firstLineChars="200" w:firstLine="480"/>
        <w:rPr>
          <w:sz w:val="24"/>
        </w:rPr>
      </w:pPr>
      <w:r>
        <w:rPr>
          <w:sz w:val="24"/>
        </w:rPr>
        <w:t>2</w:t>
      </w:r>
      <w:r>
        <w:rPr>
          <w:rFonts w:hAnsi="宋体"/>
          <w:sz w:val="24"/>
        </w:rPr>
        <w:t>、</w:t>
      </w:r>
      <w:r>
        <w:rPr>
          <w:rFonts w:hAnsi="宋体" w:hint="eastAsia"/>
          <w:sz w:val="24"/>
        </w:rPr>
        <w:t>基金</w:t>
      </w:r>
      <w:r>
        <w:rPr>
          <w:rFonts w:hAnsi="宋体"/>
          <w:sz w:val="24"/>
        </w:rPr>
        <w:t>募集期间及募集资金的验资</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基金募集期间的认购款项应存于专用</w:t>
      </w:r>
      <w:r>
        <w:rPr>
          <w:rFonts w:hAnsi="宋体"/>
          <w:sz w:val="24"/>
        </w:rPr>
        <w:t>账</w:t>
      </w:r>
      <w:r>
        <w:rPr>
          <w:rFonts w:hAnsi="宋体"/>
          <w:sz w:val="24"/>
          <w:szCs w:val="24"/>
        </w:rPr>
        <w:t>户。该账户由基金管理人或基金管理人委托的登记机构开立并管理。</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Pr>
          <w:sz w:val="24"/>
          <w:szCs w:val="24"/>
        </w:rPr>
        <w:t>2</w:t>
      </w:r>
      <w:r>
        <w:rPr>
          <w:rFonts w:hAnsi="宋体"/>
          <w:sz w:val="24"/>
          <w:szCs w:val="24"/>
        </w:rPr>
        <w:t>名或</w:t>
      </w:r>
      <w:r>
        <w:rPr>
          <w:sz w:val="24"/>
          <w:szCs w:val="24"/>
        </w:rPr>
        <w:t>2</w:t>
      </w:r>
      <w:r>
        <w:rPr>
          <w:rFonts w:hAnsi="宋体"/>
          <w:sz w:val="24"/>
          <w:szCs w:val="24"/>
        </w:rPr>
        <w:t>名以上中国注册会计师签字方为有效。</w:t>
      </w:r>
    </w:p>
    <w:p w:rsidR="00B67D8A" w:rsidRDefault="00B67D8A">
      <w:pPr>
        <w:adjustRightInd w:val="0"/>
        <w:snapToGrid w:val="0"/>
        <w:spacing w:line="360" w:lineRule="auto"/>
        <w:ind w:firstLineChars="200" w:firstLine="480"/>
        <w:rPr>
          <w:sz w:val="24"/>
        </w:rPr>
      </w:pPr>
      <w:r>
        <w:rPr>
          <w:rFonts w:hint="eastAsia"/>
          <w:sz w:val="24"/>
          <w:szCs w:val="24"/>
        </w:rPr>
        <w:t>（</w:t>
      </w:r>
      <w:r>
        <w:rPr>
          <w:sz w:val="24"/>
          <w:szCs w:val="24"/>
        </w:rPr>
        <w:t>3</w:t>
      </w:r>
      <w:r>
        <w:rPr>
          <w:rFonts w:hAnsi="宋体" w:hint="eastAsia"/>
          <w:sz w:val="24"/>
          <w:szCs w:val="24"/>
        </w:rPr>
        <w:t>）</w:t>
      </w:r>
      <w:proofErr w:type="gramStart"/>
      <w:r>
        <w:rPr>
          <w:rFonts w:hAnsi="宋体"/>
          <w:sz w:val="24"/>
          <w:szCs w:val="24"/>
        </w:rPr>
        <w:t>若基金</w:t>
      </w:r>
      <w:proofErr w:type="gramEnd"/>
      <w:r>
        <w:rPr>
          <w:rFonts w:hAnsi="宋体"/>
          <w:sz w:val="24"/>
          <w:szCs w:val="24"/>
        </w:rPr>
        <w:t>募集期限届满，未能达到基金备案的条件，由基金管理人按规定办理退款等事宜，基金托管人应提供充分协助。</w:t>
      </w:r>
    </w:p>
    <w:p w:rsidR="00B67D8A" w:rsidRDefault="00B67D8A">
      <w:pPr>
        <w:adjustRightInd w:val="0"/>
        <w:snapToGrid w:val="0"/>
        <w:spacing w:line="360" w:lineRule="auto"/>
        <w:ind w:firstLineChars="200" w:firstLine="480"/>
        <w:rPr>
          <w:sz w:val="24"/>
        </w:rPr>
      </w:pPr>
      <w:r>
        <w:rPr>
          <w:sz w:val="24"/>
        </w:rPr>
        <w:t>3</w:t>
      </w:r>
      <w:r>
        <w:rPr>
          <w:rFonts w:hAnsi="宋体"/>
          <w:sz w:val="24"/>
        </w:rPr>
        <w:t>、基金</w:t>
      </w:r>
      <w:r>
        <w:rPr>
          <w:rFonts w:hAnsi="宋体" w:hint="eastAsia"/>
          <w:sz w:val="24"/>
        </w:rPr>
        <w:t>托管资金</w:t>
      </w:r>
      <w:r>
        <w:rPr>
          <w:rFonts w:hAnsi="宋体"/>
          <w:sz w:val="24"/>
        </w:rPr>
        <w:t>账户的开立和管理</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基金托管人应负责本基金的资金账户的开设和管理。</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基金托管人可以本基金的名义在其营业机构开设本基金的资金账户，并根据基金管理人合法合</w:t>
      </w:r>
      <w:proofErr w:type="gramStart"/>
      <w:r>
        <w:rPr>
          <w:rFonts w:hAnsi="宋体"/>
          <w:sz w:val="24"/>
          <w:szCs w:val="24"/>
        </w:rPr>
        <w:t>规</w:t>
      </w:r>
      <w:proofErr w:type="gramEnd"/>
      <w:r>
        <w:rPr>
          <w:rFonts w:hAnsi="宋体"/>
          <w:sz w:val="24"/>
          <w:szCs w:val="24"/>
        </w:rPr>
        <w:t>的指令办理资金收付。本基金的银行预留印鉴由基金托管人保管和使用。本基金的一切货币收支活动，包括但不限于投资、支付赎回金额、支付基金收益、收取申购款，均需通过本基金的资金账户进行。</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基金托管资金账户的开立和管理应符合相关法律法规的有关规定。</w:t>
      </w:r>
    </w:p>
    <w:p w:rsidR="00B67D8A" w:rsidRDefault="00B67D8A">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在符合法律法规规定的条件下，基金托管人可以通过基金托管人专用账户办理基金资产的支付。</w:t>
      </w:r>
    </w:p>
    <w:p w:rsidR="00B67D8A" w:rsidRDefault="00B67D8A">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基金托管人在中国证券登记结算有限责任公司上海分公司、深圳分公司为本基金开立基金托管人与基金联名的证券账户。</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基金证券账户的开立和使用，限于满足开展本基金业务的需要。基金托管</w:t>
      </w:r>
      <w:r>
        <w:rPr>
          <w:rFonts w:hAnsi="宋体"/>
          <w:sz w:val="24"/>
          <w:szCs w:val="24"/>
        </w:rPr>
        <w:lastRenderedPageBreak/>
        <w:t>人和基金管理人不得出借或未经对方同意擅自转让基金的任何证券账户，亦不得使用基金的任何账户进行本基金业务以外的活动。</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基金证券账户的开立和证券账户卡的保管由基金托管人负责，账户资产的管理和运用由基金管理人负责。</w:t>
      </w:r>
    </w:p>
    <w:p w:rsidR="00B67D8A" w:rsidRDefault="00B67D8A">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在本托管协议生效日之后，本基金被允许从事其他投资品种的投资业务，涉及相关账户的开设、使用的，按有关规定开设、使用并管理；若无相关规定，</w:t>
      </w:r>
      <w:proofErr w:type="gramStart"/>
      <w:r>
        <w:rPr>
          <w:rFonts w:hAnsi="宋体"/>
          <w:sz w:val="24"/>
          <w:szCs w:val="24"/>
        </w:rPr>
        <w:t>则基金</w:t>
      </w:r>
      <w:proofErr w:type="gramEnd"/>
      <w:r>
        <w:rPr>
          <w:rFonts w:hAnsi="宋体"/>
          <w:sz w:val="24"/>
          <w:szCs w:val="24"/>
        </w:rPr>
        <w:t>托管人应当比照并遵守上述关于账户开设、使用的规定。</w:t>
      </w:r>
    </w:p>
    <w:p w:rsidR="00B67D8A" w:rsidRDefault="00B67D8A">
      <w:pPr>
        <w:adjustRightInd w:val="0"/>
        <w:snapToGrid w:val="0"/>
        <w:spacing w:line="360" w:lineRule="auto"/>
        <w:ind w:firstLineChars="200" w:firstLine="480"/>
        <w:rPr>
          <w:sz w:val="24"/>
        </w:rPr>
      </w:pPr>
      <w:r>
        <w:rPr>
          <w:sz w:val="24"/>
        </w:rPr>
        <w:t>5</w:t>
      </w:r>
      <w:r>
        <w:rPr>
          <w:rFonts w:hAnsi="宋体"/>
          <w:sz w:val="24"/>
        </w:rPr>
        <w:t>、债券托管专户的开设和管理</w:t>
      </w:r>
    </w:p>
    <w:p w:rsidR="00B67D8A" w:rsidRDefault="00B67D8A">
      <w:pPr>
        <w:adjustRightInd w:val="0"/>
        <w:snapToGrid w:val="0"/>
        <w:spacing w:line="360" w:lineRule="auto"/>
        <w:ind w:firstLineChars="200" w:firstLine="480"/>
        <w:rPr>
          <w:sz w:val="24"/>
        </w:rPr>
      </w:pPr>
      <w:r>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67D8A" w:rsidRDefault="00B67D8A">
      <w:pPr>
        <w:adjustRightInd w:val="0"/>
        <w:snapToGrid w:val="0"/>
        <w:spacing w:line="360" w:lineRule="auto"/>
        <w:ind w:firstLineChars="200" w:firstLine="480"/>
        <w:rPr>
          <w:sz w:val="24"/>
        </w:rPr>
      </w:pPr>
      <w:r>
        <w:rPr>
          <w:sz w:val="24"/>
        </w:rPr>
        <w:t>6</w:t>
      </w:r>
      <w:r>
        <w:rPr>
          <w:rFonts w:hAnsi="宋体"/>
          <w:sz w:val="24"/>
        </w:rPr>
        <w:t>、其他账户的开立和管理</w:t>
      </w:r>
    </w:p>
    <w:p w:rsidR="00B67D8A" w:rsidRDefault="00B67D8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因业务发展需要而开立的其他账户，可以根据法律法规和基金合同的规定，在基金管理人和基金托管人商议后开立。新账户按有关规则使用并管理。</w:t>
      </w:r>
    </w:p>
    <w:p w:rsidR="00B67D8A" w:rsidRDefault="00B67D8A">
      <w:pPr>
        <w:adjustRightInd w:val="0"/>
        <w:snapToGrid w:val="0"/>
        <w:spacing w:line="360" w:lineRule="auto"/>
        <w:ind w:firstLineChars="200" w:firstLine="480"/>
        <w:rPr>
          <w:sz w:val="24"/>
        </w:rPr>
      </w:pPr>
      <w:r>
        <w:rPr>
          <w:rFonts w:hint="eastAsia"/>
          <w:sz w:val="24"/>
          <w:szCs w:val="24"/>
        </w:rPr>
        <w:t>（</w:t>
      </w:r>
      <w:r>
        <w:rPr>
          <w:sz w:val="24"/>
          <w:szCs w:val="24"/>
        </w:rPr>
        <w:t>2</w:t>
      </w:r>
      <w:r>
        <w:rPr>
          <w:rFonts w:hAnsi="宋体" w:hint="eastAsia"/>
          <w:sz w:val="24"/>
          <w:szCs w:val="24"/>
        </w:rPr>
        <w:t>）</w:t>
      </w:r>
      <w:r>
        <w:rPr>
          <w:rFonts w:hAnsi="宋体"/>
          <w:sz w:val="24"/>
          <w:szCs w:val="24"/>
        </w:rPr>
        <w:t>法律法规等有关规定对相关账户的开立和管理另有规定的，从其规定办理。</w:t>
      </w:r>
    </w:p>
    <w:p w:rsidR="00B67D8A" w:rsidRDefault="00B67D8A">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rsidR="00B67D8A" w:rsidRDefault="00B67D8A">
      <w:pPr>
        <w:adjustRightInd w:val="0"/>
        <w:snapToGrid w:val="0"/>
        <w:spacing w:line="360" w:lineRule="auto"/>
        <w:ind w:firstLineChars="200" w:firstLine="480"/>
        <w:rPr>
          <w:sz w:val="24"/>
        </w:rPr>
      </w:pPr>
      <w:r>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67D8A" w:rsidRDefault="00B67D8A">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rsidR="00B67D8A" w:rsidRDefault="00B67D8A">
      <w:pPr>
        <w:adjustRightInd w:val="0"/>
        <w:snapToGrid w:val="0"/>
        <w:spacing w:line="360" w:lineRule="auto"/>
        <w:ind w:firstLineChars="200" w:firstLine="480"/>
        <w:rPr>
          <w:kern w:val="0"/>
          <w:sz w:val="24"/>
        </w:rPr>
      </w:pPr>
      <w:r>
        <w:rPr>
          <w:rFonts w:hAnsi="宋体"/>
          <w:sz w:val="24"/>
          <w:szCs w:val="24"/>
        </w:rPr>
        <w:t>由基金管理人代表基金签署的、与基金有关的重大合同的原件分别由基金管理</w:t>
      </w:r>
      <w:r>
        <w:rPr>
          <w:rFonts w:hAnsi="宋体"/>
          <w:sz w:val="24"/>
          <w:szCs w:val="24"/>
        </w:rPr>
        <w:lastRenderedPageBreak/>
        <w:t>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sz w:val="24"/>
          <w:szCs w:val="24"/>
        </w:rPr>
        <w:t>15</w:t>
      </w:r>
      <w:r>
        <w:rPr>
          <w:rFonts w:hAnsi="宋体"/>
          <w:sz w:val="24"/>
          <w:szCs w:val="24"/>
        </w:rPr>
        <w:t>年。</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（五）基金资产净值计算和会计核算</w:t>
      </w:r>
      <w:r>
        <w:rPr>
          <w:b/>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1</w:t>
      </w:r>
      <w:r>
        <w:rPr>
          <w:kern w:val="0"/>
          <w:sz w:val="24"/>
        </w:rPr>
        <w:t>、基金资产净值的计算及复核程序</w:t>
      </w:r>
    </w:p>
    <w:p w:rsidR="00B67D8A" w:rsidRDefault="00B67D8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）基金资产净值</w:t>
      </w:r>
    </w:p>
    <w:p w:rsidR="00B67D8A" w:rsidRDefault="00B67D8A">
      <w:pPr>
        <w:adjustRightInd w:val="0"/>
        <w:snapToGrid w:val="0"/>
        <w:spacing w:line="360" w:lineRule="auto"/>
        <w:ind w:firstLineChars="200" w:firstLine="480"/>
        <w:rPr>
          <w:sz w:val="24"/>
          <w:szCs w:val="24"/>
        </w:rPr>
      </w:pPr>
      <w:r>
        <w:rPr>
          <w:rFonts w:hAnsi="宋体"/>
          <w:sz w:val="24"/>
          <w:szCs w:val="24"/>
        </w:rPr>
        <w:t>基金资产净值是指基金资产总值减去基金负债后的价值。</w:t>
      </w:r>
    </w:p>
    <w:p w:rsidR="00B67D8A" w:rsidRDefault="00B67D8A">
      <w:pPr>
        <w:adjustRightInd w:val="0"/>
        <w:snapToGrid w:val="0"/>
        <w:spacing w:line="360" w:lineRule="auto"/>
        <w:ind w:firstLineChars="200" w:firstLine="480"/>
        <w:rPr>
          <w:sz w:val="24"/>
          <w:szCs w:val="24"/>
        </w:rPr>
      </w:pPr>
      <w:r>
        <w:rPr>
          <w:rFonts w:hAnsi="宋体"/>
          <w:sz w:val="24"/>
          <w:szCs w:val="24"/>
        </w:rPr>
        <w:t>基金份额净值是指计算日基金资产净值除以计算日基金份额总数后得到的数值。基金份额净值的计算，精确到</w:t>
      </w:r>
      <w:r>
        <w:rPr>
          <w:sz w:val="24"/>
          <w:szCs w:val="24"/>
        </w:rPr>
        <w:t>0.001</w:t>
      </w:r>
      <w:r>
        <w:rPr>
          <w:rFonts w:hAnsi="宋体"/>
          <w:sz w:val="24"/>
          <w:szCs w:val="24"/>
        </w:rPr>
        <w:t>元，小数点后第四位四舍五入，由此产生的误差计入基金财产。国家另有规定的，从其规定。</w:t>
      </w:r>
    </w:p>
    <w:p w:rsidR="00B67D8A" w:rsidRDefault="00B67D8A">
      <w:pPr>
        <w:adjustRightInd w:val="0"/>
        <w:snapToGrid w:val="0"/>
        <w:spacing w:line="360" w:lineRule="auto"/>
        <w:ind w:firstLineChars="200" w:firstLine="480"/>
        <w:rPr>
          <w:sz w:val="24"/>
          <w:szCs w:val="24"/>
        </w:rPr>
      </w:pPr>
      <w:r>
        <w:rPr>
          <w:rFonts w:hAnsi="宋体"/>
          <w:sz w:val="24"/>
          <w:szCs w:val="24"/>
        </w:rPr>
        <w:t>每工作日计算基金资产净值及基金份额净值，并按规定公告，</w:t>
      </w:r>
      <w:r>
        <w:rPr>
          <w:rFonts w:hAnsi="宋体"/>
          <w:bCs/>
          <w:sz w:val="24"/>
          <w:szCs w:val="24"/>
        </w:rPr>
        <w:t>但根据法律法规或基金合同的规定暂停估值时除外</w:t>
      </w:r>
      <w:r>
        <w:rPr>
          <w:rFonts w:hAnsi="宋体"/>
          <w:sz w:val="24"/>
          <w:szCs w:val="24"/>
        </w:rPr>
        <w:t>。</w:t>
      </w:r>
    </w:p>
    <w:p w:rsidR="00B67D8A" w:rsidRDefault="00B67D8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rsidR="00B67D8A" w:rsidRDefault="00B67D8A">
      <w:pPr>
        <w:widowControl/>
        <w:adjustRightInd w:val="0"/>
        <w:snapToGrid w:val="0"/>
        <w:spacing w:line="360" w:lineRule="auto"/>
        <w:ind w:firstLineChars="200" w:firstLine="480"/>
        <w:rPr>
          <w:kern w:val="0"/>
          <w:sz w:val="24"/>
        </w:rPr>
      </w:pPr>
      <w:r>
        <w:rPr>
          <w:rFonts w:ascii="宋体" w:hAnsi="宋体"/>
          <w:sz w:val="24"/>
          <w:szCs w:val="24"/>
        </w:rPr>
        <w:t>基金管理人每</w:t>
      </w:r>
      <w:r>
        <w:rPr>
          <w:rFonts w:ascii="宋体" w:hAnsi="宋体" w:hint="eastAsia"/>
          <w:sz w:val="24"/>
          <w:szCs w:val="24"/>
        </w:rPr>
        <w:t>工作</w:t>
      </w:r>
      <w:r>
        <w:rPr>
          <w:rFonts w:ascii="宋体" w:hAnsi="宋体"/>
          <w:sz w:val="24"/>
          <w:szCs w:val="24"/>
        </w:rPr>
        <w:t>日对基金资产进行估值后，将基金份额净值结果发送基金托管人，经基金托管人复核无误后，由基金管理人</w:t>
      </w:r>
      <w:r>
        <w:rPr>
          <w:rFonts w:ascii="宋体" w:hAnsi="宋体" w:hint="eastAsia"/>
          <w:sz w:val="24"/>
          <w:szCs w:val="24"/>
        </w:rPr>
        <w:t>依据基金合同和相关法律法规的规定</w:t>
      </w:r>
      <w:r>
        <w:rPr>
          <w:rFonts w:ascii="宋体" w:hAnsi="宋体"/>
          <w:sz w:val="24"/>
          <w:szCs w:val="24"/>
        </w:rPr>
        <w:t>对外公布。</w:t>
      </w:r>
      <w:r>
        <w:rPr>
          <w:rFonts w:ascii="宋体" w:hAnsi="宋体" w:hint="eastAsia"/>
          <w:sz w:val="24"/>
          <w:szCs w:val="24"/>
        </w:rPr>
        <w:t>月末、年中和年末估值复核与基金会计账目的核对同时进行。</w:t>
      </w:r>
    </w:p>
    <w:p w:rsidR="00B67D8A" w:rsidRDefault="00B67D8A">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、基金资产估值方法和特殊情形的处理</w:t>
      </w:r>
    </w:p>
    <w:p w:rsidR="00B67D8A" w:rsidRDefault="00B67D8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）估值对象</w:t>
      </w:r>
    </w:p>
    <w:p w:rsidR="00B67D8A" w:rsidRDefault="00B67D8A">
      <w:pPr>
        <w:widowControl/>
        <w:adjustRightInd w:val="0"/>
        <w:snapToGrid w:val="0"/>
        <w:spacing w:line="360" w:lineRule="auto"/>
        <w:ind w:firstLineChars="200" w:firstLine="480"/>
        <w:rPr>
          <w:kern w:val="0"/>
          <w:sz w:val="24"/>
        </w:rPr>
      </w:pPr>
      <w:r>
        <w:rPr>
          <w:rFonts w:hint="eastAsia"/>
          <w:kern w:val="0"/>
          <w:sz w:val="24"/>
        </w:rPr>
        <w:t>基金所拥有的股票、权证、债券和银行存款本息、应收款项、其它投资等资产及负债。</w:t>
      </w:r>
    </w:p>
    <w:p w:rsidR="00B67D8A" w:rsidRDefault="00B67D8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）估值方法</w:t>
      </w:r>
    </w:p>
    <w:p w:rsidR="00B67D8A" w:rsidRDefault="00B67D8A">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）证券交易所上市的有价证券的估值</w:t>
      </w:r>
    </w:p>
    <w:p w:rsidR="00B67D8A" w:rsidRDefault="00B67D8A">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rsidR="00B67D8A" w:rsidRDefault="00B67D8A">
      <w:pPr>
        <w:widowControl/>
        <w:adjustRightInd w:val="0"/>
        <w:snapToGrid w:val="0"/>
        <w:spacing w:line="360" w:lineRule="auto"/>
        <w:ind w:firstLineChars="200" w:firstLine="480"/>
        <w:rPr>
          <w:kern w:val="0"/>
          <w:sz w:val="24"/>
        </w:rPr>
      </w:pPr>
      <w:r>
        <w:rPr>
          <w:rFonts w:hint="eastAsia"/>
          <w:kern w:val="0"/>
          <w:sz w:val="24"/>
        </w:rPr>
        <w:lastRenderedPageBreak/>
        <w:t>b</w:t>
      </w:r>
      <w:r>
        <w:rPr>
          <w:rFonts w:hint="eastAsia"/>
          <w:kern w:val="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67D8A" w:rsidRDefault="00B67D8A">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67D8A" w:rsidRDefault="00B67D8A">
      <w:pPr>
        <w:widowControl/>
        <w:adjustRightInd w:val="0"/>
        <w:snapToGrid w:val="0"/>
        <w:spacing w:line="360" w:lineRule="auto"/>
        <w:ind w:firstLineChars="200" w:firstLine="480"/>
        <w:rPr>
          <w:kern w:val="0"/>
          <w:sz w:val="24"/>
        </w:rPr>
      </w:pPr>
      <w:r>
        <w:rPr>
          <w:rFonts w:hint="eastAsia"/>
          <w:kern w:val="0"/>
          <w:sz w:val="24"/>
        </w:rPr>
        <w:t>d</w:t>
      </w:r>
      <w:r>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B67D8A" w:rsidRDefault="00B67D8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）处于未上市期间的有价证券应区分如下情况处理：</w:t>
      </w:r>
    </w:p>
    <w:p w:rsidR="00B67D8A" w:rsidRDefault="00B67D8A">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、送股、转增股、配股和公开增发的新股，按估值日在证券交易所挂牌的同一股票的估值方法估值；</w:t>
      </w:r>
      <w:r>
        <w:rPr>
          <w:rFonts w:hint="eastAsia"/>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、首次公开发行未上市的股票、债券和权证，采用估值技术确定公允价值，在估值技术难以可靠计量公允价值的情况下，按成本估值；</w:t>
      </w:r>
    </w:p>
    <w:p w:rsidR="00B67D8A" w:rsidRDefault="00B67D8A">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B67D8A" w:rsidRDefault="00B67D8A">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）在全国银行间债券市场交易的债券、资产支持证券等固定收益品种，采用估值技术确定公允价值。</w:t>
      </w:r>
    </w:p>
    <w:p w:rsidR="00B67D8A" w:rsidRDefault="00B67D8A">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）同一债券同时在两个或两个以上市场交易的，按债券所处的市场分别估值。</w:t>
      </w:r>
    </w:p>
    <w:p w:rsidR="00B67D8A" w:rsidRDefault="00B67D8A">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）如有确凿证据表明按上述方法进行估值不能客观反映其公允价值的，基金管理人可根据具体情况与基金托管人商定后，按最能反映公允价值的价格估值。</w:t>
      </w:r>
    </w:p>
    <w:p w:rsidR="00B67D8A" w:rsidRDefault="00B67D8A">
      <w:pPr>
        <w:widowControl/>
        <w:adjustRightInd w:val="0"/>
        <w:snapToGrid w:val="0"/>
        <w:spacing w:line="360" w:lineRule="auto"/>
        <w:ind w:firstLineChars="200" w:firstLine="480"/>
        <w:rPr>
          <w:kern w:val="0"/>
          <w:sz w:val="24"/>
        </w:rPr>
      </w:pPr>
      <w:r>
        <w:rPr>
          <w:rFonts w:hint="eastAsia"/>
          <w:kern w:val="0"/>
          <w:sz w:val="24"/>
        </w:rPr>
        <w:t>6</w:t>
      </w:r>
      <w:r>
        <w:rPr>
          <w:rFonts w:hint="eastAsia"/>
          <w:kern w:val="0"/>
          <w:sz w:val="24"/>
        </w:rPr>
        <w:t>）相关法律法规以及监管部门有强制规定的，从其规定。如有新增事项，按国家最新规定估值。</w:t>
      </w:r>
    </w:p>
    <w:p w:rsidR="00B67D8A" w:rsidRDefault="00B67D8A">
      <w:pPr>
        <w:widowControl/>
        <w:adjustRightInd w:val="0"/>
        <w:snapToGrid w:val="0"/>
        <w:spacing w:line="360" w:lineRule="auto"/>
        <w:ind w:firstLineChars="200" w:firstLine="480"/>
        <w:rPr>
          <w:kern w:val="0"/>
          <w:sz w:val="24"/>
        </w:rPr>
      </w:pPr>
      <w:r>
        <w:rPr>
          <w:rFonts w:hint="eastAsia"/>
          <w:kern w:val="0"/>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B67D8A" w:rsidRDefault="00B67D8A">
      <w:pPr>
        <w:widowControl/>
        <w:adjustRightInd w:val="0"/>
        <w:snapToGrid w:val="0"/>
        <w:spacing w:line="360" w:lineRule="auto"/>
        <w:ind w:firstLineChars="200" w:firstLine="480"/>
        <w:rPr>
          <w:kern w:val="0"/>
          <w:sz w:val="24"/>
        </w:rPr>
      </w:pPr>
      <w:r>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67D8A" w:rsidRDefault="00B67D8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）特殊情形的处理</w:t>
      </w:r>
    </w:p>
    <w:p w:rsidR="00B67D8A" w:rsidRDefault="00B67D8A">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）基金管理人、基金托管人按估值方法的第</w:t>
      </w:r>
      <w:r>
        <w:rPr>
          <w:rFonts w:hint="eastAsia"/>
          <w:kern w:val="0"/>
          <w:sz w:val="24"/>
        </w:rPr>
        <w:t>5</w:t>
      </w:r>
      <w:r>
        <w:rPr>
          <w:rFonts w:hint="eastAsia"/>
          <w:kern w:val="0"/>
          <w:sz w:val="24"/>
        </w:rPr>
        <w:t>）项进行估值时，所造成的误差不作为基金份额净值错误处理。</w:t>
      </w:r>
    </w:p>
    <w:p w:rsidR="00B67D8A" w:rsidRDefault="00B67D8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rsidR="00B67D8A" w:rsidRDefault="00B67D8A">
      <w:pPr>
        <w:widowControl/>
        <w:adjustRightInd w:val="0"/>
        <w:snapToGrid w:val="0"/>
        <w:spacing w:line="360" w:lineRule="auto"/>
        <w:ind w:firstLineChars="200" w:firstLine="480"/>
        <w:jc w:val="left"/>
        <w:rPr>
          <w:kern w:val="0"/>
          <w:sz w:val="24"/>
        </w:rPr>
      </w:pPr>
      <w:r>
        <w:rPr>
          <w:kern w:val="0"/>
          <w:sz w:val="24"/>
        </w:rPr>
        <w:t>3</w:t>
      </w:r>
      <w:r>
        <w:rPr>
          <w:rFonts w:hAnsi="宋体"/>
          <w:kern w:val="0"/>
          <w:sz w:val="24"/>
        </w:rPr>
        <w:t>、</w:t>
      </w:r>
      <w:r>
        <w:rPr>
          <w:rFonts w:hAnsi="宋体"/>
          <w:sz w:val="24"/>
          <w:szCs w:val="24"/>
        </w:rPr>
        <w:t>基金估值错误的处理方式</w:t>
      </w:r>
    </w:p>
    <w:p w:rsidR="00B67D8A" w:rsidRDefault="00B67D8A">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）当基金份额净值小数点后</w:t>
      </w:r>
      <w:r>
        <w:rPr>
          <w:rFonts w:hAnsi="宋体" w:hint="eastAsia"/>
          <w:sz w:val="24"/>
          <w:szCs w:val="24"/>
        </w:rPr>
        <w:t>3</w:t>
      </w:r>
      <w:r>
        <w:rPr>
          <w:rFonts w:hAnsi="宋体" w:hint="eastAsia"/>
          <w:sz w:val="24"/>
          <w:szCs w:val="24"/>
        </w:rPr>
        <w:t>位以内（含第</w:t>
      </w:r>
      <w:r>
        <w:rPr>
          <w:rFonts w:hAnsi="宋体" w:hint="eastAsia"/>
          <w:sz w:val="24"/>
          <w:szCs w:val="24"/>
        </w:rPr>
        <w:t>3</w:t>
      </w:r>
      <w:r>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Pr>
          <w:rFonts w:hAnsi="宋体" w:hint="eastAsia"/>
          <w:sz w:val="24"/>
          <w:szCs w:val="24"/>
        </w:rPr>
        <w:t>0.25%</w:t>
      </w:r>
      <w:r>
        <w:rPr>
          <w:rFonts w:hAnsi="宋体" w:hint="eastAsia"/>
          <w:sz w:val="24"/>
          <w:szCs w:val="24"/>
        </w:rPr>
        <w:t>时，基金管理人应当及时通知基金托管人并报中国证监会；错误偏差达到基金份额净值的</w:t>
      </w:r>
      <w:r>
        <w:rPr>
          <w:rFonts w:hAnsi="宋体" w:hint="eastAsia"/>
          <w:sz w:val="24"/>
          <w:szCs w:val="24"/>
        </w:rPr>
        <w:t>0.50%</w:t>
      </w:r>
      <w:r>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B67D8A" w:rsidRDefault="00B67D8A">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B67D8A" w:rsidRDefault="00B67D8A">
      <w:pPr>
        <w:widowControl/>
        <w:adjustRightInd w:val="0"/>
        <w:snapToGrid w:val="0"/>
        <w:spacing w:line="360" w:lineRule="auto"/>
        <w:ind w:firstLineChars="200" w:firstLine="480"/>
        <w:jc w:val="left"/>
        <w:rPr>
          <w:rFonts w:hAnsi="宋体"/>
          <w:sz w:val="24"/>
          <w:szCs w:val="24"/>
        </w:rPr>
      </w:pPr>
      <w:r>
        <w:rPr>
          <w:rFonts w:hAnsi="宋体" w:hint="eastAsia"/>
          <w:sz w:val="24"/>
          <w:szCs w:val="24"/>
        </w:rPr>
        <w:lastRenderedPageBreak/>
        <w:t>1</w:t>
      </w:r>
      <w:r>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B67D8A" w:rsidRDefault="00B67D8A">
      <w:pPr>
        <w:widowControl/>
        <w:adjustRightInd w:val="0"/>
        <w:snapToGrid w:val="0"/>
        <w:spacing w:line="360" w:lineRule="auto"/>
        <w:ind w:firstLineChars="200" w:firstLine="480"/>
        <w:jc w:val="left"/>
        <w:rPr>
          <w:rFonts w:hAnsi="宋体"/>
          <w:sz w:val="24"/>
          <w:szCs w:val="24"/>
        </w:rPr>
      </w:pPr>
      <w:r>
        <w:rPr>
          <w:rFonts w:hAnsi="宋体" w:hint="eastAsia"/>
          <w:sz w:val="24"/>
          <w:szCs w:val="24"/>
        </w:rPr>
        <w:t>2</w:t>
      </w:r>
      <w:r>
        <w:rPr>
          <w:rFonts w:hAnsi="宋体" w:hint="eastAsia"/>
          <w:sz w:val="24"/>
          <w:szCs w:val="24"/>
        </w:rPr>
        <w:t>）</w:t>
      </w:r>
      <w:proofErr w:type="gramStart"/>
      <w:r>
        <w:rPr>
          <w:rFonts w:hAnsi="宋体" w:hint="eastAsia"/>
          <w:sz w:val="24"/>
          <w:szCs w:val="24"/>
        </w:rPr>
        <w:t>若基金</w:t>
      </w:r>
      <w:proofErr w:type="gramEnd"/>
      <w:r>
        <w:rPr>
          <w:rFonts w:hAnsi="宋体" w:hint="eastAsia"/>
          <w:sz w:val="24"/>
          <w:szCs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hAnsi="宋体" w:hint="eastAsia"/>
          <w:sz w:val="24"/>
          <w:szCs w:val="24"/>
        </w:rPr>
        <w:t>50%</w:t>
      </w:r>
      <w:r>
        <w:rPr>
          <w:rFonts w:hAnsi="宋体" w:hint="eastAsia"/>
          <w:sz w:val="24"/>
          <w:szCs w:val="24"/>
        </w:rPr>
        <w:t>，基金托管人承担</w:t>
      </w:r>
      <w:r>
        <w:rPr>
          <w:rFonts w:hAnsi="宋体" w:hint="eastAsia"/>
          <w:sz w:val="24"/>
          <w:szCs w:val="24"/>
        </w:rPr>
        <w:t>50%</w:t>
      </w:r>
      <w:r>
        <w:rPr>
          <w:rFonts w:hAnsi="宋体" w:hint="eastAsia"/>
          <w:sz w:val="24"/>
          <w:szCs w:val="24"/>
        </w:rPr>
        <w:t>。</w:t>
      </w:r>
    </w:p>
    <w:p w:rsidR="00B67D8A" w:rsidRDefault="00B67D8A">
      <w:pPr>
        <w:widowControl/>
        <w:adjustRightInd w:val="0"/>
        <w:snapToGrid w:val="0"/>
        <w:spacing w:line="360" w:lineRule="auto"/>
        <w:ind w:firstLineChars="200" w:firstLine="480"/>
        <w:jc w:val="left"/>
        <w:rPr>
          <w:rFonts w:hAnsi="宋体"/>
          <w:sz w:val="24"/>
          <w:szCs w:val="24"/>
        </w:rPr>
      </w:pPr>
      <w:r>
        <w:rPr>
          <w:rFonts w:hAnsi="宋体" w:hint="eastAsia"/>
          <w:sz w:val="24"/>
          <w:szCs w:val="24"/>
        </w:rPr>
        <w:t>3</w:t>
      </w:r>
      <w:r>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67D8A" w:rsidRDefault="00B67D8A">
      <w:pPr>
        <w:widowControl/>
        <w:adjustRightInd w:val="0"/>
        <w:snapToGrid w:val="0"/>
        <w:spacing w:line="360" w:lineRule="auto"/>
        <w:ind w:firstLineChars="200" w:firstLine="480"/>
        <w:jc w:val="left"/>
        <w:rPr>
          <w:rFonts w:hAnsi="宋体"/>
          <w:sz w:val="24"/>
          <w:szCs w:val="24"/>
        </w:rPr>
      </w:pPr>
      <w:r>
        <w:rPr>
          <w:rFonts w:hAnsi="宋体" w:hint="eastAsia"/>
          <w:sz w:val="24"/>
          <w:szCs w:val="24"/>
        </w:rPr>
        <w:t>4</w:t>
      </w:r>
      <w:r>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B67D8A" w:rsidRDefault="00B67D8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基金管理人和基金托管人由于各自技术系统设置而产生的净值计算尾差，以基金管理人计算结果为准。</w:t>
      </w:r>
    </w:p>
    <w:p w:rsidR="00B67D8A" w:rsidRDefault="00B67D8A">
      <w:pPr>
        <w:widowControl/>
        <w:adjustRightInd w:val="0"/>
        <w:snapToGrid w:val="0"/>
        <w:spacing w:line="360" w:lineRule="auto"/>
        <w:ind w:firstLineChars="200" w:firstLine="480"/>
        <w:jc w:val="left"/>
        <w:rPr>
          <w:kern w:val="0"/>
          <w:sz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前述内容如法律法规或监管机关另有规定的，从其规定处理。如果行业有通行做法，双方当事人应本着平等和保护基金份额持有人利益的原则进行协商。</w:t>
      </w:r>
    </w:p>
    <w:p w:rsidR="00B67D8A" w:rsidRDefault="00B67D8A">
      <w:pPr>
        <w:widowControl/>
        <w:adjustRightInd w:val="0"/>
        <w:snapToGrid w:val="0"/>
        <w:spacing w:line="360" w:lineRule="auto"/>
        <w:ind w:firstLineChars="200" w:firstLine="480"/>
        <w:rPr>
          <w:kern w:val="0"/>
          <w:sz w:val="24"/>
        </w:rPr>
      </w:pPr>
      <w:r>
        <w:rPr>
          <w:kern w:val="0"/>
          <w:sz w:val="24"/>
        </w:rPr>
        <w:t>4</w:t>
      </w:r>
      <w:r>
        <w:rPr>
          <w:rFonts w:hAnsi="宋体"/>
          <w:kern w:val="0"/>
          <w:sz w:val="24"/>
        </w:rPr>
        <w:t>、</w:t>
      </w:r>
      <w:r>
        <w:rPr>
          <w:rFonts w:hAnsi="宋体"/>
          <w:sz w:val="24"/>
          <w:szCs w:val="24"/>
        </w:rPr>
        <w:t>暂停估值与公告基金份额净值的情形</w:t>
      </w:r>
    </w:p>
    <w:p w:rsidR="00B67D8A" w:rsidRDefault="00B67D8A">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（1）基金投资所涉及的证券交易市场遇法定节假日或因其他原因暂停营业时；</w:t>
      </w:r>
    </w:p>
    <w:p w:rsidR="00B67D8A" w:rsidRDefault="00B67D8A">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（2）因不可抗力致使基金管理人、基金托管人无法准确评估基金资产价值时；</w:t>
      </w:r>
    </w:p>
    <w:p w:rsidR="00B67D8A" w:rsidRDefault="00B67D8A">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（3）占基金相当比例的投资品种的估值出现重大转变，而基金管理人为保障基金份额持有人的利益，决定延迟估值时；</w:t>
      </w:r>
    </w:p>
    <w:p w:rsidR="00B67D8A" w:rsidRDefault="00B67D8A">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（4）中国证监会和基金合同认定的其他情形。</w:t>
      </w:r>
    </w:p>
    <w:p w:rsidR="00B67D8A" w:rsidRDefault="00B67D8A">
      <w:pPr>
        <w:widowControl/>
        <w:adjustRightInd w:val="0"/>
        <w:snapToGrid w:val="0"/>
        <w:spacing w:line="360" w:lineRule="auto"/>
        <w:ind w:firstLineChars="200" w:firstLine="480"/>
        <w:rPr>
          <w:kern w:val="0"/>
          <w:sz w:val="24"/>
        </w:rPr>
      </w:pPr>
      <w:r>
        <w:rPr>
          <w:kern w:val="0"/>
          <w:sz w:val="24"/>
        </w:rPr>
        <w:t>5</w:t>
      </w:r>
      <w:r>
        <w:rPr>
          <w:rFonts w:hAnsi="宋体"/>
          <w:kern w:val="0"/>
          <w:sz w:val="24"/>
        </w:rPr>
        <w:t>、</w:t>
      </w:r>
      <w:r>
        <w:rPr>
          <w:rFonts w:hAnsi="宋体"/>
          <w:sz w:val="24"/>
          <w:szCs w:val="24"/>
        </w:rPr>
        <w:t>基金会计制度</w:t>
      </w:r>
      <w:bookmarkStart w:id="107" w:name="_Toc311810257"/>
    </w:p>
    <w:p w:rsidR="00B67D8A" w:rsidRDefault="00B67D8A">
      <w:pPr>
        <w:widowControl/>
        <w:adjustRightInd w:val="0"/>
        <w:snapToGrid w:val="0"/>
        <w:spacing w:line="360" w:lineRule="auto"/>
        <w:ind w:firstLineChars="200" w:firstLine="480"/>
        <w:rPr>
          <w:sz w:val="24"/>
          <w:szCs w:val="24"/>
        </w:rPr>
      </w:pPr>
      <w:r>
        <w:rPr>
          <w:rFonts w:ascii="宋体" w:hAnsi="宋体"/>
          <w:sz w:val="24"/>
          <w:szCs w:val="24"/>
        </w:rPr>
        <w:t>按国家有关部门规定的会计制度执行。</w:t>
      </w:r>
    </w:p>
    <w:p w:rsidR="00B67D8A" w:rsidRDefault="00B67D8A">
      <w:pPr>
        <w:widowControl/>
        <w:adjustRightInd w:val="0"/>
        <w:snapToGrid w:val="0"/>
        <w:spacing w:line="360" w:lineRule="auto"/>
        <w:ind w:firstLineChars="200" w:firstLine="480"/>
        <w:rPr>
          <w:sz w:val="24"/>
          <w:szCs w:val="24"/>
        </w:rPr>
      </w:pPr>
      <w:r>
        <w:rPr>
          <w:sz w:val="24"/>
          <w:szCs w:val="24"/>
        </w:rPr>
        <w:t>6</w:t>
      </w:r>
      <w:r>
        <w:rPr>
          <w:rFonts w:hAnsi="宋体"/>
          <w:sz w:val="24"/>
          <w:szCs w:val="24"/>
        </w:rPr>
        <w:t>、基金账册的建立</w:t>
      </w:r>
    </w:p>
    <w:p w:rsidR="00B67D8A" w:rsidRDefault="00B67D8A">
      <w:pPr>
        <w:widowControl/>
        <w:adjustRightInd w:val="0"/>
        <w:snapToGrid w:val="0"/>
        <w:spacing w:line="360" w:lineRule="auto"/>
        <w:ind w:firstLineChars="200" w:firstLine="480"/>
        <w:rPr>
          <w:sz w:val="24"/>
          <w:szCs w:val="24"/>
        </w:rPr>
      </w:pPr>
      <w:r>
        <w:rPr>
          <w:rFonts w:ascii="宋体" w:hAnsi="宋体" w:hint="eastAsia"/>
          <w:sz w:val="24"/>
          <w:szCs w:val="24"/>
        </w:rPr>
        <w:lastRenderedPageBreak/>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szCs w:val="24"/>
        </w:rPr>
        <w:t>若基金</w:t>
      </w:r>
      <w:proofErr w:type="gramEnd"/>
      <w:r>
        <w:rPr>
          <w:rFonts w:ascii="宋体" w:hAnsi="宋体"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B67D8A" w:rsidRDefault="00B67D8A">
      <w:pPr>
        <w:widowControl/>
        <w:adjustRightInd w:val="0"/>
        <w:snapToGrid w:val="0"/>
        <w:spacing w:line="360" w:lineRule="auto"/>
        <w:ind w:firstLineChars="200" w:firstLine="480"/>
        <w:rPr>
          <w:sz w:val="24"/>
          <w:szCs w:val="24"/>
        </w:rPr>
      </w:pPr>
      <w:r>
        <w:rPr>
          <w:sz w:val="24"/>
          <w:szCs w:val="24"/>
        </w:rPr>
        <w:t>7</w:t>
      </w:r>
      <w:r>
        <w:rPr>
          <w:rFonts w:hAnsi="宋体"/>
          <w:sz w:val="24"/>
          <w:szCs w:val="24"/>
        </w:rPr>
        <w:t>、基金财务报表与报告的编制和复核</w:t>
      </w:r>
    </w:p>
    <w:p w:rsidR="00B67D8A" w:rsidRDefault="00B67D8A">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）财务报表的编制</w:t>
      </w:r>
    </w:p>
    <w:p w:rsidR="00B67D8A" w:rsidRDefault="00B67D8A">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基金管理人应当及时编制并对外提供真实、完整的基金财务会计报告。月度报表的编制，基金管理人应于每月终了后</w:t>
      </w:r>
      <w:r>
        <w:rPr>
          <w:rFonts w:hAnsi="宋体" w:hint="eastAsia"/>
          <w:sz w:val="24"/>
          <w:szCs w:val="24"/>
        </w:rPr>
        <w:t>5</w:t>
      </w:r>
      <w:r>
        <w:rPr>
          <w:rFonts w:hAnsi="宋体" w:hint="eastAsia"/>
          <w:sz w:val="24"/>
          <w:szCs w:val="24"/>
        </w:rPr>
        <w:t>个工作日内完成；季度报告应在每个季度结束之日起</w:t>
      </w:r>
      <w:r>
        <w:rPr>
          <w:rFonts w:hAnsi="宋体" w:hint="eastAsia"/>
          <w:sz w:val="24"/>
          <w:szCs w:val="24"/>
        </w:rPr>
        <w:t>15</w:t>
      </w:r>
      <w:r>
        <w:rPr>
          <w:rFonts w:hAnsi="宋体" w:hint="eastAsia"/>
          <w:sz w:val="24"/>
          <w:szCs w:val="24"/>
        </w:rPr>
        <w:t>个工作日内编制完毕并予以公告；半年度报告在会计年度半年终了后</w:t>
      </w:r>
      <w:r>
        <w:rPr>
          <w:rFonts w:hAnsi="宋体" w:hint="eastAsia"/>
          <w:sz w:val="24"/>
          <w:szCs w:val="24"/>
        </w:rPr>
        <w:t>60</w:t>
      </w:r>
      <w:r>
        <w:rPr>
          <w:rFonts w:hAnsi="宋体" w:hint="eastAsia"/>
          <w:sz w:val="24"/>
          <w:szCs w:val="24"/>
        </w:rPr>
        <w:t>日内编制完毕并予以公告；年度报告在会计年度结束后</w:t>
      </w:r>
      <w:r>
        <w:rPr>
          <w:rFonts w:hAnsi="宋体" w:hint="eastAsia"/>
          <w:sz w:val="24"/>
          <w:szCs w:val="24"/>
        </w:rPr>
        <w:t>90</w:t>
      </w:r>
      <w:r>
        <w:rPr>
          <w:rFonts w:hAnsi="宋体" w:hint="eastAsia"/>
          <w:sz w:val="24"/>
          <w:szCs w:val="24"/>
        </w:rPr>
        <w:t>日内编制完毕并予以公告。基金合同生效不足</w:t>
      </w:r>
      <w:r>
        <w:rPr>
          <w:rFonts w:hAnsi="宋体" w:hint="eastAsia"/>
          <w:sz w:val="24"/>
          <w:szCs w:val="24"/>
        </w:rPr>
        <w:t>2</w:t>
      </w:r>
      <w:r>
        <w:rPr>
          <w:rFonts w:hAnsi="宋体" w:hint="eastAsia"/>
          <w:sz w:val="24"/>
          <w:szCs w:val="24"/>
        </w:rPr>
        <w:t>个月的，基金管理人可以不编制当期季度报告、半年度报告或者年度报告。</w:t>
      </w:r>
    </w:p>
    <w:p w:rsidR="00B67D8A" w:rsidRDefault="00B67D8A">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）报表复核</w:t>
      </w:r>
    </w:p>
    <w:p w:rsidR="00B67D8A" w:rsidRDefault="00B67D8A">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基金管理人在报表或定期报告完成当日，对报表盖章后，以加密传真方式或双方书面商定的其他方式将有关报表提供基金托管人复核。</w:t>
      </w:r>
    </w:p>
    <w:p w:rsidR="00B67D8A" w:rsidRDefault="00B67D8A">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基金管理人在月度报表完成当日，将报表盖章后提供给基金托管人复核；基金托管人在收到后应在</w:t>
      </w:r>
      <w:r>
        <w:rPr>
          <w:rFonts w:hAnsi="宋体" w:hint="eastAsia"/>
          <w:sz w:val="24"/>
          <w:szCs w:val="24"/>
        </w:rPr>
        <w:t>3</w:t>
      </w:r>
      <w:r>
        <w:rPr>
          <w:rFonts w:hAnsi="宋体" w:hint="eastAsia"/>
          <w:sz w:val="24"/>
          <w:szCs w:val="24"/>
        </w:rPr>
        <w:t>日内进行复核，并将复核结果书面通知基金管理人。基金管理人在季度报告完成当日，将有关报告提供给基金托管人复核，基金托管人应在收到后</w:t>
      </w:r>
      <w:r>
        <w:rPr>
          <w:rFonts w:hAnsi="宋体" w:hint="eastAsia"/>
          <w:sz w:val="24"/>
          <w:szCs w:val="24"/>
        </w:rPr>
        <w:t>7</w:t>
      </w:r>
      <w:r>
        <w:rPr>
          <w:rFonts w:hAnsi="宋体" w:hint="eastAsia"/>
          <w:sz w:val="24"/>
          <w:szCs w:val="24"/>
        </w:rPr>
        <w:t>个工作日内完成复核，并将复核结果书面通知基金管理人。基金管理人在半年度报告完成当日，将有关报告提供给基金托管人复核，基金托管人应在收到后</w:t>
      </w:r>
      <w:r>
        <w:rPr>
          <w:rFonts w:hAnsi="宋体" w:hint="eastAsia"/>
          <w:sz w:val="24"/>
          <w:szCs w:val="24"/>
        </w:rPr>
        <w:t>30</w:t>
      </w:r>
      <w:r>
        <w:rPr>
          <w:rFonts w:hAnsi="宋体" w:hint="eastAsia"/>
          <w:sz w:val="24"/>
          <w:szCs w:val="24"/>
        </w:rPr>
        <w:t>日内完成复核，并将复核结果书面通知基金管理人。基金管理人在年度报告完成当日，将有关报告提供基金托管人复核，基金托管人应在收到后</w:t>
      </w:r>
      <w:r>
        <w:rPr>
          <w:rFonts w:hAnsi="宋体" w:hint="eastAsia"/>
          <w:sz w:val="24"/>
          <w:szCs w:val="24"/>
        </w:rPr>
        <w:t>45</w:t>
      </w:r>
      <w:r>
        <w:rPr>
          <w:rFonts w:hAnsi="宋体" w:hint="eastAsia"/>
          <w:sz w:val="24"/>
          <w:szCs w:val="24"/>
        </w:rPr>
        <w:t>日内完成复核，并将复核结果书面通知基金管理人。基金管理人和基金托管人之间的上述文件往来均以加密传真的方式或双方商定的其他方式进行。</w:t>
      </w:r>
    </w:p>
    <w:p w:rsidR="00B67D8A" w:rsidRDefault="00B67D8A">
      <w:pPr>
        <w:widowControl/>
        <w:adjustRightInd w:val="0"/>
        <w:snapToGrid w:val="0"/>
        <w:spacing w:line="360" w:lineRule="auto"/>
        <w:ind w:firstLineChars="200" w:firstLine="480"/>
        <w:rPr>
          <w:kern w:val="0"/>
          <w:sz w:val="24"/>
        </w:rPr>
      </w:pPr>
      <w:r>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w:t>
      </w:r>
      <w:r>
        <w:rPr>
          <w:rFonts w:hAnsi="宋体" w:hint="eastAsia"/>
          <w:sz w:val="24"/>
          <w:szCs w:val="24"/>
        </w:rPr>
        <w:lastRenderedPageBreak/>
        <w:t>人提供的报告上加盖托管业务部门公章或者出具加盖托管业务专用章的复核意见书，双方各自留存一份。如果基金管理人与基金托管人不能</w:t>
      </w:r>
      <w:proofErr w:type="gramStart"/>
      <w:r>
        <w:rPr>
          <w:rFonts w:hAnsi="宋体" w:hint="eastAsia"/>
          <w:sz w:val="24"/>
          <w:szCs w:val="24"/>
        </w:rPr>
        <w:t>于应当</w:t>
      </w:r>
      <w:proofErr w:type="gramEnd"/>
      <w:r>
        <w:rPr>
          <w:rFonts w:hAnsi="宋体" w:hint="eastAsia"/>
          <w:sz w:val="24"/>
          <w:szCs w:val="24"/>
        </w:rPr>
        <w:t>发布公告之日之前就相关报表达成一致，基金管理人有权按照其编制的报表对外发布公告，基金托管人有权就相关情况报中国证监会备案。</w:t>
      </w:r>
      <w:bookmarkEnd w:id="107"/>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（六）基金份额持有人名册的保管</w:t>
      </w:r>
      <w:r>
        <w:rPr>
          <w:b/>
          <w:kern w:val="0"/>
          <w:sz w:val="24"/>
        </w:rPr>
        <w:t xml:space="preserve"> </w:t>
      </w:r>
    </w:p>
    <w:p w:rsidR="00B67D8A" w:rsidRDefault="00B67D8A">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日的基金份额持有人名册。基金份额持有人名册的内容至少应包括持有人的名称和持有的基金份额。</w:t>
      </w:r>
    </w:p>
    <w:p w:rsidR="00B67D8A" w:rsidRDefault="00B67D8A">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67D8A" w:rsidRDefault="00B67D8A">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基金管理人应及时向基金托管人提交基金份额持有人名册。每年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日和</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B67D8A" w:rsidRDefault="00B67D8A">
      <w:pPr>
        <w:widowControl/>
        <w:adjustRightInd w:val="0"/>
        <w:snapToGrid w:val="0"/>
        <w:spacing w:line="360" w:lineRule="auto"/>
        <w:ind w:firstLineChars="200" w:firstLine="480"/>
        <w:outlineLvl w:val="1"/>
        <w:rPr>
          <w:kern w:val="0"/>
          <w:sz w:val="24"/>
        </w:rPr>
      </w:pPr>
      <w:r>
        <w:rPr>
          <w:rFonts w:hAnsi="宋体" w:hint="eastAsia"/>
          <w:sz w:val="24"/>
          <w:szCs w:val="24"/>
        </w:rPr>
        <w:t>基金管理人和基金托管人应妥善保管基金份额持有人名册，保存期限为</w:t>
      </w:r>
      <w:r>
        <w:rPr>
          <w:rFonts w:hAnsi="宋体" w:hint="eastAsia"/>
          <w:sz w:val="24"/>
          <w:szCs w:val="24"/>
        </w:rPr>
        <w:t>15</w:t>
      </w:r>
      <w:r>
        <w:rPr>
          <w:rFonts w:hAnsi="宋体" w:hint="eastAsia"/>
          <w:sz w:val="24"/>
          <w:szCs w:val="24"/>
        </w:rPr>
        <w:t>年。基金托管人不得将所保管的基金份额持有人名册用于基金托管业务以外的其他用途，并应遵守保密义务。</w:t>
      </w:r>
      <w:proofErr w:type="gramStart"/>
      <w:r>
        <w:rPr>
          <w:rFonts w:hAnsi="宋体" w:hint="eastAsia"/>
          <w:sz w:val="24"/>
          <w:szCs w:val="24"/>
        </w:rPr>
        <w:t>若基金</w:t>
      </w:r>
      <w:proofErr w:type="gramEnd"/>
      <w:r>
        <w:rPr>
          <w:rFonts w:hAnsi="宋体" w:hint="eastAsia"/>
          <w:sz w:val="24"/>
          <w:szCs w:val="24"/>
        </w:rPr>
        <w:t>管理人或基金托管人由于自身原因无法妥善保管基金份额持有人名册，应按有关法规规定各自承担相应的责任。</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rsidR="00B67D8A" w:rsidRDefault="00B67D8A">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B67D8A" w:rsidRDefault="00B67D8A">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rsidR="00B67D8A" w:rsidRDefault="00B67D8A">
      <w:pPr>
        <w:widowControl/>
        <w:adjustRightInd w:val="0"/>
        <w:snapToGrid w:val="0"/>
        <w:spacing w:line="360" w:lineRule="auto"/>
        <w:ind w:firstLineChars="200" w:firstLine="480"/>
        <w:outlineLvl w:val="1"/>
        <w:rPr>
          <w:kern w:val="0"/>
          <w:sz w:val="24"/>
        </w:rPr>
      </w:pPr>
      <w:r>
        <w:rPr>
          <w:rFonts w:hAnsi="宋体" w:hint="eastAsia"/>
          <w:sz w:val="24"/>
          <w:szCs w:val="24"/>
        </w:rPr>
        <w:lastRenderedPageBreak/>
        <w:t>本协议适用中华人民共和国法律并从其解释。</w:t>
      </w:r>
    </w:p>
    <w:p w:rsidR="00B67D8A" w:rsidRDefault="00B67D8A">
      <w:pPr>
        <w:widowControl/>
        <w:adjustRightInd w:val="0"/>
        <w:snapToGrid w:val="0"/>
        <w:spacing w:line="360" w:lineRule="auto"/>
        <w:ind w:firstLineChars="200" w:firstLine="482"/>
        <w:outlineLvl w:val="1"/>
        <w:rPr>
          <w:b/>
          <w:kern w:val="0"/>
          <w:sz w:val="24"/>
        </w:rPr>
      </w:pPr>
      <w:r>
        <w:rPr>
          <w:rFonts w:hAnsi="宋体"/>
          <w:b/>
          <w:kern w:val="0"/>
          <w:sz w:val="24"/>
        </w:rPr>
        <w:t>（八）托管协议的变更与终止</w:t>
      </w:r>
      <w:r>
        <w:rPr>
          <w:b/>
          <w:kern w:val="0"/>
          <w:sz w:val="24"/>
        </w:rPr>
        <w:t xml:space="preserve"> </w:t>
      </w:r>
    </w:p>
    <w:p w:rsidR="00B67D8A" w:rsidRDefault="00B67D8A">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、托管协议的变更程序</w:t>
      </w:r>
    </w:p>
    <w:p w:rsidR="00B67D8A" w:rsidRDefault="00B67D8A">
      <w:pPr>
        <w:widowControl/>
        <w:adjustRightInd w:val="0"/>
        <w:snapToGrid w:val="0"/>
        <w:spacing w:line="360" w:lineRule="auto"/>
        <w:ind w:firstLineChars="200" w:firstLine="480"/>
        <w:outlineLvl w:val="1"/>
        <w:rPr>
          <w:kern w:val="0"/>
          <w:sz w:val="24"/>
        </w:rPr>
      </w:pPr>
      <w:r>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rsidR="00B67D8A" w:rsidRDefault="00B67D8A">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、托管协议终止的情形</w:t>
      </w:r>
    </w:p>
    <w:p w:rsidR="00B67D8A" w:rsidRDefault="00B67D8A">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rFonts w:hint="eastAsia"/>
          <w:kern w:val="0"/>
          <w:sz w:val="24"/>
        </w:rPr>
        <w:t>）基金合同终止；</w:t>
      </w:r>
    </w:p>
    <w:p w:rsidR="00B67D8A" w:rsidRDefault="00B67D8A">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rsidR="00B67D8A" w:rsidRDefault="00B67D8A">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rsidR="00B67D8A" w:rsidRDefault="00B67D8A">
      <w:pPr>
        <w:widowControl/>
        <w:adjustRightInd w:val="0"/>
        <w:snapToGrid w:val="0"/>
        <w:spacing w:line="360" w:lineRule="auto"/>
        <w:ind w:firstLineChars="200" w:firstLine="480"/>
        <w:rPr>
          <w:rFonts w:ascii="宋体" w:hAnsi="宋体"/>
          <w:kern w:val="0"/>
          <w:sz w:val="24"/>
        </w:rPr>
      </w:pPr>
      <w:r>
        <w:rPr>
          <w:rFonts w:hint="eastAsia"/>
          <w:kern w:val="0"/>
          <w:sz w:val="24"/>
        </w:rPr>
        <w:t>（</w:t>
      </w:r>
      <w:r>
        <w:rPr>
          <w:rFonts w:hint="eastAsia"/>
          <w:kern w:val="0"/>
          <w:sz w:val="24"/>
        </w:rPr>
        <w:t>4</w:t>
      </w:r>
      <w:r>
        <w:rPr>
          <w:rFonts w:hint="eastAsia"/>
          <w:kern w:val="0"/>
          <w:sz w:val="24"/>
        </w:rPr>
        <w:t>）发生法律法规、中国证监会或基金合同规定的其他终止事项。</w:t>
      </w:r>
    </w:p>
    <w:p w:rsidR="00B67D8A" w:rsidRDefault="00B67D8A">
      <w:pPr>
        <w:widowControl/>
        <w:adjustRightInd w:val="0"/>
        <w:snapToGrid w:val="0"/>
        <w:spacing w:line="360" w:lineRule="auto"/>
        <w:ind w:firstLineChars="200" w:firstLine="480"/>
        <w:rPr>
          <w:rFonts w:ascii="宋体" w:hAnsi="宋体"/>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108" w:name="_Toc382321334"/>
      <w:r>
        <w:rPr>
          <w:rFonts w:ascii="宋体" w:hAnsi="宋体" w:hint="eastAsia"/>
          <w:b/>
          <w:kern w:val="0"/>
          <w:sz w:val="30"/>
        </w:rPr>
        <w:t>二十三、对基金份额持有人的服务</w:t>
      </w:r>
      <w:bookmarkEnd w:id="108"/>
    </w:p>
    <w:p w:rsidR="00B67D8A" w:rsidRDefault="00B67D8A">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rsidR="00B67D8A" w:rsidRDefault="00B67D8A">
      <w:pPr>
        <w:widowControl/>
        <w:adjustRightInd w:val="0"/>
        <w:snapToGrid w:val="0"/>
        <w:spacing w:line="360" w:lineRule="auto"/>
        <w:ind w:firstLineChars="200" w:firstLine="482"/>
        <w:outlineLvl w:val="1"/>
        <w:rPr>
          <w:b/>
          <w:kern w:val="0"/>
          <w:sz w:val="24"/>
        </w:rPr>
      </w:pPr>
      <w:r>
        <w:rPr>
          <w:b/>
          <w:kern w:val="0"/>
          <w:sz w:val="24"/>
        </w:rPr>
        <w:t>（一）持有人交易资料的寄送服务</w:t>
      </w:r>
      <w:r>
        <w:rPr>
          <w:b/>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1</w:t>
      </w:r>
      <w:r>
        <w:rPr>
          <w:kern w:val="0"/>
          <w:sz w:val="24"/>
        </w:rPr>
        <w:t>、每次交易结</w:t>
      </w:r>
      <w:bookmarkStart w:id="109" w:name="_Toc109537400"/>
      <w:r>
        <w:rPr>
          <w:kern w:val="0"/>
          <w:sz w:val="24"/>
        </w:rPr>
        <w:t>束后，投资人可在</w:t>
      </w:r>
      <w:r>
        <w:rPr>
          <w:kern w:val="0"/>
          <w:sz w:val="24"/>
        </w:rPr>
        <w:t>T+2</w:t>
      </w:r>
      <w:r>
        <w:rPr>
          <w:kern w:val="0"/>
          <w:sz w:val="24"/>
        </w:rPr>
        <w:t>个工作日</w:t>
      </w:r>
      <w:bookmarkEnd w:id="109"/>
      <w:r>
        <w:rPr>
          <w:kern w:val="0"/>
          <w:sz w:val="24"/>
        </w:rPr>
        <w:t>后通过销售机构的网点查询和打印确认单。</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2</w:t>
      </w:r>
      <w:r>
        <w:rPr>
          <w:kern w:val="0"/>
          <w:sz w:val="24"/>
        </w:rPr>
        <w:t>、本基金管理人将向持有人提供电子或纸质对账单，需要订阅或取消的客户可与本基金管理</w:t>
      </w:r>
      <w:proofErr w:type="gramStart"/>
      <w:r>
        <w:rPr>
          <w:kern w:val="0"/>
          <w:sz w:val="24"/>
        </w:rPr>
        <w:t>人客户</w:t>
      </w:r>
      <w:proofErr w:type="gramEnd"/>
      <w:r>
        <w:rPr>
          <w:kern w:val="0"/>
          <w:sz w:val="24"/>
        </w:rPr>
        <w:t>服务中心（</w:t>
      </w:r>
      <w:r>
        <w:rPr>
          <w:kern w:val="0"/>
          <w:sz w:val="24"/>
        </w:rPr>
        <w:t>400-700-5000</w:t>
      </w:r>
      <w:r>
        <w:rPr>
          <w:kern w:val="0"/>
          <w:sz w:val="24"/>
        </w:rPr>
        <w:t>，</w:t>
      </w:r>
      <w:r>
        <w:rPr>
          <w:kern w:val="0"/>
          <w:sz w:val="24"/>
        </w:rPr>
        <w:t>021-61055000</w:t>
      </w:r>
      <w:r>
        <w:rPr>
          <w:kern w:val="0"/>
          <w:sz w:val="24"/>
        </w:rPr>
        <w:t>）联系。</w:t>
      </w:r>
    </w:p>
    <w:p w:rsidR="00B67D8A" w:rsidRDefault="00B67D8A">
      <w:pPr>
        <w:widowControl/>
        <w:adjustRightInd w:val="0"/>
        <w:snapToGrid w:val="0"/>
        <w:spacing w:line="360" w:lineRule="auto"/>
        <w:ind w:firstLineChars="200" w:firstLine="482"/>
        <w:outlineLvl w:val="1"/>
        <w:rPr>
          <w:b/>
          <w:kern w:val="0"/>
          <w:sz w:val="24"/>
        </w:rPr>
      </w:pPr>
      <w:r>
        <w:rPr>
          <w:b/>
          <w:kern w:val="0"/>
          <w:sz w:val="24"/>
        </w:rPr>
        <w:t>（二）网上</w:t>
      </w:r>
      <w:r>
        <w:rPr>
          <w:rFonts w:hint="eastAsia"/>
          <w:b/>
          <w:kern w:val="0"/>
          <w:sz w:val="24"/>
        </w:rPr>
        <w:t>直销</w:t>
      </w:r>
      <w:r>
        <w:rPr>
          <w:b/>
          <w:kern w:val="0"/>
          <w:sz w:val="24"/>
        </w:rPr>
        <w:t>服务</w:t>
      </w:r>
      <w:r>
        <w:rPr>
          <w:b/>
          <w:kern w:val="0"/>
          <w:sz w:val="24"/>
        </w:rPr>
        <w:t xml:space="preserve"> </w:t>
      </w:r>
    </w:p>
    <w:p w:rsidR="00B67D8A" w:rsidRDefault="00B67D8A">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w:t>
      </w:r>
      <w:proofErr w:type="gramStart"/>
      <w:r>
        <w:rPr>
          <w:rFonts w:hint="eastAsia"/>
          <w:kern w:val="0"/>
          <w:sz w:val="24"/>
        </w:rPr>
        <w:t>基金基金</w:t>
      </w:r>
      <w:proofErr w:type="gramEnd"/>
      <w:r>
        <w:rPr>
          <w:rFonts w:hint="eastAsia"/>
          <w:kern w:val="0"/>
          <w:sz w:val="24"/>
        </w:rPr>
        <w:t>份额的申购和定期定额投资业务的个人投资者将享受申购费率的优惠，</w:t>
      </w:r>
      <w:r>
        <w:rPr>
          <w:rFonts w:ascii="宋体" w:hAnsi="宋体" w:hint="eastAsia"/>
          <w:sz w:val="24"/>
        </w:rPr>
        <w:t>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w:t>
      </w:r>
      <w:r>
        <w:rPr>
          <w:rFonts w:ascii="宋体" w:hAnsi="宋体" w:hint="eastAsia"/>
          <w:sz w:val="24"/>
        </w:rPr>
        <w:lastRenderedPageBreak/>
        <w:t>金的</w:t>
      </w:r>
      <w:r w:rsidR="00892467">
        <w:rPr>
          <w:rFonts w:ascii="宋体" w:hAnsi="宋体" w:hint="eastAsia"/>
          <w:sz w:val="24"/>
        </w:rPr>
        <w:t>前端</w:t>
      </w:r>
      <w:r>
        <w:rPr>
          <w:rFonts w:ascii="宋体" w:hAnsi="宋体" w:hint="eastAsia"/>
          <w:sz w:val="24"/>
        </w:rPr>
        <w:t>申购补差费率将享受优惠</w:t>
      </w:r>
      <w:r>
        <w:rPr>
          <w:rFonts w:hint="eastAsia"/>
          <w:kern w:val="0"/>
          <w:sz w:val="24"/>
        </w:rPr>
        <w:t>，其他费率标准不变。具体优惠费率请参见公司网站列示的网上直销交易平台申购、定期定额投资及转换费率表或相关公告。</w:t>
      </w:r>
    </w:p>
    <w:p w:rsidR="00B67D8A" w:rsidRDefault="00B67D8A">
      <w:pPr>
        <w:widowControl/>
        <w:spacing w:line="360" w:lineRule="auto"/>
        <w:ind w:firstLineChars="200" w:firstLine="480"/>
        <w:rPr>
          <w:kern w:val="0"/>
          <w:sz w:val="24"/>
        </w:rPr>
      </w:pPr>
      <w:r>
        <w:rPr>
          <w:rFonts w:hint="eastAsia"/>
          <w:kern w:val="0"/>
          <w:sz w:val="24"/>
        </w:rPr>
        <w:t>本公司基金网上直销业务已开通的银行卡及各银行卡交易金额限额请参阅本公司网站。</w:t>
      </w:r>
    </w:p>
    <w:p w:rsidR="00B67D8A" w:rsidRDefault="00B67D8A">
      <w:pPr>
        <w:widowControl/>
        <w:spacing w:line="360" w:lineRule="auto"/>
        <w:ind w:firstLineChars="200" w:firstLine="480"/>
        <w:rPr>
          <w:kern w:val="0"/>
          <w:sz w:val="24"/>
        </w:rPr>
      </w:pPr>
      <w:r>
        <w:rPr>
          <w:rFonts w:hint="eastAsia"/>
          <w:kern w:val="0"/>
          <w:sz w:val="24"/>
        </w:rPr>
        <w:t>在条件成熟的时候，本基金管理人将根据基金网上直销业务的发展状况，适时</w:t>
      </w:r>
      <w:r w:rsidR="0051600F">
        <w:rPr>
          <w:rFonts w:hint="eastAsia"/>
          <w:kern w:val="0"/>
          <w:sz w:val="24"/>
        </w:rPr>
        <w:t>调整</w:t>
      </w:r>
      <w:r>
        <w:rPr>
          <w:rFonts w:hint="eastAsia"/>
          <w:kern w:val="0"/>
          <w:sz w:val="24"/>
        </w:rPr>
        <w:t>可用于基金网上直销交易平台的银行卡种类，敬请投资人留意相关公告。</w:t>
      </w:r>
    </w:p>
    <w:p w:rsidR="00B67D8A" w:rsidRDefault="00B67D8A">
      <w:pPr>
        <w:widowControl/>
        <w:adjustRightInd w:val="0"/>
        <w:snapToGrid w:val="0"/>
        <w:spacing w:line="360" w:lineRule="auto"/>
        <w:ind w:firstLineChars="200" w:firstLine="482"/>
        <w:outlineLvl w:val="1"/>
        <w:rPr>
          <w:b/>
          <w:kern w:val="0"/>
          <w:sz w:val="24"/>
        </w:rPr>
      </w:pPr>
      <w:r>
        <w:rPr>
          <w:b/>
          <w:kern w:val="0"/>
          <w:sz w:val="24"/>
        </w:rPr>
        <w:t>（三）信息咨询、查询服务</w:t>
      </w:r>
      <w:r>
        <w:rPr>
          <w:b/>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w:t>
      </w:r>
      <w:proofErr w:type="gramStart"/>
      <w:r>
        <w:rPr>
          <w:kern w:val="0"/>
          <w:sz w:val="24"/>
        </w:rPr>
        <w:t>人客户</w:t>
      </w:r>
      <w:proofErr w:type="gramEnd"/>
      <w:r>
        <w:rPr>
          <w:kern w:val="0"/>
          <w:sz w:val="24"/>
        </w:rPr>
        <w:t>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w:t>
      </w:r>
      <w:r>
        <w:rPr>
          <w:rFonts w:hint="eastAsia"/>
          <w:kern w:val="0"/>
          <w:sz w:val="24"/>
        </w:rPr>
        <w:t>001</w:t>
      </w:r>
      <w:r>
        <w:rPr>
          <w:kern w:val="0"/>
          <w:sz w:val="24"/>
        </w:rPr>
        <w:t>.com</w:t>
      </w:r>
      <w:r>
        <w:rPr>
          <w:kern w:val="0"/>
          <w:sz w:val="24"/>
        </w:rPr>
        <w:t>，</w:t>
      </w:r>
      <w:r>
        <w:rPr>
          <w:kern w:val="0"/>
          <w:sz w:val="24"/>
        </w:rPr>
        <w:t>www.bocomschroder.com</w:t>
      </w:r>
      <w:r>
        <w:rPr>
          <w:kern w:val="0"/>
          <w:sz w:val="24"/>
        </w:rPr>
        <w:t>）进行咨询、查询。</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w:t>
      </w:r>
      <w:proofErr w:type="gramStart"/>
      <w:r>
        <w:rPr>
          <w:kern w:val="0"/>
          <w:sz w:val="24"/>
        </w:rPr>
        <w:t>人客户</w:t>
      </w:r>
      <w:proofErr w:type="gramEnd"/>
      <w:r>
        <w:rPr>
          <w:kern w:val="0"/>
          <w:sz w:val="24"/>
        </w:rPr>
        <w:t>服务电话修改基金查询密码。</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rsidR="00B67D8A" w:rsidRDefault="00B67D8A">
      <w:pPr>
        <w:widowControl/>
        <w:adjustRightInd w:val="0"/>
        <w:snapToGrid w:val="0"/>
        <w:spacing w:line="360" w:lineRule="auto"/>
        <w:ind w:firstLineChars="200" w:firstLine="482"/>
        <w:outlineLvl w:val="1"/>
        <w:rPr>
          <w:b/>
          <w:kern w:val="0"/>
          <w:sz w:val="24"/>
        </w:rPr>
      </w:pPr>
      <w:r>
        <w:rPr>
          <w:b/>
          <w:kern w:val="0"/>
          <w:sz w:val="24"/>
        </w:rPr>
        <w:t>（四）基金转换业务</w:t>
      </w:r>
    </w:p>
    <w:p w:rsidR="00B67D8A" w:rsidRDefault="00B67D8A">
      <w:pPr>
        <w:widowControl/>
        <w:spacing w:line="360" w:lineRule="auto"/>
        <w:ind w:firstLineChars="200" w:firstLine="480"/>
        <w:rPr>
          <w:kern w:val="0"/>
          <w:sz w:val="24"/>
        </w:rPr>
      </w:pPr>
      <w:r>
        <w:rPr>
          <w:rFonts w:hint="eastAsia"/>
          <w:kern w:val="0"/>
          <w:sz w:val="24"/>
        </w:rPr>
        <w:t>本基金已开通转换业务，具体实施方法请参见相关公告。</w:t>
      </w:r>
      <w:r>
        <w:rPr>
          <w:kern w:val="0"/>
          <w:sz w:val="24"/>
        </w:rPr>
        <w:t xml:space="preserve"> </w:t>
      </w:r>
    </w:p>
    <w:p w:rsidR="00B67D8A" w:rsidRDefault="00B67D8A">
      <w:pPr>
        <w:widowControl/>
        <w:adjustRightInd w:val="0"/>
        <w:snapToGrid w:val="0"/>
        <w:spacing w:line="360" w:lineRule="auto"/>
        <w:ind w:firstLineChars="200" w:firstLine="482"/>
        <w:outlineLvl w:val="1"/>
        <w:rPr>
          <w:b/>
          <w:kern w:val="0"/>
          <w:sz w:val="24"/>
        </w:rPr>
      </w:pPr>
      <w:r>
        <w:rPr>
          <w:b/>
          <w:kern w:val="0"/>
          <w:sz w:val="24"/>
        </w:rPr>
        <w:t>（五）定期定额投资计划</w:t>
      </w:r>
    </w:p>
    <w:p w:rsidR="00B67D8A" w:rsidRDefault="00B67D8A">
      <w:pPr>
        <w:widowControl/>
        <w:spacing w:line="360" w:lineRule="auto"/>
        <w:ind w:firstLineChars="200" w:firstLine="480"/>
        <w:rPr>
          <w:kern w:val="0"/>
          <w:sz w:val="24"/>
        </w:rPr>
      </w:pPr>
      <w:r>
        <w:rPr>
          <w:rFonts w:hint="eastAsia"/>
          <w:kern w:val="0"/>
          <w:sz w:val="24"/>
        </w:rPr>
        <w:t>本基金已开通定期定额投资计划，具体实施方法请参见相关公告。</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服务联系方式：</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本基金管理人的互联网地址及电子信箱</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kern w:val="0"/>
          <w:sz w:val="24"/>
        </w:rPr>
        <w:t>网址：</w:t>
      </w:r>
      <w:hyperlink r:id="rId17" w:history="1">
        <w:r>
          <w:rPr>
            <w:kern w:val="0"/>
            <w:sz w:val="24"/>
          </w:rPr>
          <w:t>www.fund</w:t>
        </w:r>
        <w:r>
          <w:rPr>
            <w:rFonts w:hint="eastAsia"/>
            <w:kern w:val="0"/>
            <w:sz w:val="24"/>
          </w:rPr>
          <w:t>001</w:t>
        </w:r>
        <w:r>
          <w:rPr>
            <w:kern w:val="0"/>
            <w:sz w:val="24"/>
          </w:rPr>
          <w:t>.com</w:t>
        </w:r>
        <w:r>
          <w:rPr>
            <w:sz w:val="24"/>
          </w:rPr>
          <w:t>，</w:t>
        </w:r>
        <w:r>
          <w:rPr>
            <w:sz w:val="24"/>
          </w:rPr>
          <w:t>www.bocomschroder.com</w:t>
        </w:r>
      </w:hyperlink>
    </w:p>
    <w:p w:rsidR="00B67D8A" w:rsidRDefault="00B67D8A">
      <w:pPr>
        <w:widowControl/>
        <w:adjustRightInd w:val="0"/>
        <w:snapToGrid w:val="0"/>
        <w:spacing w:line="360" w:lineRule="auto"/>
        <w:ind w:firstLineChars="200" w:firstLine="480"/>
        <w:rPr>
          <w:kern w:val="0"/>
          <w:sz w:val="24"/>
        </w:rPr>
      </w:pPr>
      <w:r>
        <w:rPr>
          <w:kern w:val="0"/>
          <w:sz w:val="24"/>
        </w:rPr>
        <w:t>电子信箱：</w:t>
      </w:r>
      <w:r>
        <w:rPr>
          <w:kern w:val="0"/>
          <w:sz w:val="24"/>
        </w:rPr>
        <w:t>services@jysld.com</w:t>
      </w:r>
    </w:p>
    <w:p w:rsidR="00B67D8A" w:rsidRDefault="00B67D8A">
      <w:pPr>
        <w:widowControl/>
        <w:adjustRightInd w:val="0"/>
        <w:snapToGrid w:val="0"/>
        <w:spacing w:line="360" w:lineRule="auto"/>
        <w:ind w:firstLineChars="200" w:firstLine="480"/>
        <w:rPr>
          <w:kern w:val="0"/>
          <w:sz w:val="24"/>
        </w:rPr>
      </w:pPr>
      <w:r>
        <w:rPr>
          <w:kern w:val="0"/>
          <w:sz w:val="24"/>
        </w:rPr>
        <w:t>投资人也可登录本基金管理人网站，直接提出有关本基金的问题和建议。</w:t>
      </w:r>
      <w:r>
        <w:rPr>
          <w:kern w:val="0"/>
          <w:sz w:val="24"/>
        </w:rPr>
        <w:t xml:space="preserve"> </w:t>
      </w:r>
    </w:p>
    <w:p w:rsidR="00B67D8A" w:rsidRDefault="00B67D8A">
      <w:pPr>
        <w:widowControl/>
        <w:adjustRightInd w:val="0"/>
        <w:snapToGrid w:val="0"/>
        <w:spacing w:line="360" w:lineRule="auto"/>
        <w:ind w:firstLineChars="200" w:firstLine="480"/>
        <w:rPr>
          <w:kern w:val="0"/>
          <w:sz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110" w:name="_Toc382321335"/>
      <w:r>
        <w:rPr>
          <w:rFonts w:ascii="宋体" w:hAnsi="宋体" w:hint="eastAsia"/>
          <w:b/>
          <w:kern w:val="0"/>
          <w:sz w:val="30"/>
        </w:rPr>
        <w:t>二十四、其他应披露事项</w:t>
      </w:r>
      <w:bookmarkEnd w:id="110"/>
    </w:p>
    <w:p w:rsidR="00B67D8A" w:rsidRDefault="00B67D8A">
      <w:pPr>
        <w:widowControl/>
        <w:adjustRightInd w:val="0"/>
        <w:snapToGrid w:val="0"/>
        <w:spacing w:line="360" w:lineRule="auto"/>
        <w:ind w:firstLineChars="200" w:firstLine="480"/>
        <w:rPr>
          <w:rFonts w:hAnsi="宋体"/>
          <w:kern w:val="0"/>
          <w:sz w:val="24"/>
        </w:rPr>
      </w:pPr>
      <w:r>
        <w:rPr>
          <w:rFonts w:hAnsi="宋体"/>
          <w:kern w:val="0"/>
          <w:sz w:val="24"/>
        </w:rPr>
        <w:lastRenderedPageBreak/>
        <w:t>基金合同如有未尽事宜，由基金合同当事人各方按有关法律法规协商解决。</w:t>
      </w:r>
    </w:p>
    <w:p w:rsidR="008A7178" w:rsidRPr="00A30070" w:rsidRDefault="008A7178" w:rsidP="008A7178">
      <w:pPr>
        <w:widowControl/>
        <w:spacing w:line="360" w:lineRule="auto"/>
        <w:ind w:rightChars="-85" w:right="-178" w:firstLineChars="200" w:firstLine="480"/>
        <w:jc w:val="left"/>
        <w:rPr>
          <w:kern w:val="0"/>
          <w:sz w:val="24"/>
        </w:rPr>
      </w:pPr>
      <w:r w:rsidRPr="00A30070">
        <w:rPr>
          <w:rFonts w:hint="eastAsia"/>
          <w:kern w:val="0"/>
          <w:sz w:val="24"/>
        </w:rPr>
        <w:t>1</w:t>
      </w:r>
      <w:r w:rsidRPr="00A30070">
        <w:rPr>
          <w:rFonts w:hint="eastAsia"/>
          <w:kern w:val="0"/>
          <w:sz w:val="24"/>
        </w:rPr>
        <w:t>、自合同生效以来，本基金管理人及基金托管人涉及托管业务无诉讼、仲裁事项。</w:t>
      </w:r>
    </w:p>
    <w:p w:rsidR="00614C3F" w:rsidRDefault="008A7178" w:rsidP="008A7178">
      <w:pPr>
        <w:widowControl/>
        <w:spacing w:line="360" w:lineRule="auto"/>
        <w:ind w:rightChars="-85" w:right="-178" w:firstLineChars="200" w:firstLine="480"/>
        <w:jc w:val="left"/>
        <w:rPr>
          <w:kern w:val="0"/>
          <w:sz w:val="24"/>
        </w:rPr>
      </w:pPr>
      <w:r w:rsidRPr="00A30070">
        <w:rPr>
          <w:rFonts w:hint="eastAsia"/>
          <w:kern w:val="0"/>
          <w:sz w:val="24"/>
        </w:rPr>
        <w:t>2</w:t>
      </w:r>
      <w:r w:rsidRPr="00A30070">
        <w:rPr>
          <w:rFonts w:hint="eastAsia"/>
          <w:kern w:val="0"/>
          <w:sz w:val="24"/>
        </w:rPr>
        <w:t>、</w:t>
      </w:r>
      <w:r w:rsidRPr="001510B7">
        <w:rPr>
          <w:rFonts w:ascii="宋体" w:hAnsi="宋体" w:cs="宋体" w:hint="eastAsia"/>
          <w:kern w:val="0"/>
          <w:sz w:val="24"/>
        </w:rPr>
        <w:t>本基金管理人和基金托管人涉及托管业务的高级管理人员在本期内未受到任何处分。</w:t>
      </w:r>
    </w:p>
    <w:p w:rsidR="00B67D8A" w:rsidRDefault="008A7178">
      <w:pPr>
        <w:widowControl/>
        <w:spacing w:line="360" w:lineRule="auto"/>
        <w:ind w:rightChars="-85" w:right="-178" w:firstLineChars="200" w:firstLine="480"/>
        <w:jc w:val="left"/>
        <w:rPr>
          <w:kern w:val="0"/>
          <w:sz w:val="24"/>
        </w:rPr>
      </w:pPr>
      <w:r>
        <w:rPr>
          <w:rFonts w:hint="eastAsia"/>
          <w:kern w:val="0"/>
          <w:sz w:val="24"/>
        </w:rPr>
        <w:t>3</w:t>
      </w:r>
      <w:r w:rsidR="00B67D8A">
        <w:rPr>
          <w:kern w:val="0"/>
          <w:sz w:val="24"/>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4175"/>
        <w:gridCol w:w="1752"/>
        <w:gridCol w:w="1977"/>
      </w:tblGrid>
      <w:tr w:rsidR="00290C99">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rsidP="009F458A">
            <w:pPr>
              <w:jc w:val="center"/>
              <w:rPr>
                <w:color w:val="000000"/>
                <w:sz w:val="24"/>
                <w:szCs w:val="24"/>
              </w:rPr>
            </w:pPr>
            <w:r w:rsidRPr="000B6667">
              <w:rPr>
                <w:rFonts w:asciiTheme="minorEastAsia" w:hAnsiTheme="minorEastAsia" w:hint="eastAsia"/>
                <w:color w:val="000000"/>
                <w:sz w:val="24"/>
                <w:szCs w:val="24"/>
              </w:rPr>
              <w:t>序号</w:t>
            </w:r>
          </w:p>
        </w:tc>
        <w:tc>
          <w:tcPr>
            <w:tcW w:w="4175" w:type="dxa"/>
            <w:tcBorders>
              <w:top w:val="single" w:sz="4" w:space="0" w:color="auto"/>
              <w:left w:val="single" w:sz="4" w:space="0" w:color="auto"/>
              <w:bottom w:val="single" w:sz="4" w:space="0" w:color="auto"/>
              <w:right w:val="single" w:sz="4" w:space="0" w:color="auto"/>
            </w:tcBorders>
            <w:vAlign w:val="center"/>
          </w:tcPr>
          <w:p w:rsidR="002E12E3" w:rsidRDefault="00290C99" w:rsidP="002E12E3">
            <w:pPr>
              <w:jc w:val="center"/>
              <w:rPr>
                <w:color w:val="000000"/>
                <w:sz w:val="24"/>
                <w:szCs w:val="24"/>
              </w:rPr>
            </w:pPr>
            <w:r w:rsidRPr="000B6667">
              <w:rPr>
                <w:rFonts w:asciiTheme="minorEastAsia" w:hAnsiTheme="minorEastAsia"/>
                <w:sz w:val="24"/>
                <w:szCs w:val="24"/>
              </w:rPr>
              <w:t>公告事项</w:t>
            </w:r>
          </w:p>
        </w:tc>
        <w:tc>
          <w:tcPr>
            <w:tcW w:w="1752" w:type="dxa"/>
            <w:tcBorders>
              <w:top w:val="single" w:sz="4" w:space="0" w:color="auto"/>
              <w:left w:val="single" w:sz="4" w:space="0" w:color="auto"/>
              <w:bottom w:val="single" w:sz="4" w:space="0" w:color="auto"/>
              <w:right w:val="single" w:sz="4" w:space="0" w:color="auto"/>
            </w:tcBorders>
            <w:vAlign w:val="center"/>
          </w:tcPr>
          <w:p w:rsidR="002E12E3" w:rsidRDefault="00290C99" w:rsidP="002E12E3">
            <w:pPr>
              <w:jc w:val="center"/>
              <w:rPr>
                <w:sz w:val="24"/>
                <w:szCs w:val="24"/>
              </w:rPr>
            </w:pPr>
            <w:r w:rsidRPr="000B6667">
              <w:rPr>
                <w:rFonts w:asciiTheme="minorEastAsia" w:hAnsiTheme="minorEastAsia"/>
                <w:sz w:val="24"/>
                <w:szCs w:val="24"/>
              </w:rPr>
              <w:t>法定披露方式</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rsidP="009F458A">
            <w:pPr>
              <w:jc w:val="center"/>
              <w:rPr>
                <w:color w:val="000000"/>
                <w:sz w:val="24"/>
                <w:szCs w:val="24"/>
              </w:rPr>
            </w:pPr>
            <w:r w:rsidRPr="000B6667">
              <w:rPr>
                <w:rFonts w:asciiTheme="minorEastAsia" w:hAnsiTheme="minorEastAsia"/>
                <w:color w:val="000000"/>
                <w:sz w:val="24"/>
                <w:szCs w:val="24"/>
              </w:rPr>
              <w:t>法定披露日期</w:t>
            </w:r>
          </w:p>
        </w:tc>
      </w:tr>
      <w:tr w:rsidR="00290C99" w:rsidTr="007918A6">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1</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color w:val="000000"/>
                <w:sz w:val="24"/>
                <w:szCs w:val="24"/>
              </w:rPr>
            </w:pPr>
            <w:r w:rsidRPr="000B6667">
              <w:rPr>
                <w:rFonts w:asciiTheme="minorEastAsia" w:hAnsiTheme="minorEastAsia" w:hint="eastAsia"/>
                <w:color w:val="000000"/>
                <w:sz w:val="24"/>
                <w:szCs w:val="24"/>
              </w:rPr>
              <w:t>交银施罗德基金管理有限公司关于旗下部分基金参与光大证券股份有限公司手机客户端基金申购费率优惠活动的公告</w:t>
            </w:r>
          </w:p>
        </w:tc>
        <w:tc>
          <w:tcPr>
            <w:tcW w:w="1752"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2014-3-13</w:t>
            </w:r>
          </w:p>
        </w:tc>
      </w:tr>
      <w:tr w:rsidR="00290C99" w:rsidTr="007918A6">
        <w:trPr>
          <w:trHeight w:val="274"/>
        </w:trPr>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hint="eastAsia"/>
                <w:color w:val="000000"/>
                <w:sz w:val="24"/>
                <w:szCs w:val="24"/>
              </w:rPr>
              <w:t>交银施罗德定期支付双</w:t>
            </w:r>
            <w:proofErr w:type="gramStart"/>
            <w:r w:rsidRPr="000B6667">
              <w:rPr>
                <w:rFonts w:asciiTheme="minorEastAsia" w:hAnsiTheme="minorEastAsia" w:hint="eastAsia"/>
                <w:color w:val="000000"/>
                <w:sz w:val="24"/>
                <w:szCs w:val="24"/>
              </w:rPr>
              <w:t>息平衡</w:t>
            </w:r>
            <w:proofErr w:type="gramEnd"/>
            <w:r w:rsidRPr="000B6667">
              <w:rPr>
                <w:rFonts w:asciiTheme="minorEastAsia" w:hAnsiTheme="minorEastAsia" w:hint="eastAsia"/>
                <w:color w:val="000000"/>
                <w:sz w:val="24"/>
                <w:szCs w:val="24"/>
              </w:rPr>
              <w:t>混合型证券投资基金2013年年度报告摘要</w:t>
            </w:r>
          </w:p>
        </w:tc>
        <w:tc>
          <w:tcPr>
            <w:tcW w:w="1752"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2014-3-26</w:t>
            </w:r>
          </w:p>
        </w:tc>
      </w:tr>
      <w:tr w:rsidR="00290C99">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3</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hint="eastAsia"/>
                <w:color w:val="000000"/>
                <w:sz w:val="24"/>
                <w:szCs w:val="24"/>
              </w:rPr>
              <w:t>交银施罗德基金管理有限公司关于增加江苏常熟农村商业银行股份有限公司为旗下部分基金场外代销机构的公告</w:t>
            </w:r>
          </w:p>
        </w:tc>
        <w:tc>
          <w:tcPr>
            <w:tcW w:w="1752" w:type="dxa"/>
            <w:tcBorders>
              <w:top w:val="single" w:sz="4" w:space="0" w:color="auto"/>
              <w:left w:val="single" w:sz="4" w:space="0" w:color="auto"/>
              <w:bottom w:val="single" w:sz="4" w:space="0" w:color="auto"/>
              <w:right w:val="single" w:sz="4" w:space="0" w:color="auto"/>
            </w:tcBorders>
            <w:vAlign w:val="center"/>
          </w:tcPr>
          <w:p w:rsidR="00290C99" w:rsidRDefault="00290C99">
            <w:pPr>
              <w:jc w:val="left"/>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2014-3-27</w:t>
            </w:r>
          </w:p>
        </w:tc>
      </w:tr>
      <w:tr w:rsidR="00290C99">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4</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hint="eastAsia"/>
                <w:color w:val="000000"/>
                <w:sz w:val="24"/>
                <w:szCs w:val="24"/>
              </w:rPr>
              <w:t>交银施罗德定期支付双</w:t>
            </w:r>
            <w:proofErr w:type="gramStart"/>
            <w:r w:rsidRPr="000B6667">
              <w:rPr>
                <w:rFonts w:asciiTheme="minorEastAsia" w:hAnsiTheme="minorEastAsia" w:hint="eastAsia"/>
                <w:color w:val="000000"/>
                <w:sz w:val="24"/>
                <w:szCs w:val="24"/>
              </w:rPr>
              <w:t>息平衡</w:t>
            </w:r>
            <w:proofErr w:type="gramEnd"/>
            <w:r w:rsidRPr="000B6667">
              <w:rPr>
                <w:rFonts w:asciiTheme="minorEastAsia" w:hAnsiTheme="minorEastAsia" w:hint="eastAsia"/>
                <w:color w:val="000000"/>
                <w:sz w:val="24"/>
                <w:szCs w:val="24"/>
              </w:rPr>
              <w:t>混合型证券投资基金（更新）招募说明书摘要（2014年第1号）</w:t>
            </w:r>
          </w:p>
        </w:tc>
        <w:tc>
          <w:tcPr>
            <w:tcW w:w="1752" w:type="dxa"/>
            <w:tcBorders>
              <w:top w:val="single" w:sz="4" w:space="0" w:color="auto"/>
              <w:left w:val="single" w:sz="4" w:space="0" w:color="auto"/>
              <w:bottom w:val="single" w:sz="4" w:space="0" w:color="auto"/>
              <w:right w:val="single" w:sz="4" w:space="0" w:color="auto"/>
            </w:tcBorders>
            <w:vAlign w:val="center"/>
          </w:tcPr>
          <w:p w:rsidR="00290C99" w:rsidRDefault="00290C99">
            <w:pPr>
              <w:jc w:val="left"/>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2014-4-18</w:t>
            </w:r>
          </w:p>
        </w:tc>
      </w:tr>
      <w:tr w:rsidR="00290C99" w:rsidTr="007918A6">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5</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hint="eastAsia"/>
                <w:color w:val="000000"/>
                <w:sz w:val="24"/>
                <w:szCs w:val="24"/>
              </w:rPr>
              <w:t>交银施罗德定期支付双</w:t>
            </w:r>
            <w:proofErr w:type="gramStart"/>
            <w:r w:rsidRPr="000B6667">
              <w:rPr>
                <w:rFonts w:asciiTheme="minorEastAsia" w:hAnsiTheme="minorEastAsia" w:hint="eastAsia"/>
                <w:color w:val="000000"/>
                <w:sz w:val="24"/>
                <w:szCs w:val="24"/>
              </w:rPr>
              <w:t>息平衡</w:t>
            </w:r>
            <w:proofErr w:type="gramEnd"/>
            <w:r w:rsidRPr="000B6667">
              <w:rPr>
                <w:rFonts w:asciiTheme="minorEastAsia" w:hAnsiTheme="minorEastAsia" w:hint="eastAsia"/>
                <w:color w:val="000000"/>
                <w:sz w:val="24"/>
                <w:szCs w:val="24"/>
              </w:rPr>
              <w:t>混合型证券投资基金2014年第1季度报告</w:t>
            </w:r>
          </w:p>
        </w:tc>
        <w:tc>
          <w:tcPr>
            <w:tcW w:w="1752"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2014-4-22</w:t>
            </w:r>
          </w:p>
        </w:tc>
      </w:tr>
      <w:tr w:rsidR="00290C99" w:rsidTr="007918A6">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6</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hint="eastAsia"/>
                <w:sz w:val="24"/>
                <w:szCs w:val="24"/>
              </w:rPr>
              <w:t>交银施罗德基金管理有限公司关于增加北京钱景财富投资管理有限公司为旗下部分基金的场外代销机构并参与电子交易平台基金前端申购费率优惠活动的公告</w:t>
            </w:r>
          </w:p>
        </w:tc>
        <w:tc>
          <w:tcPr>
            <w:tcW w:w="1752"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2014-6-14</w:t>
            </w:r>
          </w:p>
        </w:tc>
      </w:tr>
      <w:tr w:rsidR="00290C99">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7</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sz w:val="24"/>
                <w:szCs w:val="24"/>
              </w:rPr>
            </w:pPr>
            <w:r w:rsidRPr="000B6667">
              <w:rPr>
                <w:rFonts w:asciiTheme="minorEastAsia" w:hAnsiTheme="minorEastAsia" w:hint="eastAsia"/>
                <w:sz w:val="24"/>
                <w:szCs w:val="24"/>
              </w:rPr>
              <w:t>交银施罗德基金管理有限公司关于旗下部分基金参与交通银行股份有限公司网上银行、手机银行基金前端申购费率优惠活动的公告</w:t>
            </w:r>
          </w:p>
        </w:tc>
        <w:tc>
          <w:tcPr>
            <w:tcW w:w="1752" w:type="dxa"/>
            <w:tcBorders>
              <w:top w:val="single" w:sz="4" w:space="0" w:color="auto"/>
              <w:left w:val="single" w:sz="4" w:space="0" w:color="auto"/>
              <w:bottom w:val="single" w:sz="4" w:space="0" w:color="auto"/>
              <w:right w:val="single" w:sz="4" w:space="0" w:color="auto"/>
            </w:tcBorders>
          </w:tcPr>
          <w:p w:rsidR="00290C99" w:rsidRDefault="00290C99">
            <w:pPr>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2014-7-1</w:t>
            </w:r>
          </w:p>
        </w:tc>
      </w:tr>
      <w:tr w:rsidR="00290C99">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8</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color w:val="000000"/>
                <w:sz w:val="24"/>
                <w:szCs w:val="24"/>
              </w:rPr>
            </w:pPr>
            <w:r w:rsidRPr="000B6667">
              <w:rPr>
                <w:rFonts w:asciiTheme="minorEastAsia" w:hAnsiTheme="minorEastAsia" w:hint="eastAsia"/>
                <w:color w:val="000000"/>
                <w:sz w:val="24"/>
                <w:szCs w:val="24"/>
              </w:rPr>
              <w:t>交银施罗德定期支付双</w:t>
            </w:r>
            <w:proofErr w:type="gramStart"/>
            <w:r w:rsidRPr="000B6667">
              <w:rPr>
                <w:rFonts w:asciiTheme="minorEastAsia" w:hAnsiTheme="minorEastAsia" w:hint="eastAsia"/>
                <w:color w:val="000000"/>
                <w:sz w:val="24"/>
                <w:szCs w:val="24"/>
              </w:rPr>
              <w:t>息平衡</w:t>
            </w:r>
            <w:proofErr w:type="gramEnd"/>
            <w:r w:rsidRPr="000B6667">
              <w:rPr>
                <w:rFonts w:asciiTheme="minorEastAsia" w:hAnsiTheme="minorEastAsia" w:hint="eastAsia"/>
                <w:color w:val="000000"/>
                <w:sz w:val="24"/>
                <w:szCs w:val="24"/>
              </w:rPr>
              <w:t>混合型证券投资基金2014年第2季度报告</w:t>
            </w:r>
          </w:p>
        </w:tc>
        <w:tc>
          <w:tcPr>
            <w:tcW w:w="1752" w:type="dxa"/>
            <w:tcBorders>
              <w:top w:val="single" w:sz="4" w:space="0" w:color="auto"/>
              <w:left w:val="single" w:sz="4" w:space="0" w:color="auto"/>
              <w:bottom w:val="single" w:sz="4" w:space="0" w:color="auto"/>
              <w:right w:val="single" w:sz="4" w:space="0" w:color="auto"/>
            </w:tcBorders>
          </w:tcPr>
          <w:p w:rsidR="00290C99" w:rsidRDefault="00290C99">
            <w:pPr>
              <w:rPr>
                <w:sz w:val="24"/>
                <w:szCs w:val="24"/>
              </w:rPr>
            </w:pPr>
            <w:r w:rsidRPr="000B6667">
              <w:rPr>
                <w:rFonts w:asciiTheme="minorEastAsia" w:hAnsiTheme="minorEastAsia"/>
                <w:sz w:val="24"/>
                <w:szCs w:val="24"/>
              </w:rPr>
              <w:t>中国证券报、上海证券报、证券时报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2014-7-19</w:t>
            </w:r>
          </w:p>
        </w:tc>
      </w:tr>
      <w:tr w:rsidR="00290C99">
        <w:tc>
          <w:tcPr>
            <w:tcW w:w="952"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t>9</w:t>
            </w:r>
          </w:p>
        </w:tc>
        <w:tc>
          <w:tcPr>
            <w:tcW w:w="4175" w:type="dxa"/>
            <w:tcBorders>
              <w:top w:val="single" w:sz="4" w:space="0" w:color="auto"/>
              <w:left w:val="single" w:sz="4" w:space="0" w:color="auto"/>
              <w:bottom w:val="single" w:sz="4" w:space="0" w:color="auto"/>
              <w:right w:val="single" w:sz="4" w:space="0" w:color="auto"/>
            </w:tcBorders>
            <w:vAlign w:val="center"/>
          </w:tcPr>
          <w:p w:rsidR="00290C99" w:rsidRDefault="00290C99">
            <w:pPr>
              <w:rPr>
                <w:color w:val="000000"/>
                <w:sz w:val="24"/>
                <w:szCs w:val="24"/>
              </w:rPr>
            </w:pPr>
            <w:r w:rsidRPr="000B6667">
              <w:rPr>
                <w:rFonts w:asciiTheme="minorEastAsia" w:hAnsiTheme="minorEastAsia" w:hint="eastAsia"/>
                <w:color w:val="000000"/>
                <w:sz w:val="24"/>
                <w:szCs w:val="24"/>
              </w:rPr>
              <w:t>交银施罗德定期支付双</w:t>
            </w:r>
            <w:proofErr w:type="gramStart"/>
            <w:r w:rsidRPr="000B6667">
              <w:rPr>
                <w:rFonts w:asciiTheme="minorEastAsia" w:hAnsiTheme="minorEastAsia" w:hint="eastAsia"/>
                <w:color w:val="000000"/>
                <w:sz w:val="24"/>
                <w:szCs w:val="24"/>
              </w:rPr>
              <w:t>息平衡</w:t>
            </w:r>
            <w:proofErr w:type="gramEnd"/>
            <w:r w:rsidRPr="000B6667">
              <w:rPr>
                <w:rFonts w:asciiTheme="minorEastAsia" w:hAnsiTheme="minorEastAsia" w:hint="eastAsia"/>
                <w:color w:val="000000"/>
                <w:sz w:val="24"/>
                <w:szCs w:val="24"/>
              </w:rPr>
              <w:t>混合型证券投资基金2014年半年度报告摘要</w:t>
            </w:r>
          </w:p>
        </w:tc>
        <w:tc>
          <w:tcPr>
            <w:tcW w:w="1752" w:type="dxa"/>
            <w:tcBorders>
              <w:top w:val="single" w:sz="4" w:space="0" w:color="auto"/>
              <w:left w:val="single" w:sz="4" w:space="0" w:color="auto"/>
              <w:bottom w:val="single" w:sz="4" w:space="0" w:color="auto"/>
              <w:right w:val="single" w:sz="4" w:space="0" w:color="auto"/>
            </w:tcBorders>
          </w:tcPr>
          <w:p w:rsidR="00290C99" w:rsidRDefault="00290C99">
            <w:pPr>
              <w:rPr>
                <w:sz w:val="24"/>
                <w:szCs w:val="24"/>
              </w:rPr>
            </w:pPr>
            <w:r w:rsidRPr="000B6667">
              <w:rPr>
                <w:rFonts w:asciiTheme="minorEastAsia" w:hAnsiTheme="minorEastAsia"/>
                <w:sz w:val="24"/>
                <w:szCs w:val="24"/>
              </w:rPr>
              <w:t>中国证券报、上海证券报、</w:t>
            </w:r>
            <w:r w:rsidRPr="000B6667">
              <w:rPr>
                <w:rFonts w:asciiTheme="minorEastAsia" w:hAnsiTheme="minorEastAsia"/>
                <w:sz w:val="24"/>
                <w:szCs w:val="24"/>
              </w:rPr>
              <w:lastRenderedPageBreak/>
              <w:t>证券时报</w:t>
            </w:r>
          </w:p>
        </w:tc>
        <w:tc>
          <w:tcPr>
            <w:tcW w:w="1977" w:type="dxa"/>
            <w:tcBorders>
              <w:top w:val="single" w:sz="4" w:space="0" w:color="auto"/>
              <w:left w:val="single" w:sz="4" w:space="0" w:color="auto"/>
              <w:bottom w:val="single" w:sz="4" w:space="0" w:color="auto"/>
              <w:right w:val="single" w:sz="4" w:space="0" w:color="auto"/>
            </w:tcBorders>
            <w:vAlign w:val="center"/>
          </w:tcPr>
          <w:p w:rsidR="00290C99" w:rsidRDefault="00290C99">
            <w:pPr>
              <w:jc w:val="center"/>
              <w:rPr>
                <w:color w:val="000000"/>
                <w:sz w:val="24"/>
                <w:szCs w:val="24"/>
              </w:rPr>
            </w:pPr>
            <w:r w:rsidRPr="000B6667">
              <w:rPr>
                <w:rFonts w:asciiTheme="minorEastAsia" w:hAnsiTheme="minorEastAsia" w:hint="eastAsia"/>
                <w:color w:val="000000"/>
                <w:sz w:val="24"/>
                <w:szCs w:val="24"/>
              </w:rPr>
              <w:lastRenderedPageBreak/>
              <w:t>2014-8-25</w:t>
            </w:r>
          </w:p>
        </w:tc>
      </w:tr>
    </w:tbl>
    <w:p w:rsidR="00B67D8A" w:rsidRDefault="00B67D8A">
      <w:pPr>
        <w:widowControl/>
        <w:adjustRightInd w:val="0"/>
        <w:snapToGrid w:val="0"/>
        <w:spacing w:line="360" w:lineRule="auto"/>
        <w:ind w:firstLineChars="200" w:firstLine="480"/>
        <w:rPr>
          <w:kern w:val="0"/>
          <w:sz w:val="24"/>
        </w:rPr>
      </w:pPr>
      <w:r>
        <w:rPr>
          <w:kern w:val="0"/>
          <w:sz w:val="24"/>
        </w:rPr>
        <w:lastRenderedPageBreak/>
        <w:t xml:space="preserve"> </w:t>
      </w: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6"/>
      <w:r>
        <w:rPr>
          <w:rFonts w:ascii="宋体" w:hAnsi="宋体" w:hint="eastAsia"/>
          <w:b/>
          <w:kern w:val="0"/>
          <w:sz w:val="30"/>
        </w:rPr>
        <w:t>二十五、招募说明书的存放及查阅方式</w:t>
      </w:r>
      <w:bookmarkEnd w:id="111"/>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招募说明书存放在基金管理人、基金托管人的办公场所，投资人可在办公时间查阅；投资人在支付工本费后，可在合理时</w:t>
      </w:r>
      <w:bookmarkStart w:id="112" w:name="_Toc109537401"/>
      <w:r>
        <w:rPr>
          <w:rFonts w:hAnsi="宋体"/>
          <w:kern w:val="0"/>
          <w:sz w:val="24"/>
          <w:szCs w:val="24"/>
        </w:rPr>
        <w:t>间内取得上述文件复制件</w:t>
      </w:r>
      <w:bookmarkEnd w:id="112"/>
      <w:r>
        <w:rPr>
          <w:rFonts w:hAnsi="宋体"/>
          <w:kern w:val="0"/>
          <w:sz w:val="24"/>
          <w:szCs w:val="24"/>
        </w:rPr>
        <w:t>或复印件。对投资人按此种方式所获得的文件及其复印件，基金管理人和基金托管人</w:t>
      </w:r>
      <w:bookmarkStart w:id="113" w:name="_Toc109537402"/>
      <w:r>
        <w:rPr>
          <w:rFonts w:hAnsi="宋体"/>
          <w:kern w:val="0"/>
          <w:sz w:val="24"/>
          <w:szCs w:val="24"/>
        </w:rPr>
        <w:t>保证文本的内容与所公告的内容完全一</w:t>
      </w:r>
      <w:bookmarkEnd w:id="113"/>
      <w:r>
        <w:rPr>
          <w:rFonts w:hAnsi="宋体"/>
          <w:kern w:val="0"/>
          <w:sz w:val="24"/>
          <w:szCs w:val="24"/>
        </w:rPr>
        <w:t>致。</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r>
        <w:rPr>
          <w:rFonts w:hAnsi="宋体"/>
          <w:kern w:val="0"/>
          <w:sz w:val="24"/>
          <w:szCs w:val="24"/>
        </w:rPr>
        <w:t>投资人还可以直接登录基金管理人的网站</w:t>
      </w:r>
      <w:r>
        <w:rPr>
          <w:kern w:val="0"/>
          <w:sz w:val="24"/>
          <w:szCs w:val="24"/>
        </w:rPr>
        <w:t>(</w:t>
      </w:r>
      <w:hyperlink r:id="rId18" w:history="1">
        <w:r>
          <w:rPr>
            <w:kern w:val="0"/>
            <w:sz w:val="24"/>
          </w:rPr>
          <w:t>www.fund</w:t>
        </w:r>
        <w:r>
          <w:rPr>
            <w:rFonts w:hint="eastAsia"/>
            <w:kern w:val="0"/>
            <w:sz w:val="24"/>
          </w:rPr>
          <w:t>001</w:t>
        </w:r>
        <w:r>
          <w:rPr>
            <w:kern w:val="0"/>
            <w:sz w:val="24"/>
          </w:rPr>
          <w:t>.com</w:t>
        </w:r>
        <w:r>
          <w:rPr>
            <w:sz w:val="24"/>
            <w:szCs w:val="24"/>
          </w:rPr>
          <w:t>，</w:t>
        </w:r>
        <w:r>
          <w:rPr>
            <w:sz w:val="24"/>
            <w:szCs w:val="24"/>
          </w:rPr>
          <w:t>www.bocomschroder.com</w:t>
        </w:r>
      </w:hyperlink>
      <w:r>
        <w:rPr>
          <w:kern w:val="0"/>
          <w:sz w:val="24"/>
          <w:szCs w:val="24"/>
        </w:rPr>
        <w:t>)</w:t>
      </w:r>
      <w:r>
        <w:rPr>
          <w:rFonts w:hAnsi="宋体"/>
          <w:kern w:val="0"/>
          <w:sz w:val="24"/>
          <w:szCs w:val="24"/>
        </w:rPr>
        <w:t>查阅和下载招募说明书。</w:t>
      </w:r>
      <w:r>
        <w:rPr>
          <w:kern w:val="0"/>
          <w:sz w:val="24"/>
          <w:szCs w:val="24"/>
        </w:rPr>
        <w:t xml:space="preserve"> </w:t>
      </w:r>
    </w:p>
    <w:p w:rsidR="00B67D8A" w:rsidRDefault="00B67D8A">
      <w:pPr>
        <w:widowControl/>
        <w:adjustRightInd w:val="0"/>
        <w:snapToGrid w:val="0"/>
        <w:spacing w:line="360" w:lineRule="auto"/>
        <w:ind w:firstLineChars="200" w:firstLine="480"/>
        <w:rPr>
          <w:kern w:val="0"/>
          <w:sz w:val="24"/>
          <w:szCs w:val="24"/>
        </w:rPr>
      </w:pPr>
    </w:p>
    <w:p w:rsidR="00B67D8A" w:rsidRDefault="00B67D8A" w:rsidP="006D1B02">
      <w:pPr>
        <w:widowControl/>
        <w:adjustRightInd w:val="0"/>
        <w:snapToGrid w:val="0"/>
        <w:spacing w:beforeLines="100" w:before="240" w:afterLines="50" w:after="120" w:line="360" w:lineRule="auto"/>
        <w:jc w:val="center"/>
        <w:outlineLvl w:val="0"/>
        <w:rPr>
          <w:rFonts w:ascii="宋体" w:hAnsi="宋体"/>
          <w:b/>
          <w:kern w:val="0"/>
          <w:sz w:val="30"/>
        </w:rPr>
      </w:pPr>
      <w:bookmarkStart w:id="114" w:name="_Toc382321337"/>
      <w:r>
        <w:rPr>
          <w:rFonts w:ascii="宋体" w:hAnsi="宋体" w:hint="eastAsia"/>
          <w:b/>
          <w:kern w:val="0"/>
          <w:sz w:val="30"/>
        </w:rPr>
        <w:t>二十六、备查文件</w:t>
      </w:r>
      <w:bookmarkEnd w:id="114"/>
    </w:p>
    <w:p w:rsidR="00B67D8A" w:rsidRDefault="00B67D8A">
      <w:pPr>
        <w:widowControl/>
        <w:adjustRightInd w:val="0"/>
        <w:snapToGrid w:val="0"/>
        <w:spacing w:line="360" w:lineRule="auto"/>
        <w:ind w:firstLineChars="200" w:firstLine="480"/>
        <w:rPr>
          <w:kern w:val="0"/>
          <w:sz w:val="24"/>
        </w:rPr>
      </w:pPr>
      <w:r>
        <w:rPr>
          <w:rFonts w:hAnsi="宋体"/>
          <w:kern w:val="0"/>
          <w:sz w:val="24"/>
        </w:rPr>
        <w:t>以下备查文件存放在基金管理人的办公场所，在办公时间可供免费查阅。</w:t>
      </w:r>
    </w:p>
    <w:p w:rsidR="00B67D8A" w:rsidRDefault="00B67D8A">
      <w:pPr>
        <w:widowControl/>
        <w:adjustRightInd w:val="0"/>
        <w:snapToGrid w:val="0"/>
        <w:spacing w:line="360" w:lineRule="auto"/>
        <w:ind w:firstLineChars="200" w:firstLine="480"/>
        <w:rPr>
          <w:kern w:val="0"/>
          <w:sz w:val="24"/>
        </w:rPr>
      </w:pPr>
      <w:r>
        <w:rPr>
          <w:rFonts w:hAnsi="宋体"/>
          <w:kern w:val="0"/>
          <w:sz w:val="24"/>
        </w:rPr>
        <w:t>（一）中国证监会批准交银施罗德定期支付双</w:t>
      </w:r>
      <w:proofErr w:type="gramStart"/>
      <w:r>
        <w:rPr>
          <w:rFonts w:hAnsi="宋体"/>
          <w:kern w:val="0"/>
          <w:sz w:val="24"/>
        </w:rPr>
        <w:t>息平衡</w:t>
      </w:r>
      <w:proofErr w:type="gramEnd"/>
      <w:r>
        <w:rPr>
          <w:rFonts w:hAnsi="宋体"/>
          <w:kern w:val="0"/>
          <w:sz w:val="24"/>
        </w:rPr>
        <w:t>混合型证券投资基金募集的文件</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Ansi="宋体"/>
          <w:kern w:val="0"/>
          <w:sz w:val="24"/>
        </w:rPr>
        <w:t>（二）《交银施罗德定期支付双息平衡混合型证券投资基金基金合同》</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Ansi="宋体"/>
          <w:kern w:val="0"/>
          <w:sz w:val="24"/>
        </w:rPr>
        <w:t>（三）《交银施罗德</w:t>
      </w:r>
      <w:bookmarkStart w:id="115" w:name="_Toc109537403"/>
      <w:r>
        <w:rPr>
          <w:rFonts w:hAnsi="宋体"/>
          <w:kern w:val="0"/>
          <w:sz w:val="24"/>
        </w:rPr>
        <w:t>定期支付双息平衡混合</w:t>
      </w:r>
      <w:bookmarkEnd w:id="115"/>
      <w:r>
        <w:rPr>
          <w:rFonts w:hAnsi="宋体"/>
          <w:kern w:val="0"/>
          <w:sz w:val="24"/>
        </w:rPr>
        <w:t>型证券投资基金托管协议》</w:t>
      </w:r>
      <w:r>
        <w:rPr>
          <w:kern w:val="0"/>
          <w:sz w:val="24"/>
        </w:rPr>
        <w:t xml:space="preserve"> </w:t>
      </w:r>
    </w:p>
    <w:p w:rsidR="00B67D8A" w:rsidRDefault="00B67D8A">
      <w:pPr>
        <w:widowControl/>
        <w:adjustRightInd w:val="0"/>
        <w:snapToGrid w:val="0"/>
        <w:spacing w:line="360" w:lineRule="auto"/>
        <w:ind w:firstLineChars="200" w:firstLine="480"/>
        <w:rPr>
          <w:kern w:val="0"/>
          <w:sz w:val="24"/>
        </w:rPr>
      </w:pPr>
      <w:r>
        <w:rPr>
          <w:rFonts w:hAnsi="宋体"/>
          <w:kern w:val="0"/>
          <w:sz w:val="24"/>
        </w:rPr>
        <w:t>（四）基金管理人业务资格批件、营业执照</w:t>
      </w:r>
    </w:p>
    <w:p w:rsidR="00B67D8A" w:rsidRDefault="00B67D8A">
      <w:pPr>
        <w:widowControl/>
        <w:adjustRightInd w:val="0"/>
        <w:snapToGrid w:val="0"/>
        <w:spacing w:line="360" w:lineRule="auto"/>
        <w:ind w:firstLineChars="200" w:firstLine="480"/>
        <w:rPr>
          <w:kern w:val="0"/>
          <w:sz w:val="24"/>
        </w:rPr>
      </w:pPr>
      <w:r>
        <w:rPr>
          <w:rFonts w:hAnsi="宋体"/>
          <w:kern w:val="0"/>
          <w:sz w:val="24"/>
        </w:rPr>
        <w:t>（五）基金托管人业务资格批件、营业执照</w:t>
      </w:r>
    </w:p>
    <w:p w:rsidR="00B67D8A" w:rsidRDefault="00B67D8A">
      <w:pPr>
        <w:widowControl/>
        <w:adjustRightInd w:val="0"/>
        <w:snapToGrid w:val="0"/>
        <w:spacing w:line="360" w:lineRule="auto"/>
        <w:ind w:firstLineChars="200" w:firstLine="480"/>
        <w:rPr>
          <w:kern w:val="0"/>
          <w:sz w:val="24"/>
        </w:rPr>
      </w:pPr>
      <w:r>
        <w:rPr>
          <w:rFonts w:hAnsi="宋体"/>
          <w:kern w:val="0"/>
          <w:sz w:val="24"/>
        </w:rPr>
        <w:t>（六）关于申请募集交银施罗德定期支付双</w:t>
      </w:r>
      <w:proofErr w:type="gramStart"/>
      <w:r>
        <w:rPr>
          <w:rFonts w:hAnsi="宋体"/>
          <w:kern w:val="0"/>
          <w:sz w:val="24"/>
        </w:rPr>
        <w:t>息平衡</w:t>
      </w:r>
      <w:proofErr w:type="gramEnd"/>
      <w:r>
        <w:rPr>
          <w:rFonts w:hAnsi="宋体"/>
          <w:kern w:val="0"/>
          <w:sz w:val="24"/>
        </w:rPr>
        <w:t>混合型证券投资基金之法律意见书</w:t>
      </w:r>
    </w:p>
    <w:p w:rsidR="00B67D8A" w:rsidRDefault="00B67D8A">
      <w:pPr>
        <w:ind w:firstLineChars="200" w:firstLine="420"/>
      </w:pPr>
    </w:p>
    <w:sectPr w:rsidR="00B67D8A" w:rsidSect="00897A2D">
      <w:headerReference w:type="default" r:id="rId19"/>
      <w:footerReference w:type="default" r:id="rId20"/>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DE" w:rsidRDefault="00F07ADE">
      <w:r>
        <w:separator/>
      </w:r>
    </w:p>
  </w:endnote>
  <w:endnote w:type="continuationSeparator" w:id="0">
    <w:p w:rsidR="00F07ADE" w:rsidRDefault="00F0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8A" w:rsidRDefault="00F07ADE">
    <w:pPr>
      <w:pStyle w:val="aa"/>
      <w:jc w:val="center"/>
    </w:pPr>
    <w:r>
      <w:fldChar w:fldCharType="begin"/>
    </w:r>
    <w:r>
      <w:instrText xml:space="preserve"> PAGE   \*</w:instrText>
    </w:r>
    <w:r>
      <w:instrText xml:space="preserve"> MERGEFORMAT </w:instrText>
    </w:r>
    <w:r>
      <w:fldChar w:fldCharType="separate"/>
    </w:r>
    <w:r w:rsidR="00025B2C" w:rsidRPr="00025B2C">
      <w:rPr>
        <w:noProof/>
        <w:lang w:val="zh-CN"/>
      </w:rPr>
      <w:t>127</w:t>
    </w:r>
    <w:r>
      <w:rPr>
        <w:noProof/>
        <w:lang w:val="zh-CN"/>
      </w:rPr>
      <w:fldChar w:fldCharType="end"/>
    </w:r>
  </w:p>
  <w:p w:rsidR="00B67D8A" w:rsidRDefault="00B67D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DE" w:rsidRDefault="00F07ADE">
      <w:r>
        <w:separator/>
      </w:r>
    </w:p>
  </w:footnote>
  <w:footnote w:type="continuationSeparator" w:id="0">
    <w:p w:rsidR="00F07ADE" w:rsidRDefault="00F07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8A" w:rsidRDefault="00772CAA">
    <w:pPr>
      <w:pStyle w:val="ae"/>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28575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B67D8A">
      <w:rPr>
        <w:rFonts w:hint="eastAsia"/>
      </w:rPr>
      <w:t>交银施罗德定期支付双</w:t>
    </w:r>
    <w:proofErr w:type="gramStart"/>
    <w:r w:rsidR="00B67D8A">
      <w:rPr>
        <w:rFonts w:hint="eastAsia"/>
      </w:rPr>
      <w:t>息平衡</w:t>
    </w:r>
    <w:proofErr w:type="gramEnd"/>
    <w:r w:rsidR="00B67D8A">
      <w:rPr>
        <w:rFonts w:hint="eastAsia"/>
      </w:rPr>
      <w:t>混合型证券投资基金</w:t>
    </w:r>
  </w:p>
  <w:p w:rsidR="00B67D8A" w:rsidRDefault="00B67D8A">
    <w:pPr>
      <w:pStyle w:val="ae"/>
      <w:jc w:val="right"/>
    </w:pPr>
    <w:r>
      <w:rPr>
        <w:rFonts w:hint="eastAsia"/>
      </w:rPr>
      <w:t>（更新）招募说明书（</w:t>
    </w:r>
    <w:r>
      <w:rPr>
        <w:rFonts w:hint="eastAsia"/>
      </w:rPr>
      <w:t>2014</w:t>
    </w:r>
    <w:r>
      <w:rPr>
        <w:rFonts w:hint="eastAsia"/>
      </w:rPr>
      <w:t>年</w:t>
    </w:r>
    <w:r w:rsidR="009D5E35">
      <w:rPr>
        <w:rFonts w:hint="eastAsia"/>
      </w:rPr>
      <w:t>第</w:t>
    </w:r>
    <w:r w:rsidR="009D5E35">
      <w:rPr>
        <w:rFonts w:hint="eastAsia"/>
      </w:rP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lvl w:ilvl="0">
      <w:start w:val="1"/>
      <w:numFmt w:val="decimal"/>
      <w:lvlText w:val="（%1）"/>
      <w:lvlJc w:val="left"/>
      <w:pPr>
        <w:tabs>
          <w:tab w:val="num" w:pos="420"/>
        </w:tabs>
        <w:ind w:left="420" w:hanging="420"/>
      </w:pPr>
      <w:rPr>
        <w:rFonts w:ascii="Times New Roman" w:eastAsia="宋体" w:hAnsi="Times New Roman" w:hint="eastAsia"/>
      </w:rPr>
    </w:lvl>
    <w:lvl w:ilvl="1">
      <w:start w:val="1"/>
      <w:numFmt w:val="decimal"/>
      <w:lvlText w:val="（%2）"/>
      <w:lvlJc w:val="left"/>
      <w:pPr>
        <w:tabs>
          <w:tab w:val="num" w:pos="-26"/>
        </w:tabs>
        <w:ind w:left="-26" w:hanging="454"/>
      </w:pPr>
      <w:rPr>
        <w:rFonts w:hint="eastAsia"/>
      </w:rPr>
    </w:lvl>
    <w:lvl w:ilvl="2">
      <w:start w:val="1"/>
      <w:numFmt w:val="lowerRoman"/>
      <w:lvlText w:val="%3."/>
      <w:lvlJc w:val="right"/>
      <w:pPr>
        <w:tabs>
          <w:tab w:val="num" w:pos="360"/>
        </w:tabs>
        <w:ind w:left="360" w:hanging="420"/>
      </w:pPr>
    </w:lvl>
    <w:lvl w:ilvl="3">
      <w:start w:val="1"/>
      <w:numFmt w:val="decimal"/>
      <w:lvlText w:val="%4."/>
      <w:lvlJc w:val="left"/>
      <w:pPr>
        <w:tabs>
          <w:tab w:val="num" w:pos="780"/>
        </w:tabs>
        <w:ind w:left="780" w:hanging="420"/>
      </w:pPr>
      <w:rPr>
        <w:rFonts w:hint="eastAsia"/>
      </w:rPr>
    </w:lvl>
    <w:lvl w:ilvl="4">
      <w:start w:val="1"/>
      <w:numFmt w:val="lowerLetter"/>
      <w:lvlText w:val="%5)"/>
      <w:lvlJc w:val="left"/>
      <w:pPr>
        <w:tabs>
          <w:tab w:val="num" w:pos="1200"/>
        </w:tabs>
        <w:ind w:left="1200" w:hanging="420"/>
      </w:pPr>
    </w:lvl>
    <w:lvl w:ilvl="5">
      <w:start w:val="1"/>
      <w:numFmt w:val="lowerRoman"/>
      <w:lvlText w:val="%6."/>
      <w:lvlJc w:val="right"/>
      <w:pPr>
        <w:tabs>
          <w:tab w:val="num" w:pos="1620"/>
        </w:tabs>
        <w:ind w:left="1620" w:hanging="420"/>
      </w:pPr>
    </w:lvl>
    <w:lvl w:ilvl="6">
      <w:start w:val="1"/>
      <w:numFmt w:val="decimal"/>
      <w:lvlText w:val="%7."/>
      <w:lvlJc w:val="left"/>
      <w:pPr>
        <w:tabs>
          <w:tab w:val="num" w:pos="2040"/>
        </w:tabs>
        <w:ind w:left="2040" w:hanging="420"/>
      </w:pPr>
    </w:lvl>
    <w:lvl w:ilvl="7">
      <w:start w:val="1"/>
      <w:numFmt w:val="lowerLetter"/>
      <w:lvlText w:val="%8)"/>
      <w:lvlJc w:val="left"/>
      <w:pPr>
        <w:tabs>
          <w:tab w:val="num" w:pos="2460"/>
        </w:tabs>
        <w:ind w:left="2460" w:hanging="420"/>
      </w:pPr>
    </w:lvl>
    <w:lvl w:ilvl="8">
      <w:start w:val="1"/>
      <w:numFmt w:val="lowerRoman"/>
      <w:lvlText w:val="%9."/>
      <w:lvlJc w:val="right"/>
      <w:pPr>
        <w:tabs>
          <w:tab w:val="num" w:pos="2880"/>
        </w:tabs>
        <w:ind w:left="2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25B2C"/>
    <w:rsid w:val="0005149B"/>
    <w:rsid w:val="00063DC3"/>
    <w:rsid w:val="000770E9"/>
    <w:rsid w:val="00083001"/>
    <w:rsid w:val="00092013"/>
    <w:rsid w:val="000C620D"/>
    <w:rsid w:val="000E1D40"/>
    <w:rsid w:val="000E63DB"/>
    <w:rsid w:val="0011420E"/>
    <w:rsid w:val="00123E15"/>
    <w:rsid w:val="00145A62"/>
    <w:rsid w:val="00151944"/>
    <w:rsid w:val="00172A27"/>
    <w:rsid w:val="00172EAA"/>
    <w:rsid w:val="001976B4"/>
    <w:rsid w:val="001E2DA6"/>
    <w:rsid w:val="00201028"/>
    <w:rsid w:val="00232C13"/>
    <w:rsid w:val="00251F0A"/>
    <w:rsid w:val="00255115"/>
    <w:rsid w:val="0026642F"/>
    <w:rsid w:val="00287A97"/>
    <w:rsid w:val="00290C99"/>
    <w:rsid w:val="002A66CC"/>
    <w:rsid w:val="002B182D"/>
    <w:rsid w:val="002D5794"/>
    <w:rsid w:val="002E12E3"/>
    <w:rsid w:val="002E3F07"/>
    <w:rsid w:val="003031EA"/>
    <w:rsid w:val="00310501"/>
    <w:rsid w:val="00322FD4"/>
    <w:rsid w:val="00334E05"/>
    <w:rsid w:val="00335302"/>
    <w:rsid w:val="0036059E"/>
    <w:rsid w:val="0036153F"/>
    <w:rsid w:val="00383DE2"/>
    <w:rsid w:val="003B1D3E"/>
    <w:rsid w:val="003C164F"/>
    <w:rsid w:val="003E7C80"/>
    <w:rsid w:val="0044349B"/>
    <w:rsid w:val="00465D3C"/>
    <w:rsid w:val="00485D76"/>
    <w:rsid w:val="004C04DD"/>
    <w:rsid w:val="004D17CB"/>
    <w:rsid w:val="004E44EA"/>
    <w:rsid w:val="004E7152"/>
    <w:rsid w:val="0051600F"/>
    <w:rsid w:val="005170B0"/>
    <w:rsid w:val="005350D8"/>
    <w:rsid w:val="00546A5C"/>
    <w:rsid w:val="005618B6"/>
    <w:rsid w:val="005952E3"/>
    <w:rsid w:val="00597E40"/>
    <w:rsid w:val="005B0479"/>
    <w:rsid w:val="005C6704"/>
    <w:rsid w:val="00602704"/>
    <w:rsid w:val="00614C3F"/>
    <w:rsid w:val="00633A02"/>
    <w:rsid w:val="006D1B02"/>
    <w:rsid w:val="006E3296"/>
    <w:rsid w:val="006F301B"/>
    <w:rsid w:val="006F7348"/>
    <w:rsid w:val="007051D9"/>
    <w:rsid w:val="00721EDE"/>
    <w:rsid w:val="00725FDB"/>
    <w:rsid w:val="00744CE9"/>
    <w:rsid w:val="00755EC5"/>
    <w:rsid w:val="00772CAA"/>
    <w:rsid w:val="00783A4E"/>
    <w:rsid w:val="00791ACF"/>
    <w:rsid w:val="007C63F9"/>
    <w:rsid w:val="007E3D0B"/>
    <w:rsid w:val="007E659A"/>
    <w:rsid w:val="00847242"/>
    <w:rsid w:val="008477BF"/>
    <w:rsid w:val="008538B8"/>
    <w:rsid w:val="00861841"/>
    <w:rsid w:val="00880892"/>
    <w:rsid w:val="00892467"/>
    <w:rsid w:val="00897A2D"/>
    <w:rsid w:val="008A3F9F"/>
    <w:rsid w:val="008A7178"/>
    <w:rsid w:val="008F00CA"/>
    <w:rsid w:val="008F1EF4"/>
    <w:rsid w:val="00927215"/>
    <w:rsid w:val="0093483D"/>
    <w:rsid w:val="009948E9"/>
    <w:rsid w:val="009B68FD"/>
    <w:rsid w:val="009D5E35"/>
    <w:rsid w:val="009E67DD"/>
    <w:rsid w:val="009F458A"/>
    <w:rsid w:val="00A1016E"/>
    <w:rsid w:val="00A141C0"/>
    <w:rsid w:val="00A30070"/>
    <w:rsid w:val="00A568E6"/>
    <w:rsid w:val="00A707E6"/>
    <w:rsid w:val="00AC3579"/>
    <w:rsid w:val="00AD255C"/>
    <w:rsid w:val="00AD7A52"/>
    <w:rsid w:val="00AE18F7"/>
    <w:rsid w:val="00B06AF1"/>
    <w:rsid w:val="00B468A1"/>
    <w:rsid w:val="00B5624F"/>
    <w:rsid w:val="00B6063D"/>
    <w:rsid w:val="00B67D8A"/>
    <w:rsid w:val="00B7466C"/>
    <w:rsid w:val="00BA20C0"/>
    <w:rsid w:val="00BE3F80"/>
    <w:rsid w:val="00BF4C47"/>
    <w:rsid w:val="00C10429"/>
    <w:rsid w:val="00C20234"/>
    <w:rsid w:val="00C427C0"/>
    <w:rsid w:val="00C51B21"/>
    <w:rsid w:val="00C81B08"/>
    <w:rsid w:val="00C946BC"/>
    <w:rsid w:val="00CB75F1"/>
    <w:rsid w:val="00CC2A6F"/>
    <w:rsid w:val="00CD3170"/>
    <w:rsid w:val="00CE3B1B"/>
    <w:rsid w:val="00CF74E8"/>
    <w:rsid w:val="00D017C1"/>
    <w:rsid w:val="00D11A48"/>
    <w:rsid w:val="00D201C0"/>
    <w:rsid w:val="00D37F52"/>
    <w:rsid w:val="00D80462"/>
    <w:rsid w:val="00DA52AF"/>
    <w:rsid w:val="00DC71E3"/>
    <w:rsid w:val="00DF3F08"/>
    <w:rsid w:val="00E03742"/>
    <w:rsid w:val="00E043F1"/>
    <w:rsid w:val="00E05487"/>
    <w:rsid w:val="00E34E9B"/>
    <w:rsid w:val="00E4227B"/>
    <w:rsid w:val="00E45E63"/>
    <w:rsid w:val="00E641FB"/>
    <w:rsid w:val="00E67C2E"/>
    <w:rsid w:val="00EC1AAD"/>
    <w:rsid w:val="00ED5B20"/>
    <w:rsid w:val="00EE3837"/>
    <w:rsid w:val="00F07ADE"/>
    <w:rsid w:val="00F12767"/>
    <w:rsid w:val="00F2245C"/>
    <w:rsid w:val="00F32912"/>
    <w:rsid w:val="00F5651A"/>
    <w:rsid w:val="00F624B0"/>
    <w:rsid w:val="00F733EF"/>
    <w:rsid w:val="00FC0D47"/>
    <w:rsid w:val="00FD7C0B"/>
    <w:rsid w:val="00FE5F74"/>
    <w:rsid w:val="00FF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DA46221-7CAE-4F3A-AEE8-52FD5C18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2D"/>
    <w:pPr>
      <w:widowControl w:val="0"/>
      <w:jc w:val="both"/>
    </w:pPr>
    <w:rPr>
      <w:kern w:val="2"/>
      <w:sz w:val="21"/>
    </w:rPr>
  </w:style>
  <w:style w:type="paragraph" w:styleId="1">
    <w:name w:val="heading 1"/>
    <w:basedOn w:val="a"/>
    <w:next w:val="a"/>
    <w:qFormat/>
    <w:rsid w:val="00897A2D"/>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897A2D"/>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897A2D"/>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897A2D"/>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897A2D"/>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897A2D"/>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897A2D"/>
    <w:pPr>
      <w:keepNext/>
      <w:keepLines/>
      <w:spacing w:before="240" w:after="64" w:line="317" w:lineRule="auto"/>
      <w:outlineLvl w:val="6"/>
    </w:pPr>
    <w:rPr>
      <w:b/>
      <w:sz w:val="24"/>
    </w:rPr>
  </w:style>
  <w:style w:type="paragraph" w:styleId="8">
    <w:name w:val="heading 8"/>
    <w:basedOn w:val="a"/>
    <w:next w:val="a"/>
    <w:qFormat/>
    <w:rsid w:val="00897A2D"/>
    <w:pPr>
      <w:keepNext/>
      <w:keepLines/>
      <w:spacing w:before="240" w:after="64" w:line="317" w:lineRule="auto"/>
      <w:outlineLvl w:val="7"/>
    </w:pPr>
    <w:rPr>
      <w:rFonts w:ascii="Arial" w:eastAsia="黑体" w:hAnsi="Arial"/>
      <w:sz w:val="24"/>
    </w:rPr>
  </w:style>
  <w:style w:type="paragraph" w:styleId="9">
    <w:name w:val="heading 9"/>
    <w:basedOn w:val="a"/>
    <w:next w:val="a"/>
    <w:qFormat/>
    <w:rsid w:val="00897A2D"/>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897A2D"/>
    <w:rPr>
      <w:color w:val="800080"/>
      <w:u w:val="single"/>
    </w:rPr>
  </w:style>
  <w:style w:type="character" w:styleId="a5">
    <w:name w:val="annotation reference"/>
    <w:rsid w:val="00897A2D"/>
    <w:rPr>
      <w:sz w:val="21"/>
    </w:rPr>
  </w:style>
  <w:style w:type="character" w:styleId="a6">
    <w:name w:val="page number"/>
    <w:basedOn w:val="a1"/>
    <w:rsid w:val="00897A2D"/>
  </w:style>
  <w:style w:type="character" w:styleId="a7">
    <w:name w:val="Hyperlink"/>
    <w:rsid w:val="00897A2D"/>
    <w:rPr>
      <w:color w:val="0000FF"/>
      <w:u w:val="single"/>
    </w:rPr>
  </w:style>
  <w:style w:type="character" w:customStyle="1" w:styleId="read">
    <w:name w:val="read"/>
    <w:basedOn w:val="a1"/>
    <w:rsid w:val="00897A2D"/>
  </w:style>
  <w:style w:type="character" w:customStyle="1" w:styleId="big1">
    <w:name w:val="big1"/>
    <w:rsid w:val="00897A2D"/>
    <w:rPr>
      <w:sz w:val="22"/>
    </w:rPr>
  </w:style>
  <w:style w:type="character" w:customStyle="1" w:styleId="Char">
    <w:name w:val="纯文本 Char"/>
    <w:link w:val="a8"/>
    <w:rsid w:val="00897A2D"/>
    <w:rPr>
      <w:rFonts w:ascii="Courier New" w:hAnsi="Courier New"/>
    </w:rPr>
  </w:style>
  <w:style w:type="character" w:customStyle="1" w:styleId="ten51">
    <w:name w:val="ten51"/>
    <w:rsid w:val="00897A2D"/>
    <w:rPr>
      <w:sz w:val="21"/>
    </w:rPr>
  </w:style>
  <w:style w:type="character" w:customStyle="1" w:styleId="Char0">
    <w:name w:val="批注文字 Char"/>
    <w:link w:val="a9"/>
    <w:rsid w:val="00897A2D"/>
    <w:rPr>
      <w:kern w:val="2"/>
      <w:sz w:val="21"/>
    </w:rPr>
  </w:style>
  <w:style w:type="character" w:customStyle="1" w:styleId="unnamed11">
    <w:name w:val="unnamed11"/>
    <w:rsid w:val="00897A2D"/>
    <w:rPr>
      <w:rFonts w:ascii="宋体" w:eastAsia="宋体" w:hAnsi="宋体" w:hint="eastAsia"/>
      <w:sz w:val="18"/>
      <w:szCs w:val="18"/>
    </w:rPr>
  </w:style>
  <w:style w:type="character" w:customStyle="1" w:styleId="Char1">
    <w:name w:val="页脚 Char"/>
    <w:link w:val="aa"/>
    <w:rsid w:val="00897A2D"/>
    <w:rPr>
      <w:kern w:val="2"/>
      <w:sz w:val="18"/>
    </w:rPr>
  </w:style>
  <w:style w:type="character" w:customStyle="1" w:styleId="Char2">
    <w:name w:val="正文首行缩进 Char"/>
    <w:link w:val="ab"/>
    <w:rsid w:val="00897A2D"/>
    <w:rPr>
      <w:kern w:val="2"/>
      <w:sz w:val="21"/>
    </w:rPr>
  </w:style>
  <w:style w:type="paragraph" w:styleId="ab">
    <w:name w:val="Body Text First Indent"/>
    <w:basedOn w:val="ac"/>
    <w:link w:val="Char2"/>
    <w:rsid w:val="00897A2D"/>
    <w:pPr>
      <w:spacing w:line="300" w:lineRule="auto"/>
      <w:ind w:firstLine="425"/>
    </w:pPr>
  </w:style>
  <w:style w:type="paragraph" w:styleId="ad">
    <w:name w:val="Body Text Indent"/>
    <w:basedOn w:val="a"/>
    <w:rsid w:val="00897A2D"/>
    <w:pPr>
      <w:widowControl/>
      <w:spacing w:line="360" w:lineRule="auto"/>
      <w:ind w:rightChars="-85" w:right="-85" w:firstLineChars="150" w:firstLine="360"/>
      <w:jc w:val="left"/>
    </w:pPr>
    <w:rPr>
      <w:rFonts w:ascii="宋体" w:hAnsi="宋体"/>
      <w:sz w:val="24"/>
    </w:rPr>
  </w:style>
  <w:style w:type="paragraph" w:styleId="ae">
    <w:name w:val="header"/>
    <w:basedOn w:val="a"/>
    <w:rsid w:val="00897A2D"/>
    <w:pPr>
      <w:pBdr>
        <w:bottom w:val="single" w:sz="6" w:space="1" w:color="auto"/>
      </w:pBdr>
      <w:tabs>
        <w:tab w:val="center" w:pos="4153"/>
        <w:tab w:val="right" w:pos="8306"/>
      </w:tabs>
      <w:snapToGrid w:val="0"/>
      <w:jc w:val="center"/>
    </w:pPr>
    <w:rPr>
      <w:sz w:val="18"/>
    </w:rPr>
  </w:style>
  <w:style w:type="paragraph" w:styleId="20">
    <w:name w:val="toc 2"/>
    <w:basedOn w:val="a"/>
    <w:next w:val="a"/>
    <w:rsid w:val="00897A2D"/>
    <w:pPr>
      <w:ind w:leftChars="200" w:left="420"/>
    </w:pPr>
  </w:style>
  <w:style w:type="paragraph" w:styleId="af">
    <w:name w:val="Title"/>
    <w:basedOn w:val="ac"/>
    <w:next w:val="ac"/>
    <w:qFormat/>
    <w:rsid w:val="00897A2D"/>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897A2D"/>
    <w:pPr>
      <w:widowControl/>
      <w:spacing w:before="100" w:beforeAutospacing="1" w:after="100" w:afterAutospacing="1"/>
      <w:ind w:rightChars="-85" w:right="-85" w:firstLine="480"/>
      <w:outlineLvl w:val="0"/>
    </w:pPr>
    <w:rPr>
      <w:rFonts w:ascii="宋体" w:hAnsi="宋体"/>
      <w:color w:val="000000"/>
      <w:sz w:val="24"/>
    </w:rPr>
  </w:style>
  <w:style w:type="paragraph" w:styleId="a9">
    <w:name w:val="annotation text"/>
    <w:basedOn w:val="a"/>
    <w:link w:val="Char0"/>
    <w:rsid w:val="00897A2D"/>
    <w:pPr>
      <w:jc w:val="left"/>
    </w:pPr>
  </w:style>
  <w:style w:type="paragraph" w:styleId="10">
    <w:name w:val="toc 1"/>
    <w:basedOn w:val="a"/>
    <w:next w:val="a"/>
    <w:rsid w:val="00897A2D"/>
    <w:pPr>
      <w:tabs>
        <w:tab w:val="right" w:leader="dot" w:pos="8450"/>
      </w:tabs>
      <w:spacing w:line="360" w:lineRule="auto"/>
    </w:pPr>
    <w:rPr>
      <w:rFonts w:ascii="黑体" w:eastAsia="黑体" w:hAnsi="宋体"/>
      <w:sz w:val="24"/>
    </w:rPr>
  </w:style>
  <w:style w:type="paragraph" w:styleId="af0">
    <w:name w:val="annotation subject"/>
    <w:basedOn w:val="a9"/>
    <w:next w:val="a9"/>
    <w:rsid w:val="00897A2D"/>
    <w:rPr>
      <w:b/>
    </w:rPr>
  </w:style>
  <w:style w:type="paragraph" w:styleId="af1">
    <w:name w:val="Normal (Web)"/>
    <w:basedOn w:val="a"/>
    <w:rsid w:val="00897A2D"/>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footer"/>
    <w:basedOn w:val="a"/>
    <w:link w:val="Char1"/>
    <w:rsid w:val="00897A2D"/>
    <w:pPr>
      <w:tabs>
        <w:tab w:val="center" w:pos="4153"/>
        <w:tab w:val="right" w:pos="8306"/>
      </w:tabs>
      <w:snapToGrid w:val="0"/>
      <w:jc w:val="left"/>
    </w:pPr>
    <w:rPr>
      <w:sz w:val="18"/>
    </w:rPr>
  </w:style>
  <w:style w:type="paragraph" w:styleId="af2">
    <w:name w:val="Balloon Text"/>
    <w:basedOn w:val="a"/>
    <w:rsid w:val="00897A2D"/>
    <w:rPr>
      <w:sz w:val="18"/>
    </w:rPr>
  </w:style>
  <w:style w:type="paragraph" w:styleId="a0">
    <w:name w:val="Normal Indent"/>
    <w:basedOn w:val="a"/>
    <w:rsid w:val="00897A2D"/>
    <w:pPr>
      <w:ind w:firstLineChars="200" w:firstLine="420"/>
    </w:pPr>
  </w:style>
  <w:style w:type="paragraph" w:styleId="ac">
    <w:name w:val="Body Text"/>
    <w:basedOn w:val="a"/>
    <w:rsid w:val="00897A2D"/>
    <w:pPr>
      <w:spacing w:after="120"/>
    </w:pPr>
  </w:style>
  <w:style w:type="paragraph" w:styleId="a8">
    <w:name w:val="Plain Text"/>
    <w:basedOn w:val="a"/>
    <w:link w:val="Char"/>
    <w:rsid w:val="00897A2D"/>
    <w:pPr>
      <w:widowControl/>
      <w:jc w:val="left"/>
    </w:pPr>
    <w:rPr>
      <w:rFonts w:ascii="Courier New" w:hAnsi="Courier New"/>
      <w:kern w:val="0"/>
      <w:sz w:val="20"/>
    </w:rPr>
  </w:style>
  <w:style w:type="paragraph" w:customStyle="1" w:styleId="CharCharCharCharCharCharChar">
    <w:name w:val="Char Char Char Char Char Char Char"/>
    <w:basedOn w:val="a"/>
    <w:rsid w:val="00897A2D"/>
  </w:style>
  <w:style w:type="paragraph" w:customStyle="1" w:styleId="22">
    <w:name w:val="编号正文2"/>
    <w:basedOn w:val="a"/>
    <w:rsid w:val="00897A2D"/>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rsid w:val="00897A2D"/>
    <w:pPr>
      <w:widowControl w:val="0"/>
      <w:autoSpaceDE w:val="0"/>
      <w:autoSpaceDN w:val="0"/>
      <w:adjustRightInd w:val="0"/>
      <w:jc w:val="both"/>
    </w:pPr>
    <w:rPr>
      <w:rFonts w:ascii="五" w:eastAsia="五"/>
      <w:sz w:val="24"/>
    </w:rPr>
  </w:style>
  <w:style w:type="paragraph" w:customStyle="1" w:styleId="xl22">
    <w:name w:val="xl22"/>
    <w:basedOn w:val="a"/>
    <w:rsid w:val="00897A2D"/>
    <w:pPr>
      <w:widowControl/>
      <w:spacing w:before="100" w:beforeAutospacing="1" w:after="100" w:afterAutospacing="1"/>
      <w:textAlignment w:val="top"/>
    </w:pPr>
    <w:rPr>
      <w:rFonts w:ascii="宋体" w:hAnsi="宋体" w:hint="eastAsia"/>
      <w:kern w:val="0"/>
      <w:sz w:val="18"/>
    </w:rPr>
  </w:style>
  <w:style w:type="paragraph" w:customStyle="1" w:styleId="af3">
    <w:name w:val="项目"/>
    <w:basedOn w:val="4"/>
    <w:rsid w:val="00897A2D"/>
    <w:pPr>
      <w:snapToGrid w:val="0"/>
      <w:spacing w:before="120" w:after="120" w:line="360" w:lineRule="auto"/>
    </w:pPr>
    <w:rPr>
      <w:rFonts w:ascii="Times New Roman" w:eastAsia="楷体_GB2312" w:hAnsi="Times New Roman"/>
      <w:b w:val="0"/>
      <w:sz w:val="24"/>
    </w:rPr>
  </w:style>
  <w:style w:type="paragraph" w:customStyle="1" w:styleId="Char3">
    <w:name w:val="Char"/>
    <w:basedOn w:val="a"/>
    <w:rsid w:val="00897A2D"/>
  </w:style>
  <w:style w:type="paragraph" w:customStyle="1" w:styleId="af4">
    <w:name w:val="表格正文"/>
    <w:basedOn w:val="a0"/>
    <w:rsid w:val="00897A2D"/>
    <w:pPr>
      <w:spacing w:beforeLines="50"/>
      <w:ind w:firstLineChars="0" w:firstLine="0"/>
      <w:jc w:val="center"/>
    </w:pPr>
    <w:rPr>
      <w:sz w:val="24"/>
    </w:rPr>
  </w:style>
  <w:style w:type="paragraph" w:customStyle="1" w:styleId="CharCharCharChar1CharCharChar">
    <w:name w:val="Char Char Char Char1 Char Char Char"/>
    <w:basedOn w:val="a"/>
    <w:rsid w:val="00897A2D"/>
  </w:style>
  <w:style w:type="paragraph" w:styleId="af5">
    <w:name w:val="List Paragraph"/>
    <w:basedOn w:val="a"/>
    <w:qFormat/>
    <w:rsid w:val="00897A2D"/>
    <w:pPr>
      <w:ind w:firstLineChars="200" w:firstLine="420"/>
    </w:pPr>
  </w:style>
  <w:style w:type="paragraph" w:customStyle="1" w:styleId="ParaCharCharCharCharCharChar">
    <w:name w:val="默认段落字体 Para Char Char Char Char Char Char"/>
    <w:basedOn w:val="a"/>
    <w:rsid w:val="00897A2D"/>
    <w:pPr>
      <w:tabs>
        <w:tab w:val="left" w:pos="840"/>
      </w:tabs>
      <w:ind w:left="840" w:hanging="360"/>
    </w:pPr>
    <w:rPr>
      <w:sz w:val="24"/>
    </w:rPr>
  </w:style>
  <w:style w:type="paragraph" w:customStyle="1" w:styleId="af6">
    <w:name w:val="报告署名"/>
    <w:basedOn w:val="a"/>
    <w:next w:val="a"/>
    <w:rsid w:val="00897A2D"/>
    <w:pPr>
      <w:spacing w:line="360" w:lineRule="auto"/>
      <w:jc w:val="center"/>
    </w:pPr>
    <w:rPr>
      <w:rFonts w:ascii="宋体" w:hAnsi="宋体"/>
      <w:sz w:val="24"/>
    </w:rPr>
  </w:style>
  <w:style w:type="paragraph" w:customStyle="1" w:styleId="CharCharCharCharChar">
    <w:name w:val="Char Char Char Char Char"/>
    <w:basedOn w:val="a"/>
    <w:rsid w:val="00897A2D"/>
    <w:pPr>
      <w:tabs>
        <w:tab w:val="left" w:pos="840"/>
      </w:tabs>
      <w:ind w:left="840" w:hanging="360"/>
    </w:pPr>
    <w:rPr>
      <w:sz w:val="24"/>
    </w:rPr>
  </w:style>
  <w:style w:type="paragraph" w:customStyle="1" w:styleId="23">
    <w:name w:val="列表2"/>
    <w:basedOn w:val="a"/>
    <w:next w:val="af"/>
    <w:rsid w:val="00897A2D"/>
    <w:pPr>
      <w:tabs>
        <w:tab w:val="left" w:pos="1125"/>
      </w:tabs>
      <w:spacing w:line="360" w:lineRule="auto"/>
      <w:ind w:left="1125" w:hanging="1125"/>
    </w:pPr>
    <w:rPr>
      <w:rFonts w:ascii="宋体"/>
    </w:rPr>
  </w:style>
  <w:style w:type="paragraph" w:customStyle="1" w:styleId="1Char">
    <w:name w:val="1 Char"/>
    <w:basedOn w:val="a"/>
    <w:rsid w:val="00897A2D"/>
    <w:pPr>
      <w:tabs>
        <w:tab w:val="left" w:pos="360"/>
      </w:tabs>
    </w:pPr>
    <w:rPr>
      <w:sz w:val="24"/>
      <w:szCs w:val="24"/>
    </w:rPr>
  </w:style>
  <w:style w:type="paragraph" w:styleId="af7">
    <w:name w:val="Revision"/>
    <w:rsid w:val="00897A2D"/>
    <w:rPr>
      <w:kern w:val="2"/>
      <w:sz w:val="21"/>
    </w:rPr>
  </w:style>
  <w:style w:type="paragraph" w:customStyle="1" w:styleId="Default">
    <w:name w:val="Default"/>
    <w:rsid w:val="00897A2D"/>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rsid w:val="00897A2D"/>
  </w:style>
  <w:style w:type="paragraph" w:styleId="af8">
    <w:name w:val="Document Map"/>
    <w:basedOn w:val="a"/>
    <w:link w:val="Char4"/>
    <w:uiPriority w:val="99"/>
    <w:semiHidden/>
    <w:unhideWhenUsed/>
    <w:rsid w:val="00783A4E"/>
    <w:rPr>
      <w:rFonts w:ascii="宋体"/>
      <w:sz w:val="18"/>
      <w:szCs w:val="18"/>
    </w:rPr>
  </w:style>
  <w:style w:type="character" w:customStyle="1" w:styleId="Char4">
    <w:name w:val="文档结构图 Char"/>
    <w:link w:val="af8"/>
    <w:uiPriority w:val="99"/>
    <w:semiHidden/>
    <w:rsid w:val="00783A4E"/>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jysl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yfund.com/page/px120913083148055000.html" TargetMode="External"/><Relationship Id="rId17" Type="http://schemas.openxmlformats.org/officeDocument/2006/relationships/hyperlink" Target="http://www.jysld.com&#25110;www.bocomschroder.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FCFA8-4051-4445-B288-CACBBF09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13917</Words>
  <Characters>79333</Characters>
  <Application>Microsoft Office Word</Application>
  <DocSecurity>0</DocSecurity>
  <PresentationFormat/>
  <Lines>661</Lines>
  <Paragraphs>186</Paragraphs>
  <Slides>0</Slides>
  <Notes>0</Notes>
  <HiddenSlides>0</HiddenSlides>
  <MMClips>0</MMClips>
  <ScaleCrop>false</ScaleCrop>
  <Company>jysld</Company>
  <LinksUpToDate>false</LinksUpToDate>
  <CharactersWithSpaces>93064</CharactersWithSpaces>
  <SharedDoc>false</SharedDoc>
  <HLinks>
    <vt:vector size="192" baseType="variant">
      <vt:variant>
        <vt:i4>5767172</vt:i4>
      </vt:variant>
      <vt:variant>
        <vt:i4>174</vt:i4>
      </vt:variant>
      <vt:variant>
        <vt:i4>0</vt:i4>
      </vt:variant>
      <vt:variant>
        <vt:i4>5</vt:i4>
      </vt:variant>
      <vt:variant>
        <vt:lpwstr>http://www.jysld.com/</vt:lpwstr>
      </vt:variant>
      <vt:variant>
        <vt:lpwstr/>
      </vt:variant>
      <vt:variant>
        <vt:i4>4022811</vt:i4>
      </vt:variant>
      <vt:variant>
        <vt:i4>171</vt:i4>
      </vt:variant>
      <vt:variant>
        <vt:i4>0</vt:i4>
      </vt:variant>
      <vt:variant>
        <vt:i4>5</vt:i4>
      </vt:variant>
      <vt:variant>
        <vt:lpwstr>http://www.jysld.com或www.bocomschroder.com/</vt:lpwstr>
      </vt:variant>
      <vt:variant>
        <vt:lpwstr/>
      </vt:variant>
      <vt:variant>
        <vt:i4>5701711</vt:i4>
      </vt:variant>
      <vt:variant>
        <vt:i4>168</vt:i4>
      </vt:variant>
      <vt:variant>
        <vt:i4>0</vt:i4>
      </vt:variant>
      <vt:variant>
        <vt:i4>5</vt:i4>
      </vt:variant>
      <vt:variant>
        <vt:lpwstr>http://www.jyfund.com/page/px120913083148055000.html</vt:lpwstr>
      </vt:variant>
      <vt:variant>
        <vt:lpwstr/>
      </vt:variant>
      <vt:variant>
        <vt:i4>5111808</vt:i4>
      </vt:variant>
      <vt:variant>
        <vt:i4>165</vt:i4>
      </vt:variant>
      <vt:variant>
        <vt:i4>0</vt:i4>
      </vt:variant>
      <vt:variant>
        <vt:i4>5</vt:i4>
      </vt:variant>
      <vt:variant>
        <vt:lpwstr>http://www.bocomschroder.com/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5111808</vt:i4>
      </vt:variant>
      <vt:variant>
        <vt:i4>159</vt:i4>
      </vt:variant>
      <vt:variant>
        <vt:i4>0</vt:i4>
      </vt:variant>
      <vt:variant>
        <vt:i4>5</vt:i4>
      </vt:variant>
      <vt:variant>
        <vt:lpwstr>http://www.bocomschroder.com/</vt:lpwstr>
      </vt:variant>
      <vt:variant>
        <vt:lpwstr/>
      </vt:variant>
      <vt:variant>
        <vt:i4>1966128</vt:i4>
      </vt:variant>
      <vt:variant>
        <vt:i4>152</vt:i4>
      </vt:variant>
      <vt:variant>
        <vt:i4>0</vt:i4>
      </vt:variant>
      <vt:variant>
        <vt:i4>5</vt:i4>
      </vt:variant>
      <vt:variant>
        <vt:lpwstr/>
      </vt:variant>
      <vt:variant>
        <vt:lpwstr>_Toc382321337</vt:lpwstr>
      </vt:variant>
      <vt:variant>
        <vt:i4>1966128</vt:i4>
      </vt:variant>
      <vt:variant>
        <vt:i4>146</vt:i4>
      </vt:variant>
      <vt:variant>
        <vt:i4>0</vt:i4>
      </vt:variant>
      <vt:variant>
        <vt:i4>5</vt:i4>
      </vt:variant>
      <vt:variant>
        <vt:lpwstr/>
      </vt:variant>
      <vt:variant>
        <vt:lpwstr>_Toc382321336</vt:lpwstr>
      </vt:variant>
      <vt:variant>
        <vt:i4>1966128</vt:i4>
      </vt:variant>
      <vt:variant>
        <vt:i4>140</vt:i4>
      </vt:variant>
      <vt:variant>
        <vt:i4>0</vt:i4>
      </vt:variant>
      <vt:variant>
        <vt:i4>5</vt:i4>
      </vt:variant>
      <vt:variant>
        <vt:lpwstr/>
      </vt:variant>
      <vt:variant>
        <vt:lpwstr>_Toc382321335</vt:lpwstr>
      </vt:variant>
      <vt:variant>
        <vt:i4>1966128</vt:i4>
      </vt:variant>
      <vt:variant>
        <vt:i4>134</vt:i4>
      </vt:variant>
      <vt:variant>
        <vt:i4>0</vt:i4>
      </vt:variant>
      <vt:variant>
        <vt:i4>5</vt:i4>
      </vt:variant>
      <vt:variant>
        <vt:lpwstr/>
      </vt:variant>
      <vt:variant>
        <vt:lpwstr>_Toc382321334</vt:lpwstr>
      </vt:variant>
      <vt:variant>
        <vt:i4>1966128</vt:i4>
      </vt:variant>
      <vt:variant>
        <vt:i4>128</vt:i4>
      </vt:variant>
      <vt:variant>
        <vt:i4>0</vt:i4>
      </vt:variant>
      <vt:variant>
        <vt:i4>5</vt:i4>
      </vt:variant>
      <vt:variant>
        <vt:lpwstr/>
      </vt:variant>
      <vt:variant>
        <vt:lpwstr>_Toc382321333</vt:lpwstr>
      </vt:variant>
      <vt:variant>
        <vt:i4>1966128</vt:i4>
      </vt:variant>
      <vt:variant>
        <vt:i4>122</vt:i4>
      </vt:variant>
      <vt:variant>
        <vt:i4>0</vt:i4>
      </vt:variant>
      <vt:variant>
        <vt:i4>5</vt:i4>
      </vt:variant>
      <vt:variant>
        <vt:lpwstr/>
      </vt:variant>
      <vt:variant>
        <vt:lpwstr>_Toc382321332</vt:lpwstr>
      </vt:variant>
      <vt:variant>
        <vt:i4>1966128</vt:i4>
      </vt:variant>
      <vt:variant>
        <vt:i4>116</vt:i4>
      </vt:variant>
      <vt:variant>
        <vt:i4>0</vt:i4>
      </vt:variant>
      <vt:variant>
        <vt:i4>5</vt:i4>
      </vt:variant>
      <vt:variant>
        <vt:lpwstr/>
      </vt:variant>
      <vt:variant>
        <vt:lpwstr>_Toc382321331</vt:lpwstr>
      </vt:variant>
      <vt:variant>
        <vt:i4>1966128</vt:i4>
      </vt:variant>
      <vt:variant>
        <vt:i4>110</vt:i4>
      </vt:variant>
      <vt:variant>
        <vt:i4>0</vt:i4>
      </vt:variant>
      <vt:variant>
        <vt:i4>5</vt:i4>
      </vt:variant>
      <vt:variant>
        <vt:lpwstr/>
      </vt:variant>
      <vt:variant>
        <vt:lpwstr>_Toc382321330</vt:lpwstr>
      </vt:variant>
      <vt:variant>
        <vt:i4>2031664</vt:i4>
      </vt:variant>
      <vt:variant>
        <vt:i4>104</vt:i4>
      </vt:variant>
      <vt:variant>
        <vt:i4>0</vt:i4>
      </vt:variant>
      <vt:variant>
        <vt:i4>5</vt:i4>
      </vt:variant>
      <vt:variant>
        <vt:lpwstr/>
      </vt:variant>
      <vt:variant>
        <vt:lpwstr>_Toc382321329</vt:lpwstr>
      </vt:variant>
      <vt:variant>
        <vt:i4>2031664</vt:i4>
      </vt:variant>
      <vt:variant>
        <vt:i4>98</vt:i4>
      </vt:variant>
      <vt:variant>
        <vt:i4>0</vt:i4>
      </vt:variant>
      <vt:variant>
        <vt:i4>5</vt:i4>
      </vt:variant>
      <vt:variant>
        <vt:lpwstr/>
      </vt:variant>
      <vt:variant>
        <vt:lpwstr>_Toc382321328</vt:lpwstr>
      </vt:variant>
      <vt:variant>
        <vt:i4>2031664</vt:i4>
      </vt:variant>
      <vt:variant>
        <vt:i4>92</vt:i4>
      </vt:variant>
      <vt:variant>
        <vt:i4>0</vt:i4>
      </vt:variant>
      <vt:variant>
        <vt:i4>5</vt:i4>
      </vt:variant>
      <vt:variant>
        <vt:lpwstr/>
      </vt:variant>
      <vt:variant>
        <vt:lpwstr>_Toc382321327</vt:lpwstr>
      </vt:variant>
      <vt:variant>
        <vt:i4>2031664</vt:i4>
      </vt:variant>
      <vt:variant>
        <vt:i4>86</vt:i4>
      </vt:variant>
      <vt:variant>
        <vt:i4>0</vt:i4>
      </vt:variant>
      <vt:variant>
        <vt:i4>5</vt:i4>
      </vt:variant>
      <vt:variant>
        <vt:lpwstr/>
      </vt:variant>
      <vt:variant>
        <vt:lpwstr>_Toc382321326</vt:lpwstr>
      </vt:variant>
      <vt:variant>
        <vt:i4>2031664</vt:i4>
      </vt:variant>
      <vt:variant>
        <vt:i4>80</vt:i4>
      </vt:variant>
      <vt:variant>
        <vt:i4>0</vt:i4>
      </vt:variant>
      <vt:variant>
        <vt:i4>5</vt:i4>
      </vt:variant>
      <vt:variant>
        <vt:lpwstr/>
      </vt:variant>
      <vt:variant>
        <vt:lpwstr>_Toc382321325</vt:lpwstr>
      </vt:variant>
      <vt:variant>
        <vt:i4>2031664</vt:i4>
      </vt:variant>
      <vt:variant>
        <vt:i4>74</vt:i4>
      </vt:variant>
      <vt:variant>
        <vt:i4>0</vt:i4>
      </vt:variant>
      <vt:variant>
        <vt:i4>5</vt:i4>
      </vt:variant>
      <vt:variant>
        <vt:lpwstr/>
      </vt:variant>
      <vt:variant>
        <vt:lpwstr>_Toc382321324</vt:lpwstr>
      </vt:variant>
      <vt:variant>
        <vt:i4>2031664</vt:i4>
      </vt:variant>
      <vt:variant>
        <vt:i4>68</vt:i4>
      </vt:variant>
      <vt:variant>
        <vt:i4>0</vt:i4>
      </vt:variant>
      <vt:variant>
        <vt:i4>5</vt:i4>
      </vt:variant>
      <vt:variant>
        <vt:lpwstr/>
      </vt:variant>
      <vt:variant>
        <vt:lpwstr>_Toc382321323</vt:lpwstr>
      </vt:variant>
      <vt:variant>
        <vt:i4>2031664</vt:i4>
      </vt:variant>
      <vt:variant>
        <vt:i4>62</vt:i4>
      </vt:variant>
      <vt:variant>
        <vt:i4>0</vt:i4>
      </vt:variant>
      <vt:variant>
        <vt:i4>5</vt:i4>
      </vt:variant>
      <vt:variant>
        <vt:lpwstr/>
      </vt:variant>
      <vt:variant>
        <vt:lpwstr>_Toc382321322</vt:lpwstr>
      </vt:variant>
      <vt:variant>
        <vt:i4>2031664</vt:i4>
      </vt:variant>
      <vt:variant>
        <vt:i4>56</vt:i4>
      </vt:variant>
      <vt:variant>
        <vt:i4>0</vt:i4>
      </vt:variant>
      <vt:variant>
        <vt:i4>5</vt:i4>
      </vt:variant>
      <vt:variant>
        <vt:lpwstr/>
      </vt:variant>
      <vt:variant>
        <vt:lpwstr>_Toc382321321</vt:lpwstr>
      </vt:variant>
      <vt:variant>
        <vt:i4>2031664</vt:i4>
      </vt:variant>
      <vt:variant>
        <vt:i4>50</vt:i4>
      </vt:variant>
      <vt:variant>
        <vt:i4>0</vt:i4>
      </vt:variant>
      <vt:variant>
        <vt:i4>5</vt:i4>
      </vt:variant>
      <vt:variant>
        <vt:lpwstr/>
      </vt:variant>
      <vt:variant>
        <vt:lpwstr>_Toc382321320</vt:lpwstr>
      </vt:variant>
      <vt:variant>
        <vt:i4>1835056</vt:i4>
      </vt:variant>
      <vt:variant>
        <vt:i4>44</vt:i4>
      </vt:variant>
      <vt:variant>
        <vt:i4>0</vt:i4>
      </vt:variant>
      <vt:variant>
        <vt:i4>5</vt:i4>
      </vt:variant>
      <vt:variant>
        <vt:lpwstr/>
      </vt:variant>
      <vt:variant>
        <vt:lpwstr>_Toc382321319</vt:lpwstr>
      </vt:variant>
      <vt:variant>
        <vt:i4>1835056</vt:i4>
      </vt:variant>
      <vt:variant>
        <vt:i4>38</vt:i4>
      </vt:variant>
      <vt:variant>
        <vt:i4>0</vt:i4>
      </vt:variant>
      <vt:variant>
        <vt:i4>5</vt:i4>
      </vt:variant>
      <vt:variant>
        <vt:lpwstr/>
      </vt:variant>
      <vt:variant>
        <vt:lpwstr>_Toc382321318</vt:lpwstr>
      </vt:variant>
      <vt:variant>
        <vt:i4>1835056</vt:i4>
      </vt:variant>
      <vt:variant>
        <vt:i4>32</vt:i4>
      </vt:variant>
      <vt:variant>
        <vt:i4>0</vt:i4>
      </vt:variant>
      <vt:variant>
        <vt:i4>5</vt:i4>
      </vt:variant>
      <vt:variant>
        <vt:lpwstr/>
      </vt:variant>
      <vt:variant>
        <vt:lpwstr>_Toc382321317</vt:lpwstr>
      </vt:variant>
      <vt:variant>
        <vt:i4>1835056</vt:i4>
      </vt:variant>
      <vt:variant>
        <vt:i4>26</vt:i4>
      </vt:variant>
      <vt:variant>
        <vt:i4>0</vt:i4>
      </vt:variant>
      <vt:variant>
        <vt:i4>5</vt:i4>
      </vt:variant>
      <vt:variant>
        <vt:lpwstr/>
      </vt:variant>
      <vt:variant>
        <vt:lpwstr>_Toc382321316</vt:lpwstr>
      </vt:variant>
      <vt:variant>
        <vt:i4>1835056</vt:i4>
      </vt:variant>
      <vt:variant>
        <vt:i4>20</vt:i4>
      </vt:variant>
      <vt:variant>
        <vt:i4>0</vt:i4>
      </vt:variant>
      <vt:variant>
        <vt:i4>5</vt:i4>
      </vt:variant>
      <vt:variant>
        <vt:lpwstr/>
      </vt:variant>
      <vt:variant>
        <vt:lpwstr>_Toc382321315</vt:lpwstr>
      </vt:variant>
      <vt:variant>
        <vt:i4>1835056</vt:i4>
      </vt:variant>
      <vt:variant>
        <vt:i4>14</vt:i4>
      </vt:variant>
      <vt:variant>
        <vt:i4>0</vt:i4>
      </vt:variant>
      <vt:variant>
        <vt:i4>5</vt:i4>
      </vt:variant>
      <vt:variant>
        <vt:lpwstr/>
      </vt:variant>
      <vt:variant>
        <vt:lpwstr>_Toc382321314</vt:lpwstr>
      </vt:variant>
      <vt:variant>
        <vt:i4>1835056</vt:i4>
      </vt:variant>
      <vt:variant>
        <vt:i4>8</vt:i4>
      </vt:variant>
      <vt:variant>
        <vt:i4>0</vt:i4>
      </vt:variant>
      <vt:variant>
        <vt:i4>5</vt:i4>
      </vt:variant>
      <vt:variant>
        <vt:lpwstr/>
      </vt:variant>
      <vt:variant>
        <vt:lpwstr>_Toc382321313</vt:lpwstr>
      </vt:variant>
      <vt:variant>
        <vt:i4>1835056</vt:i4>
      </vt:variant>
      <vt:variant>
        <vt:i4>2</vt:i4>
      </vt:variant>
      <vt:variant>
        <vt:i4>0</vt:i4>
      </vt:variant>
      <vt:variant>
        <vt:i4>5</vt:i4>
      </vt:variant>
      <vt:variant>
        <vt:lpwstr/>
      </vt:variant>
      <vt:variant>
        <vt:lpwstr>_Toc382321312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王晚婷</cp:lastModifiedBy>
  <cp:revision>10</cp:revision>
  <cp:lastPrinted>2014-04-03T10:37:00Z</cp:lastPrinted>
  <dcterms:created xsi:type="dcterms:W3CDTF">2014-09-29T06:20:00Z</dcterms:created>
  <dcterms:modified xsi:type="dcterms:W3CDTF">2014-09-30T03:38:00Z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