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Pr="00A64CAA" w:rsidRDefault="006A5CE8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B7035E" w:rsidRPr="00A64CAA" w:rsidRDefault="0000206D" w:rsidP="0000206D">
            <w:pPr>
              <w:tabs>
                <w:tab w:val="left" w:pos="4608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A64CAA" w:rsidRDefault="004424B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B75D27" w:rsidRDefault="00BF3DA1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  <w:r w:rsidRPr="00BF3DA1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 xml:space="preserve"> “小而美”并没有看上去那么美</w:t>
            </w:r>
          </w:p>
          <w:p w:rsidR="00AD0A8A" w:rsidRPr="00932E13" w:rsidRDefault="00AD0A8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3D090A" w:rsidP="00C16FF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宏观经济及债券市场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93">
        <w:rPr>
          <w:rFonts w:ascii="仿宋" w:eastAsia="仿宋" w:hAnsi="仿宋"/>
          <w:b/>
          <w:noProof/>
          <w:color w:val="000080"/>
          <w:sz w:val="32"/>
          <w:szCs w:val="32"/>
        </w:rPr>
        <w:br w:type="textWrapping" w:clear="all"/>
      </w:r>
    </w:p>
    <w:p w:rsidR="004059D5" w:rsidRPr="00366152" w:rsidRDefault="00FB21CC" w:rsidP="00BF3DA1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FB21CC">
        <w:rPr>
          <w:rFonts w:ascii="仿宋" w:eastAsia="仿宋" w:hAnsi="仿宋" w:hint="eastAsia"/>
          <w:b/>
          <w:color w:val="082F6B"/>
          <w:sz w:val="44"/>
          <w:szCs w:val="44"/>
        </w:rPr>
        <w:t>“小而美”并没有看上去那么美</w:t>
      </w:r>
    </w:p>
    <w:p w:rsidR="009249CE" w:rsidRDefault="009249CE" w:rsidP="00BF3DA1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sz w:val="24"/>
          <w:szCs w:val="24"/>
        </w:rPr>
        <w:t>今年以来，股票市场中“以小为美”的风格特征尤为突出。今年一些跌幅较大的个股包括食品饮料、电子和传媒等，很多是去年受到追捧的成长股，甚至是创业板的龙头股，这些优秀成长股的估值大幅下挫，是很多投资人始料未及的，但又是不得不认真思考的事实。今年以来，涨幅居前的大多是100亿元乃至50亿元市值以下的个股，国内市场的这种“小而美”究竟是什么原因造成的呢？是否会持续很长时间呢？</w:t>
      </w:r>
    </w:p>
    <w:p w:rsidR="00014877" w:rsidRPr="00652681" w:rsidRDefault="00014877" w:rsidP="00BF3DA1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513715" w:rsidRDefault="00513715" w:rsidP="00BF3DA1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44"/>
          <w:szCs w:val="44"/>
        </w:rPr>
        <w:t>宏观经济与债券市场</w:t>
      </w:r>
    </w:p>
    <w:p w:rsidR="0003431B" w:rsidRPr="00B31859" w:rsidRDefault="00B656BD" w:rsidP="00BF3DA1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5B16A5">
        <w:rPr>
          <w:rFonts w:ascii="仿宋" w:eastAsia="仿宋" w:hAnsi="仿宋" w:hint="eastAsia"/>
          <w:b/>
          <w:color w:val="0088CC"/>
          <w:sz w:val="24"/>
          <w:szCs w:val="24"/>
        </w:rPr>
        <w:t>40</w:t>
      </w:r>
      <w:r w:rsidR="006268EC">
        <w:rPr>
          <w:rFonts w:ascii="仿宋" w:eastAsia="仿宋" w:hAnsi="仿宋" w:hint="eastAsia"/>
          <w:b/>
          <w:color w:val="0088CC"/>
          <w:sz w:val="24"/>
          <w:szCs w:val="24"/>
        </w:rPr>
        <w:t>721</w:t>
      </w:r>
      <w:r w:rsidR="00C4331E" w:rsidRPr="00B31859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B31859">
        <w:rPr>
          <w:rFonts w:ascii="仿宋" w:eastAsia="仿宋" w:hAnsi="仿宋" w:hint="eastAsia"/>
          <w:b/>
          <w:color w:val="0088CC"/>
          <w:sz w:val="24"/>
          <w:szCs w:val="24"/>
        </w:rPr>
        <w:t>20140</w:t>
      </w:r>
      <w:r w:rsidR="006268EC">
        <w:rPr>
          <w:rFonts w:ascii="仿宋" w:eastAsia="仿宋" w:hAnsi="仿宋" w:hint="eastAsia"/>
          <w:b/>
          <w:color w:val="0088CC"/>
          <w:sz w:val="24"/>
          <w:szCs w:val="24"/>
        </w:rPr>
        <w:t>727</w:t>
      </w:r>
    </w:p>
    <w:p w:rsidR="000959B4" w:rsidRPr="000959B4" w:rsidRDefault="00DB6A2F" w:rsidP="000959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0959B4">
        <w:rPr>
          <w:rFonts w:ascii="仿宋" w:eastAsia="仿宋" w:hAnsi="仿宋" w:hint="eastAsia"/>
          <w:sz w:val="24"/>
          <w:szCs w:val="24"/>
        </w:rPr>
        <w:t>经济增长</w:t>
      </w:r>
      <w:r w:rsidR="000E50B2" w:rsidRPr="000959B4">
        <w:rPr>
          <w:rFonts w:ascii="仿宋" w:eastAsia="仿宋" w:hAnsi="仿宋" w:hint="eastAsia"/>
          <w:sz w:val="24"/>
          <w:szCs w:val="24"/>
        </w:rPr>
        <w:t>方面，</w:t>
      </w:r>
      <w:r w:rsidR="000959B4" w:rsidRPr="000959B4">
        <w:rPr>
          <w:rFonts w:ascii="仿宋" w:eastAsia="仿宋" w:hAnsi="仿宋" w:hint="eastAsia"/>
          <w:sz w:val="24"/>
          <w:szCs w:val="24"/>
        </w:rPr>
        <w:t>定向宽松持续，经济反弹存疑。7月汇丰PMI 由上月50.7 升至本月52，超市场预期。汇丰PMI 显示制造业景气度似乎已进一步好转，但7月中观数据显示经济反弹</w:t>
      </w:r>
      <w:r w:rsidR="000959B4">
        <w:rPr>
          <w:rFonts w:ascii="仿宋" w:eastAsia="仿宋" w:hAnsi="仿宋" w:hint="eastAsia"/>
          <w:sz w:val="24"/>
          <w:szCs w:val="24"/>
        </w:rPr>
        <w:t>或</w:t>
      </w:r>
      <w:r w:rsidR="000959B4" w:rsidRPr="000959B4">
        <w:rPr>
          <w:rFonts w:ascii="仿宋" w:eastAsia="仿宋" w:hAnsi="仿宋" w:hint="eastAsia"/>
          <w:sz w:val="24"/>
          <w:szCs w:val="24"/>
        </w:rPr>
        <w:t>存疑，地产虽销量略有改善，但库存仍高，7月中上旬发电增速仅1.9%，创近3 年新低，工业增速或将大概率回落。</w:t>
      </w:r>
    </w:p>
    <w:p w:rsidR="000959B4" w:rsidRPr="000959B4" w:rsidRDefault="000959B4" w:rsidP="000959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0959B4">
        <w:rPr>
          <w:rFonts w:ascii="仿宋" w:eastAsia="仿宋" w:hAnsi="仿宋" w:hint="eastAsia"/>
          <w:sz w:val="24"/>
          <w:szCs w:val="24"/>
        </w:rPr>
        <w:t>物价方面，猪价反弹菜价回落，通胀短期稳定、长期风险</w:t>
      </w:r>
      <w:r w:rsidR="00415C95">
        <w:rPr>
          <w:rFonts w:ascii="仿宋" w:eastAsia="仿宋" w:hAnsi="仿宋" w:hint="eastAsia"/>
          <w:sz w:val="24"/>
          <w:szCs w:val="24"/>
        </w:rPr>
        <w:t>或</w:t>
      </w:r>
      <w:r w:rsidRPr="000959B4">
        <w:rPr>
          <w:rFonts w:ascii="仿宋" w:eastAsia="仿宋" w:hAnsi="仿宋" w:hint="eastAsia"/>
          <w:sz w:val="24"/>
          <w:szCs w:val="24"/>
        </w:rPr>
        <w:t>增加。国内流动性方面，因新股发行资金面趋紧，回购利率</w:t>
      </w:r>
      <w:r w:rsidR="000429F2">
        <w:rPr>
          <w:rFonts w:ascii="仿宋" w:eastAsia="仿宋" w:hAnsi="仿宋" w:hint="eastAsia"/>
          <w:sz w:val="24"/>
          <w:szCs w:val="24"/>
        </w:rPr>
        <w:t>冲</w:t>
      </w:r>
      <w:r w:rsidRPr="000959B4">
        <w:rPr>
          <w:rFonts w:ascii="仿宋" w:eastAsia="仿宋" w:hAnsi="仿宋" w:hint="eastAsia"/>
          <w:sz w:val="24"/>
          <w:szCs w:val="24"/>
        </w:rPr>
        <w:t>高，再加上正回购再次暂停，预示未来定向宽松</w:t>
      </w:r>
      <w:r>
        <w:rPr>
          <w:rFonts w:ascii="仿宋" w:eastAsia="仿宋" w:hAnsi="仿宋" w:hint="eastAsia"/>
          <w:sz w:val="24"/>
          <w:szCs w:val="24"/>
        </w:rPr>
        <w:t>或</w:t>
      </w:r>
      <w:r w:rsidRPr="000959B4">
        <w:rPr>
          <w:rFonts w:ascii="仿宋" w:eastAsia="仿宋" w:hAnsi="仿宋" w:hint="eastAsia"/>
          <w:sz w:val="24"/>
          <w:szCs w:val="24"/>
        </w:rPr>
        <w:t>有望延续。</w:t>
      </w:r>
    </w:p>
    <w:p w:rsidR="000959B4" w:rsidRPr="000959B4" w:rsidRDefault="000959B4" w:rsidP="000959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海外市场方面，</w:t>
      </w:r>
      <w:r w:rsidRPr="000959B4">
        <w:rPr>
          <w:rFonts w:ascii="仿宋" w:eastAsia="仿宋" w:hAnsi="仿宋" w:hint="eastAsia"/>
          <w:sz w:val="24"/>
          <w:szCs w:val="24"/>
        </w:rPr>
        <w:t>美国通胀维持高位，英国释放加息信号。美国6月CPI增长2.1%</w:t>
      </w:r>
      <w:r w:rsidR="002C20C2">
        <w:rPr>
          <w:rFonts w:ascii="仿宋" w:eastAsia="仿宋" w:hAnsi="仿宋" w:hint="eastAsia"/>
          <w:sz w:val="24"/>
          <w:szCs w:val="24"/>
        </w:rPr>
        <w:t>，如果通胀持续走高，或</w:t>
      </w:r>
      <w:r w:rsidRPr="000959B4">
        <w:rPr>
          <w:rFonts w:ascii="仿宋" w:eastAsia="仿宋" w:hAnsi="仿宋" w:hint="eastAsia"/>
          <w:sz w:val="24"/>
          <w:szCs w:val="24"/>
        </w:rPr>
        <w:t>将对美联储主席耶伦的鸽派立场构成挑战。英国央行行长卡尼周三首次明确表示加息临近，并同时承诺加息时点将取决于经济数据，同时强调加息将循序渐进。</w:t>
      </w:r>
    </w:p>
    <w:p w:rsidR="000959B4" w:rsidRPr="000959B4" w:rsidRDefault="000959B4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</w:p>
    <w:p w:rsidR="00FB32C3" w:rsidRPr="000E09A8" w:rsidRDefault="009249CE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“小而美”并没有看上去那么美</w:t>
      </w:r>
    </w:p>
    <w:p w:rsidR="00E55B5F" w:rsidRPr="009249CE" w:rsidRDefault="009249CE" w:rsidP="009249CE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9249CE">
        <w:rPr>
          <w:rFonts w:ascii="仿宋" w:eastAsia="仿宋" w:hAnsi="仿宋" w:hint="eastAsia"/>
          <w:b/>
          <w:color w:val="0088CC"/>
          <w:sz w:val="24"/>
          <w:szCs w:val="24"/>
        </w:rPr>
        <w:t>交银施罗德权益部副总经理、交银稳健基金经理 唐倩</w:t>
      </w:r>
    </w:p>
    <w:p w:rsidR="009249CE" w:rsidRPr="009249CE" w:rsidRDefault="009249CE" w:rsidP="009249CE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sz w:val="24"/>
          <w:szCs w:val="24"/>
        </w:rPr>
        <w:t>今年以来，股票市场中“以小为美”的风格特征尤为突出。应该说，这个话题并不是今年才有的。可能，自从有了股票市场，就有了这样的争论。特别是近年来，诸多银行</w:t>
      </w:r>
      <w:r w:rsidR="00FA7DA5">
        <w:rPr>
          <w:rFonts w:ascii="仿宋" w:eastAsia="仿宋" w:hAnsi="仿宋" w:hint="eastAsia"/>
          <w:sz w:val="24"/>
          <w:szCs w:val="24"/>
        </w:rPr>
        <w:t>、钢铁、</w:t>
      </w:r>
      <w:r w:rsidRPr="009249CE">
        <w:rPr>
          <w:rFonts w:ascii="仿宋" w:eastAsia="仿宋" w:hAnsi="仿宋" w:hint="eastAsia"/>
          <w:sz w:val="24"/>
          <w:szCs w:val="24"/>
        </w:rPr>
        <w:t>建筑和运输板块的表现持续低迷，股价长期在净资产附近甚至以下徘徊。但今年的情况又有所不同，一些跌幅较大的个股包括食品饮料、电子和传媒等，很多是去年受到追捧的成长股，甚至是创业板的龙头股，这些优秀成长股的估值大幅下挫，是很多投资人始料未及的，但又是不得不认真思考的事实。今年以来，涨幅居前的大多是</w:t>
      </w:r>
      <w:r w:rsidRPr="009249CE">
        <w:rPr>
          <w:rFonts w:ascii="仿宋" w:eastAsia="仿宋" w:hAnsi="仿宋"/>
          <w:sz w:val="24"/>
          <w:szCs w:val="24"/>
        </w:rPr>
        <w:t>100</w:t>
      </w:r>
      <w:r w:rsidRPr="009249CE">
        <w:rPr>
          <w:rFonts w:ascii="仿宋" w:eastAsia="仿宋" w:hAnsi="仿宋" w:hint="eastAsia"/>
          <w:sz w:val="24"/>
          <w:szCs w:val="24"/>
        </w:rPr>
        <w:t>亿元乃至</w:t>
      </w:r>
      <w:r w:rsidRPr="009249CE">
        <w:rPr>
          <w:rFonts w:ascii="仿宋" w:eastAsia="仿宋" w:hAnsi="仿宋"/>
          <w:sz w:val="24"/>
          <w:szCs w:val="24"/>
        </w:rPr>
        <w:t>50</w:t>
      </w:r>
      <w:r w:rsidRPr="009249CE">
        <w:rPr>
          <w:rFonts w:ascii="仿宋" w:eastAsia="仿宋" w:hAnsi="仿宋" w:hint="eastAsia"/>
          <w:sz w:val="24"/>
          <w:szCs w:val="24"/>
        </w:rPr>
        <w:t xml:space="preserve">亿元市值以下的个股，国内市场的这种“小而美”究竟是什么原因造成的呢？是否会持续很长时间呢？ </w:t>
      </w:r>
    </w:p>
    <w:p w:rsidR="009249CE" w:rsidRPr="009249CE" w:rsidRDefault="009249CE" w:rsidP="009249CE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sz w:val="24"/>
          <w:szCs w:val="24"/>
        </w:rPr>
        <w:t>通过国际比较，我们看到欧美等成熟市场，甚至包括新兴市场中的香港，大多数小盘股都是处于市值很小、关注度很低的情况，估值水平也很低。而无论是传统行业还是新兴行业，基本上都有一些大公司能够持续成长，并没有出现如同国内市场类似的“小而美”的情况。那么国内市场这样的不成熟特征具体是由什么原因造成的呢？</w:t>
      </w:r>
    </w:p>
    <w:p w:rsidR="009249CE" w:rsidRPr="009249CE" w:rsidRDefault="009249CE" w:rsidP="009249CE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sz w:val="24"/>
          <w:szCs w:val="24"/>
        </w:rPr>
        <w:t>首先，国内市场的深度和广度都远未达到成熟市场的规模。衡量股票市场深度的重要指标是经济总量和股市市值的比重。比如美国，截止</w:t>
      </w:r>
      <w:r w:rsidRPr="009249CE">
        <w:rPr>
          <w:rFonts w:ascii="仿宋" w:eastAsia="仿宋" w:hAnsi="仿宋"/>
          <w:sz w:val="24"/>
          <w:szCs w:val="24"/>
        </w:rPr>
        <w:t>2013</w:t>
      </w:r>
      <w:r w:rsidRPr="009249CE">
        <w:rPr>
          <w:rFonts w:ascii="仿宋" w:eastAsia="仿宋" w:hAnsi="仿宋" w:hint="eastAsia"/>
          <w:sz w:val="24"/>
          <w:szCs w:val="24"/>
        </w:rPr>
        <w:t>年底的股票市场规模为</w:t>
      </w:r>
      <w:r w:rsidRPr="009249CE">
        <w:rPr>
          <w:rFonts w:ascii="仿宋" w:eastAsia="仿宋" w:hAnsi="仿宋"/>
          <w:sz w:val="24"/>
          <w:szCs w:val="24"/>
        </w:rPr>
        <w:t>23.5</w:t>
      </w:r>
      <w:r w:rsidRPr="009249CE">
        <w:rPr>
          <w:rFonts w:ascii="仿宋" w:eastAsia="仿宋" w:hAnsi="仿宋" w:hint="eastAsia"/>
          <w:sz w:val="24"/>
          <w:szCs w:val="24"/>
        </w:rPr>
        <w:t>万亿美元，</w:t>
      </w:r>
      <w:r w:rsidRPr="009249CE">
        <w:rPr>
          <w:rFonts w:ascii="仿宋" w:eastAsia="仿宋" w:hAnsi="仿宋"/>
          <w:sz w:val="24"/>
          <w:szCs w:val="24"/>
        </w:rPr>
        <w:t>GDP</w:t>
      </w:r>
      <w:r w:rsidRPr="009249CE">
        <w:rPr>
          <w:rFonts w:ascii="仿宋" w:eastAsia="仿宋" w:hAnsi="仿宋" w:hint="eastAsia"/>
          <w:sz w:val="24"/>
          <w:szCs w:val="24"/>
        </w:rPr>
        <w:t>为</w:t>
      </w:r>
      <w:r w:rsidRPr="009249CE">
        <w:rPr>
          <w:rFonts w:ascii="仿宋" w:eastAsia="仿宋" w:hAnsi="仿宋"/>
          <w:sz w:val="24"/>
          <w:szCs w:val="24"/>
        </w:rPr>
        <w:t>16.5</w:t>
      </w:r>
      <w:r w:rsidRPr="009249CE">
        <w:rPr>
          <w:rFonts w:ascii="仿宋" w:eastAsia="仿宋" w:hAnsi="仿宋" w:hint="eastAsia"/>
          <w:sz w:val="24"/>
          <w:szCs w:val="24"/>
        </w:rPr>
        <w:t>万亿美元，二者的比值为</w:t>
      </w:r>
      <w:r w:rsidRPr="009249CE">
        <w:rPr>
          <w:rFonts w:ascii="仿宋" w:eastAsia="仿宋" w:hAnsi="仿宋"/>
          <w:sz w:val="24"/>
          <w:szCs w:val="24"/>
        </w:rPr>
        <w:t>1.4</w:t>
      </w:r>
      <w:r w:rsidRPr="009249CE">
        <w:rPr>
          <w:rFonts w:ascii="仿宋" w:eastAsia="仿宋" w:hAnsi="仿宋" w:hint="eastAsia"/>
          <w:sz w:val="24"/>
          <w:szCs w:val="24"/>
        </w:rPr>
        <w:t>：</w:t>
      </w:r>
      <w:r w:rsidRPr="009249CE">
        <w:rPr>
          <w:rFonts w:ascii="仿宋" w:eastAsia="仿宋" w:hAnsi="仿宋"/>
          <w:sz w:val="24"/>
          <w:szCs w:val="24"/>
        </w:rPr>
        <w:t>1</w:t>
      </w:r>
      <w:r w:rsidRPr="009249CE">
        <w:rPr>
          <w:rFonts w:ascii="仿宋" w:eastAsia="仿宋" w:hAnsi="仿宋" w:hint="eastAsia"/>
          <w:sz w:val="24"/>
          <w:szCs w:val="24"/>
        </w:rPr>
        <w:t>。</w:t>
      </w:r>
      <w:r w:rsidRPr="009249CE">
        <w:rPr>
          <w:rFonts w:ascii="仿宋" w:eastAsia="仿宋" w:hAnsi="仿宋"/>
          <w:sz w:val="24"/>
          <w:szCs w:val="24"/>
        </w:rPr>
        <w:t>2013</w:t>
      </w:r>
      <w:r w:rsidRPr="009249CE">
        <w:rPr>
          <w:rFonts w:ascii="仿宋" w:eastAsia="仿宋" w:hAnsi="仿宋" w:hint="eastAsia"/>
          <w:sz w:val="24"/>
          <w:szCs w:val="24"/>
        </w:rPr>
        <w:t>年，中国</w:t>
      </w:r>
      <w:r w:rsidRPr="009249CE">
        <w:rPr>
          <w:rFonts w:ascii="仿宋" w:eastAsia="仿宋" w:hAnsi="仿宋"/>
          <w:sz w:val="24"/>
          <w:szCs w:val="24"/>
        </w:rPr>
        <w:t>GDP</w:t>
      </w:r>
      <w:r w:rsidRPr="009249CE">
        <w:rPr>
          <w:rFonts w:ascii="仿宋" w:eastAsia="仿宋" w:hAnsi="仿宋" w:hint="eastAsia"/>
          <w:sz w:val="24"/>
          <w:szCs w:val="24"/>
        </w:rPr>
        <w:t>的总规模为</w:t>
      </w:r>
      <w:r w:rsidRPr="009249CE">
        <w:rPr>
          <w:rFonts w:ascii="仿宋" w:eastAsia="仿宋" w:hAnsi="仿宋"/>
          <w:sz w:val="24"/>
          <w:szCs w:val="24"/>
        </w:rPr>
        <w:t>8.5</w:t>
      </w:r>
      <w:r w:rsidRPr="009249CE">
        <w:rPr>
          <w:rFonts w:ascii="仿宋" w:eastAsia="仿宋" w:hAnsi="仿宋" w:hint="eastAsia"/>
          <w:sz w:val="24"/>
          <w:szCs w:val="24"/>
        </w:rPr>
        <w:t>万亿美元，股票市场规模为</w:t>
      </w:r>
      <w:r w:rsidRPr="009249CE">
        <w:rPr>
          <w:rFonts w:ascii="仿宋" w:eastAsia="仿宋" w:hAnsi="仿宋"/>
          <w:sz w:val="24"/>
          <w:szCs w:val="24"/>
        </w:rPr>
        <w:t>3.4</w:t>
      </w:r>
      <w:r w:rsidRPr="009249CE">
        <w:rPr>
          <w:rFonts w:ascii="仿宋" w:eastAsia="仿宋" w:hAnsi="仿宋" w:hint="eastAsia"/>
          <w:sz w:val="24"/>
          <w:szCs w:val="24"/>
        </w:rPr>
        <w:t>万亿美元，二者之比在</w:t>
      </w:r>
      <w:r w:rsidRPr="009249CE">
        <w:rPr>
          <w:rFonts w:ascii="仿宋" w:eastAsia="仿宋" w:hAnsi="仿宋"/>
          <w:sz w:val="24"/>
          <w:szCs w:val="24"/>
        </w:rPr>
        <w:t>0.4</w:t>
      </w:r>
      <w:r w:rsidRPr="009249CE">
        <w:rPr>
          <w:rFonts w:ascii="仿宋" w:eastAsia="仿宋" w:hAnsi="仿宋" w:hint="eastAsia"/>
          <w:sz w:val="24"/>
          <w:szCs w:val="24"/>
        </w:rPr>
        <w:t>。相比之下，巨大的差距导致市场的投资理念、投资风格和估值体系都非常不同。作为机构投资者，过多依赖于传统经济学理论的估值体系和投资理念，这可能在某种程度上本身就是不合理的。作为一个新兴市场，国内的股票市场无论在制度化建设、投资者结构、上市公司行为还是估值体系上，都有着深刻的阶段性特征。短期而言，</w:t>
      </w:r>
      <w:r w:rsidRPr="009249CE">
        <w:rPr>
          <w:rFonts w:ascii="仿宋" w:eastAsia="仿宋" w:hAnsi="仿宋"/>
          <w:sz w:val="24"/>
          <w:szCs w:val="24"/>
        </w:rPr>
        <w:t>IPO</w:t>
      </w:r>
      <w:r w:rsidR="006324D4">
        <w:rPr>
          <w:rFonts w:ascii="仿宋" w:eastAsia="仿宋" w:hAnsi="仿宋" w:hint="eastAsia"/>
          <w:sz w:val="24"/>
          <w:szCs w:val="24"/>
        </w:rPr>
        <w:t>、</w:t>
      </w:r>
      <w:r w:rsidRPr="009249CE">
        <w:rPr>
          <w:rFonts w:ascii="仿宋" w:eastAsia="仿宋" w:hAnsi="仿宋" w:hint="eastAsia"/>
          <w:sz w:val="24"/>
          <w:szCs w:val="24"/>
        </w:rPr>
        <w:t>股东套现等行为导致股票供给源源不断，而投资者很难有稳定的、与巨大波</w:t>
      </w:r>
      <w:r w:rsidR="00AA0033">
        <w:rPr>
          <w:rFonts w:ascii="仿宋" w:eastAsia="仿宋" w:hAnsi="仿宋" w:hint="eastAsia"/>
          <w:sz w:val="24"/>
          <w:szCs w:val="24"/>
        </w:rPr>
        <w:t>动的风险所相称的回报，使得进入市场的资金严重不足。因此，短期内</w:t>
      </w:r>
      <w:r w:rsidRPr="009249CE">
        <w:rPr>
          <w:rFonts w:ascii="仿宋" w:eastAsia="仿宋" w:hAnsi="仿宋" w:hint="eastAsia"/>
          <w:sz w:val="24"/>
          <w:szCs w:val="24"/>
        </w:rPr>
        <w:t>无论是成长股抑或周期股，无论是质地如何优良的公司，可能在股票市场上都会面临“成长的烦恼”，也就是说市值到了一定的规模，就无法突破天花板。</w:t>
      </w:r>
    </w:p>
    <w:p w:rsidR="009249CE" w:rsidRPr="009249CE" w:rsidRDefault="009249CE" w:rsidP="009249CE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9249CE">
        <w:rPr>
          <w:rFonts w:ascii="仿宋" w:eastAsia="仿宋" w:hAnsi="仿宋" w:hint="eastAsia"/>
          <w:sz w:val="24"/>
          <w:szCs w:val="24"/>
        </w:rPr>
        <w:t>要打破这种循环，必然是一套系统化的工程。短期内，“沪港通”等制度性的革</w:t>
      </w:r>
      <w:r w:rsidRPr="009249CE">
        <w:rPr>
          <w:rFonts w:ascii="仿宋" w:eastAsia="仿宋" w:hAnsi="仿宋" w:hint="eastAsia"/>
          <w:sz w:val="24"/>
          <w:szCs w:val="24"/>
        </w:rPr>
        <w:lastRenderedPageBreak/>
        <w:t>新，可能会带来增量资金，有利于这些明显低估的公司得到估值修复。但如果这一套系统化的工程不继续得到修复和改良，恐怕海外资金也不能持续充当“雷锋”的角色。因此，可能市场必须关注长期的制度建设。股票市场的存在根源，是在于促进资源更有效率地配置。如果长此以往，这些优秀的基石企业无法得到相应的资源配置，股票市场的存在也就没有任何意义！</w:t>
      </w:r>
    </w:p>
    <w:p w:rsidR="00E55B5F" w:rsidRPr="003E7975" w:rsidRDefault="00E55B5F" w:rsidP="009249CE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B7035E" w:rsidRPr="00A64CAA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A64CAA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F620EF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48412C">
        <w:rPr>
          <w:rFonts w:ascii="仿宋" w:eastAsia="仿宋" w:hAnsi="仿宋" w:hint="eastAsia"/>
          <w:b/>
          <w:color w:val="082F6B"/>
          <w:sz w:val="36"/>
          <w:szCs w:val="36"/>
        </w:rPr>
        <w:t>21</w:t>
      </w:r>
      <w:r w:rsidR="005F54DF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36112F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48412C">
        <w:rPr>
          <w:rFonts w:ascii="仿宋" w:eastAsia="仿宋" w:hAnsi="仿宋" w:hint="eastAsia"/>
          <w:b/>
          <w:color w:val="082F6B"/>
          <w:sz w:val="36"/>
          <w:szCs w:val="36"/>
        </w:rPr>
        <w:t>25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F51AFC" w:rsidRDefault="00B7035E" w:rsidP="00157DF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A64CAA">
        <w:rPr>
          <w:rFonts w:ascii="仿宋" w:eastAsia="仿宋" w:hAnsi="仿宋"/>
          <w:color w:val="1F497D"/>
          <w:szCs w:val="21"/>
          <w:u w:val="single"/>
        </w:rPr>
        <w:br/>
      </w:r>
      <w:r w:rsidR="00D20F85" w:rsidRPr="00711239">
        <w:rPr>
          <w:rFonts w:ascii="仿宋" w:eastAsia="仿宋" w:hAnsi="仿宋" w:hint="eastAsia"/>
          <w:sz w:val="24"/>
          <w:szCs w:val="24"/>
          <w:lang w:val="en-GB"/>
        </w:rPr>
        <w:t>本</w:t>
      </w:r>
      <w:r w:rsidR="00C60A0C" w:rsidRPr="00711239">
        <w:rPr>
          <w:rFonts w:ascii="仿宋" w:eastAsia="仿宋" w:hAnsi="仿宋" w:hint="eastAsia"/>
          <w:sz w:val="24"/>
          <w:szCs w:val="24"/>
          <w:lang w:val="en-GB"/>
        </w:rPr>
        <w:t>周</w:t>
      </w:r>
      <w:r w:rsidR="00BC393D" w:rsidRPr="00711239">
        <w:rPr>
          <w:rFonts w:ascii="仿宋" w:eastAsia="仿宋" w:hAnsi="仿宋" w:hint="eastAsia"/>
          <w:sz w:val="24"/>
          <w:szCs w:val="24"/>
          <w:lang w:val="en-GB"/>
        </w:rPr>
        <w:t>上</w:t>
      </w:r>
      <w:r w:rsid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686CEA">
        <w:rPr>
          <w:rFonts w:ascii="仿宋" w:eastAsia="仿宋" w:hAnsi="仿宋" w:hint="eastAsia"/>
          <w:sz w:val="24"/>
          <w:szCs w:val="24"/>
          <w:lang w:val="en-GB"/>
        </w:rPr>
        <w:t>综指</w:t>
      </w:r>
      <w:r w:rsidR="0081265B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43B9F" w:rsidRPr="005607A7">
        <w:rPr>
          <w:rFonts w:ascii="仿宋" w:eastAsia="仿宋" w:hAnsi="仿宋"/>
          <w:sz w:val="24"/>
          <w:szCs w:val="24"/>
          <w:lang w:val="en-GB"/>
        </w:rPr>
        <w:t>3.28%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，深</w:t>
      </w:r>
      <w:r w:rsidR="00E60780" w:rsidRP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成指</w:t>
      </w:r>
      <w:r w:rsidR="0081265B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43B9F" w:rsidRPr="005607A7">
        <w:rPr>
          <w:rFonts w:ascii="仿宋" w:eastAsia="仿宋" w:hAnsi="仿宋"/>
          <w:sz w:val="24"/>
          <w:szCs w:val="24"/>
          <w:lang w:val="en-GB"/>
        </w:rPr>
        <w:t>4.39%</w:t>
      </w:r>
      <w:r w:rsidR="00BC393D" w:rsidRPr="00286E85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中小板指数</w:t>
      </w:r>
      <w:r w:rsidR="00543B9F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43B9F" w:rsidRPr="005607A7">
        <w:rPr>
          <w:rFonts w:ascii="仿宋" w:eastAsia="仿宋" w:hAnsi="仿宋"/>
          <w:sz w:val="24"/>
          <w:szCs w:val="24"/>
          <w:lang w:val="en-GB"/>
        </w:rPr>
        <w:t>0.21%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，沪深两市</w:t>
      </w:r>
      <w:r w:rsidR="00CD4CA2">
        <w:rPr>
          <w:rFonts w:ascii="仿宋" w:eastAsia="仿宋" w:hAnsi="仿宋" w:hint="eastAsia"/>
          <w:sz w:val="24"/>
          <w:szCs w:val="24"/>
          <w:lang w:val="en-GB"/>
        </w:rPr>
        <w:t>成交量</w:t>
      </w:r>
      <w:r w:rsidR="0022505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543B9F" w:rsidRPr="005607A7">
        <w:rPr>
          <w:rFonts w:ascii="仿宋" w:eastAsia="仿宋" w:hAnsi="仿宋"/>
          <w:sz w:val="24"/>
          <w:szCs w:val="24"/>
          <w:lang w:val="en-GB"/>
        </w:rPr>
        <w:t>10,771.57</w:t>
      </w:r>
      <w:r w:rsidR="00F26EFC">
        <w:rPr>
          <w:rFonts w:ascii="仿宋" w:eastAsia="仿宋" w:hAnsi="仿宋" w:hint="eastAsia"/>
          <w:sz w:val="24"/>
          <w:szCs w:val="24"/>
          <w:lang w:val="en-GB"/>
        </w:rPr>
        <w:t>亿元</w:t>
      </w:r>
      <w:r w:rsidR="00543B9F">
        <w:rPr>
          <w:rFonts w:ascii="仿宋" w:eastAsia="仿宋" w:hAnsi="仿宋" w:hint="eastAsia"/>
          <w:sz w:val="24"/>
          <w:szCs w:val="24"/>
          <w:lang w:val="en-GB"/>
        </w:rPr>
        <w:t>，比上周略有增加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2B6D91" w:rsidRPr="002B6D91">
        <w:rPr>
          <w:rFonts w:ascii="仿宋" w:eastAsia="仿宋" w:hAnsi="仿宋" w:hint="eastAsia"/>
          <w:sz w:val="24"/>
          <w:szCs w:val="24"/>
          <w:lang w:val="en-GB"/>
        </w:rPr>
        <w:t>采掘、有色金属、非银金融</w:t>
      </w:r>
      <w:r w:rsidR="004B2354">
        <w:rPr>
          <w:rFonts w:ascii="仿宋" w:eastAsia="仿宋" w:hAnsi="仿宋" w:hint="eastAsia"/>
          <w:sz w:val="24"/>
          <w:szCs w:val="24"/>
          <w:lang w:val="en-GB"/>
        </w:rPr>
        <w:t>行业涨幅最大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F21C4B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4B2354">
        <w:rPr>
          <w:rFonts w:ascii="仿宋" w:eastAsia="仿宋" w:hAnsi="仿宋" w:hint="eastAsia"/>
          <w:sz w:val="24"/>
          <w:szCs w:val="24"/>
          <w:lang w:val="en-GB"/>
        </w:rPr>
        <w:t>分别</w:t>
      </w:r>
      <w:r w:rsidR="001E20F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2B6D91" w:rsidRPr="002B6D91">
        <w:rPr>
          <w:rFonts w:ascii="仿宋" w:eastAsia="仿宋" w:hAnsi="仿宋" w:hint="eastAsia"/>
          <w:sz w:val="24"/>
          <w:szCs w:val="24"/>
          <w:lang w:val="en-GB"/>
        </w:rPr>
        <w:t>6.97%、6.44%、6.37%</w:t>
      </w:r>
      <w:r w:rsidR="00FA2823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2B6D91" w:rsidRPr="002B6D91">
        <w:rPr>
          <w:rFonts w:ascii="仿宋" w:eastAsia="仿宋" w:hAnsi="仿宋" w:hint="eastAsia"/>
          <w:sz w:val="24"/>
          <w:szCs w:val="24"/>
          <w:lang w:val="en-GB"/>
        </w:rPr>
        <w:t>电子、传媒、轻工制造</w:t>
      </w:r>
      <w:r w:rsidR="004D0EF8" w:rsidRPr="004D0EF8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D076C7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461A67" w:rsidRPr="00461A67">
        <w:rPr>
          <w:rFonts w:ascii="仿宋" w:eastAsia="仿宋" w:hAnsi="仿宋" w:hint="eastAsia"/>
          <w:sz w:val="24"/>
          <w:szCs w:val="24"/>
          <w:lang w:val="en-GB"/>
        </w:rPr>
        <w:t>分别下跌</w:t>
      </w:r>
      <w:r w:rsidR="002B6D91" w:rsidRPr="002B6D91">
        <w:rPr>
          <w:rFonts w:ascii="仿宋" w:eastAsia="仿宋" w:hAnsi="仿宋" w:hint="eastAsia"/>
          <w:sz w:val="24"/>
          <w:szCs w:val="24"/>
          <w:lang w:val="en-GB"/>
        </w:rPr>
        <w:t>1.09%、0.62%、0.33%</w:t>
      </w:r>
      <w:r w:rsidR="009F6D3A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从行业换手率</w:t>
      </w:r>
      <w:r w:rsidR="00684ED0">
        <w:rPr>
          <w:rFonts w:ascii="仿宋" w:eastAsia="仿宋" w:hAnsi="仿宋" w:hint="eastAsia"/>
          <w:sz w:val="24"/>
          <w:szCs w:val="24"/>
          <w:lang w:val="en-GB"/>
        </w:rPr>
        <w:t>来看，</w:t>
      </w:r>
      <w:r w:rsidR="002E7F8A" w:rsidRPr="002E7F8A">
        <w:rPr>
          <w:rFonts w:ascii="仿宋" w:eastAsia="仿宋" w:hAnsi="仿宋" w:hint="eastAsia"/>
          <w:sz w:val="24"/>
          <w:szCs w:val="24"/>
          <w:lang w:val="en-GB"/>
        </w:rPr>
        <w:t>有色金属和农林牧渔</w:t>
      </w:r>
      <w:r w:rsidR="002E7F8A">
        <w:rPr>
          <w:rFonts w:ascii="仿宋" w:eastAsia="仿宋" w:hAnsi="仿宋" w:hint="eastAsia"/>
          <w:sz w:val="24"/>
          <w:szCs w:val="24"/>
          <w:lang w:val="en-GB"/>
        </w:rPr>
        <w:t>行业的</w:t>
      </w:r>
      <w:r w:rsidR="00471FDC">
        <w:rPr>
          <w:rFonts w:ascii="仿宋" w:eastAsia="仿宋" w:hAnsi="仿宋" w:hint="eastAsia"/>
          <w:sz w:val="24"/>
          <w:szCs w:val="24"/>
          <w:lang w:val="en-GB"/>
        </w:rPr>
        <w:t>换手率</w:t>
      </w:r>
      <w:r w:rsidR="00E709F1">
        <w:rPr>
          <w:rFonts w:ascii="仿宋" w:eastAsia="仿宋" w:hAnsi="仿宋" w:hint="eastAsia"/>
          <w:sz w:val="24"/>
          <w:szCs w:val="24"/>
          <w:lang w:val="en-GB"/>
        </w:rPr>
        <w:t>最大，换手率</w:t>
      </w:r>
      <w:r w:rsidR="0069213E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586C68">
        <w:rPr>
          <w:rFonts w:ascii="仿宋" w:eastAsia="仿宋" w:hAnsi="仿宋" w:hint="eastAsia"/>
          <w:sz w:val="24"/>
          <w:szCs w:val="24"/>
          <w:lang w:val="en-GB"/>
        </w:rPr>
        <w:t>9</w:t>
      </w:r>
      <w:r w:rsidR="0067305F" w:rsidRPr="0067305F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；从风格特征来看</w:t>
      </w:r>
      <w:r w:rsidR="00EC004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F00F1E">
        <w:rPr>
          <w:rFonts w:ascii="仿宋" w:eastAsia="仿宋" w:hAnsi="仿宋" w:hint="eastAsia"/>
          <w:sz w:val="24"/>
          <w:szCs w:val="24"/>
          <w:lang w:val="en-GB"/>
        </w:rPr>
        <w:t>低市盈率</w:t>
      </w:r>
      <w:r w:rsidR="00A75764">
        <w:rPr>
          <w:rFonts w:ascii="仿宋" w:eastAsia="仿宋" w:hAnsi="仿宋" w:hint="eastAsia"/>
          <w:sz w:val="24"/>
          <w:szCs w:val="24"/>
          <w:lang w:val="en-GB"/>
        </w:rPr>
        <w:t>涨幅最大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6A0128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0F760A">
        <w:rPr>
          <w:rFonts w:ascii="仿宋" w:eastAsia="仿宋" w:hAnsi="仿宋" w:hint="eastAsia"/>
          <w:sz w:val="24"/>
          <w:szCs w:val="24"/>
          <w:lang w:val="en-GB"/>
        </w:rPr>
        <w:t>4.74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3A198C">
        <w:rPr>
          <w:rFonts w:ascii="仿宋" w:eastAsia="仿宋" w:hAnsi="仿宋" w:hint="eastAsia"/>
          <w:sz w:val="24"/>
          <w:szCs w:val="24"/>
          <w:lang w:val="en-GB"/>
        </w:rPr>
        <w:t>高市净率指数</w:t>
      </w:r>
      <w:r w:rsidR="00F00F1E">
        <w:rPr>
          <w:rFonts w:ascii="仿宋" w:eastAsia="仿宋" w:hAnsi="仿宋" w:hint="eastAsia"/>
          <w:sz w:val="24"/>
          <w:szCs w:val="24"/>
          <w:lang w:val="en-GB"/>
        </w:rPr>
        <w:t>涨幅最小</w:t>
      </w:r>
      <w:r w:rsidR="00493A5A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C2681D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57556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C2681D">
        <w:rPr>
          <w:rFonts w:ascii="仿宋" w:eastAsia="仿宋" w:hAnsi="仿宋" w:hint="eastAsia"/>
          <w:sz w:val="24"/>
          <w:szCs w:val="24"/>
          <w:lang w:val="en-GB"/>
        </w:rPr>
        <w:t>0.10</w:t>
      </w:r>
      <w:r w:rsidR="001769D6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A64CAA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A64CAA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4"/>
        <w:gridCol w:w="1236"/>
        <w:gridCol w:w="1134"/>
        <w:gridCol w:w="426"/>
        <w:gridCol w:w="3543"/>
        <w:gridCol w:w="1315"/>
      </w:tblGrid>
      <w:tr w:rsidR="00B7035E" w:rsidRPr="00A64CAA" w:rsidTr="00E85D1E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236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成交金额（亿元）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0C0AA6" w:rsidRPr="00504684" w:rsidTr="00E85D1E">
        <w:trPr>
          <w:trHeight w:val="64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3.28%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5,212.0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284,743.94</w:t>
            </w:r>
          </w:p>
        </w:tc>
      </w:tr>
      <w:tr w:rsidR="000C0AA6" w:rsidRPr="00504684" w:rsidTr="00E85D1E">
        <w:trPr>
          <w:trHeight w:val="7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4.71%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2,519.5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209,826.73</w:t>
            </w:r>
          </w:p>
        </w:tc>
      </w:tr>
      <w:tr w:rsidR="000C0AA6" w:rsidRPr="00504684" w:rsidTr="00E85D1E">
        <w:trPr>
          <w:trHeight w:val="2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5.29%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1,210.0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11.86</w:t>
            </w:r>
          </w:p>
        </w:tc>
      </w:tr>
      <w:tr w:rsidR="000C0AA6" w:rsidRPr="00504684" w:rsidTr="00E85D1E">
        <w:trPr>
          <w:trHeight w:val="2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4.45%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3,656.7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11.42</w:t>
            </w:r>
          </w:p>
        </w:tc>
      </w:tr>
      <w:tr w:rsidR="000C0AA6" w:rsidRPr="00504684" w:rsidTr="00E85D1E">
        <w:trPr>
          <w:trHeight w:val="2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4.39%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683.8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1.63</w:t>
            </w:r>
          </w:p>
        </w:tc>
      </w:tr>
      <w:tr w:rsidR="000C0AA6" w:rsidRPr="00504684" w:rsidTr="00E85D1E">
        <w:trPr>
          <w:trHeight w:val="2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3.84%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1,332.6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1.55</w:t>
            </w:r>
          </w:p>
        </w:tc>
      </w:tr>
      <w:tr w:rsidR="000C0AA6" w:rsidRPr="00504684" w:rsidTr="00E85D1E">
        <w:trPr>
          <w:trHeight w:val="20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0.21%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2,293.6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6.70</w:t>
            </w:r>
          </w:p>
        </w:tc>
      </w:tr>
      <w:tr w:rsidR="000C0AA6" w:rsidRPr="00504684" w:rsidTr="00157DFB">
        <w:trPr>
          <w:trHeight w:val="138"/>
        </w:trPr>
        <w:tc>
          <w:tcPr>
            <w:tcW w:w="148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236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2.81%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6,419.2</w:t>
            </w:r>
          </w:p>
        </w:tc>
        <w:tc>
          <w:tcPr>
            <w:tcW w:w="426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0C0AA6" w:rsidRPr="00A64CAA" w:rsidRDefault="000C0AA6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10,771.57</w:t>
            </w:r>
          </w:p>
        </w:tc>
      </w:tr>
    </w:tbl>
    <w:p w:rsidR="00092EA9" w:rsidRDefault="00092EA9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A64CAA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6.97%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7.37%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1.75%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4.36%</w:t>
            </w:r>
          </w:p>
        </w:tc>
      </w:tr>
      <w:tr w:rsidR="000C0AA6" w:rsidRPr="00D21B79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6.44%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10.29%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1.73%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3.77%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lastRenderedPageBreak/>
              <w:t>非银金融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6.37%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.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1.51%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7.20%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4.91%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6.85%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1.36%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4.77%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4.61%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6.50%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1.22%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7.63%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3.60%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0.60%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1.20%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7.39%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3.55%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3.08%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1.20%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7.85%</w:t>
            </w:r>
          </w:p>
        </w:tc>
      </w:tr>
      <w:tr w:rsidR="000C0AA6" w:rsidRPr="00D21B79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3.43%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3.67%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0.70%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7.17%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3.13%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4.42%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0.26%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5.45%</w:t>
            </w:r>
          </w:p>
        </w:tc>
      </w:tr>
      <w:tr w:rsidR="000C0AA6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7.55%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0.10%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7.76%</w:t>
            </w:r>
          </w:p>
        </w:tc>
      </w:tr>
      <w:tr w:rsidR="000C0AA6" w:rsidRPr="00D21B79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2.15%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2.75%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C0AA6">
              <w:rPr>
                <w:rFonts w:ascii="仿宋" w:eastAsia="仿宋" w:hAnsi="仿宋" w:cs="Arial"/>
              </w:rPr>
              <w:t>0.16%)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5.20%</w:t>
            </w:r>
          </w:p>
        </w:tc>
      </w:tr>
      <w:tr w:rsidR="000C0AA6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2.11%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2.51%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C0AA6">
              <w:rPr>
                <w:rFonts w:ascii="仿宋" w:eastAsia="仿宋" w:hAnsi="仿宋" w:cs="Arial"/>
              </w:rPr>
              <w:t>0.33%)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8.38%</w:t>
            </w:r>
          </w:p>
        </w:tc>
      </w:tr>
      <w:tr w:rsidR="000C0AA6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1.94%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9.08%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C0AA6">
              <w:rPr>
                <w:rFonts w:ascii="仿宋" w:eastAsia="仿宋" w:hAnsi="仿宋" w:cs="Arial"/>
              </w:rPr>
              <w:t>0.62%)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6.06%</w:t>
            </w:r>
          </w:p>
        </w:tc>
      </w:tr>
      <w:tr w:rsidR="000C0AA6" w:rsidRPr="00D21B79" w:rsidTr="00BD38B7">
        <w:tc>
          <w:tcPr>
            <w:tcW w:w="1984" w:type="dxa"/>
            <w:tcBorders>
              <w:lef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1.78%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6.40%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C0AA6" w:rsidRPr="00A64CAA" w:rsidRDefault="000C0AA6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0C0AA6">
              <w:rPr>
                <w:rFonts w:ascii="仿宋" w:eastAsia="仿宋" w:hAnsi="仿宋" w:cs="Arial"/>
              </w:rPr>
              <w:t>1.09%)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C0AA6" w:rsidRPr="000C0AA6" w:rsidRDefault="000C0AA6" w:rsidP="000C0AA6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C0AA6">
              <w:rPr>
                <w:rFonts w:ascii="仿宋" w:eastAsia="仿宋" w:hAnsi="仿宋" w:cs="Arial"/>
              </w:rPr>
              <w:t>8.05%</w:t>
            </w:r>
          </w:p>
        </w:tc>
      </w:tr>
    </w:tbl>
    <w:p w:rsidR="00897AB9" w:rsidRDefault="00897AB9" w:rsidP="00897AB9">
      <w:pPr>
        <w:widowControl/>
        <w:jc w:val="left"/>
        <w:rPr>
          <w:rFonts w:ascii="仿宋" w:eastAsia="仿宋" w:hAnsi="仿宋"/>
          <w:b/>
          <w:color w:val="808080"/>
          <w:sz w:val="24"/>
          <w:szCs w:val="24"/>
        </w:rPr>
      </w:pPr>
    </w:p>
    <w:p w:rsidR="008670BC" w:rsidRPr="00CA5E9C" w:rsidRDefault="00B7035E" w:rsidP="00CA5E9C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CA5E9C" w:rsidRDefault="00CA5E9C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>
        <w:rPr>
          <w:rFonts w:ascii="仿宋" w:eastAsia="仿宋" w:hAnsi="仿宋"/>
          <w:noProof/>
          <w:color w:val="7F7F7F"/>
          <w:sz w:val="18"/>
          <w:szCs w:val="18"/>
        </w:rPr>
        <w:drawing>
          <wp:inline distT="0" distB="0" distL="0" distR="0">
            <wp:extent cx="4357996" cy="2921000"/>
            <wp:effectExtent l="19050" t="0" r="445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73" cy="292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8E" w:rsidRDefault="0007558E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A64CAA">
        <w:rPr>
          <w:rFonts w:ascii="仿宋" w:eastAsia="仿宋" w:hAnsi="仿宋" w:hint="eastAsia"/>
          <w:color w:val="7F7F7F"/>
          <w:sz w:val="18"/>
          <w:szCs w:val="18"/>
        </w:rPr>
        <w:t>数据来源：万得资讯</w:t>
      </w:r>
      <w:r>
        <w:rPr>
          <w:rFonts w:ascii="仿宋" w:eastAsia="仿宋" w:hAnsi="仿宋" w:hint="eastAsia"/>
          <w:color w:val="7F7F7F"/>
          <w:sz w:val="18"/>
          <w:szCs w:val="18"/>
        </w:rPr>
        <w:t>、</w:t>
      </w:r>
      <w:r w:rsidRPr="00A64CAA">
        <w:rPr>
          <w:rFonts w:ascii="仿宋" w:eastAsia="仿宋" w:hAnsi="仿宋" w:hint="eastAsia"/>
          <w:color w:val="7F7F7F"/>
          <w:sz w:val="18"/>
          <w:szCs w:val="18"/>
        </w:rPr>
        <w:t>交银施罗德基金   日期区间：</w:t>
      </w:r>
      <w:r>
        <w:rPr>
          <w:rFonts w:ascii="仿宋" w:eastAsia="仿宋" w:hAnsi="仿宋" w:hint="eastAsia"/>
          <w:color w:val="7F7F7F"/>
          <w:sz w:val="18"/>
          <w:szCs w:val="18"/>
        </w:rPr>
        <w:t>201</w:t>
      </w:r>
      <w:r w:rsidR="009704A2">
        <w:rPr>
          <w:rFonts w:ascii="仿宋" w:eastAsia="仿宋" w:hAnsi="仿宋" w:hint="eastAsia"/>
          <w:color w:val="7F7F7F"/>
          <w:sz w:val="18"/>
          <w:szCs w:val="18"/>
        </w:rPr>
        <w:t>40</w:t>
      </w:r>
      <w:r w:rsidR="002072EC">
        <w:rPr>
          <w:rFonts w:ascii="仿宋" w:eastAsia="仿宋" w:hAnsi="仿宋" w:hint="eastAsia"/>
          <w:color w:val="7F7F7F"/>
          <w:sz w:val="18"/>
          <w:szCs w:val="18"/>
        </w:rPr>
        <w:t>7</w:t>
      </w:r>
      <w:r w:rsidR="00CA5E9C">
        <w:rPr>
          <w:rFonts w:ascii="仿宋" w:eastAsia="仿宋" w:hAnsi="仿宋" w:hint="eastAsia"/>
          <w:color w:val="7F7F7F"/>
          <w:sz w:val="18"/>
          <w:szCs w:val="18"/>
        </w:rPr>
        <w:t>21</w:t>
      </w:r>
      <w:r w:rsidR="00A17215">
        <w:rPr>
          <w:rFonts w:ascii="仿宋" w:eastAsia="仿宋" w:hAnsi="仿宋" w:hint="eastAsia"/>
          <w:color w:val="7F7F7F"/>
          <w:sz w:val="18"/>
          <w:szCs w:val="18"/>
        </w:rPr>
        <w:t>-20140</w:t>
      </w:r>
      <w:r w:rsidR="00673856">
        <w:rPr>
          <w:rFonts w:ascii="仿宋" w:eastAsia="仿宋" w:hAnsi="仿宋" w:hint="eastAsia"/>
          <w:color w:val="7F7F7F"/>
          <w:sz w:val="18"/>
          <w:szCs w:val="18"/>
        </w:rPr>
        <w:t>7</w:t>
      </w:r>
      <w:r w:rsidR="00CA5E9C">
        <w:rPr>
          <w:rFonts w:ascii="仿宋" w:eastAsia="仿宋" w:hAnsi="仿宋" w:hint="eastAsia"/>
          <w:color w:val="7F7F7F"/>
          <w:sz w:val="18"/>
          <w:szCs w:val="18"/>
        </w:rPr>
        <w:t>25</w:t>
      </w:r>
    </w:p>
    <w:p w:rsidR="001769D6" w:rsidRDefault="001769D6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24"/>
          <w:szCs w:val="18"/>
        </w:rPr>
      </w:pPr>
    </w:p>
    <w:p w:rsidR="00180D04" w:rsidRPr="00E80D4A" w:rsidRDefault="00180D04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24"/>
          <w:szCs w:val="18"/>
        </w:rPr>
      </w:pPr>
    </w:p>
    <w:p w:rsidR="0013534F" w:rsidRPr="00B31859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B31859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B31859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B31859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 w:rsidRPr="00B31859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3303D4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A372EA">
        <w:rPr>
          <w:rFonts w:ascii="仿宋" w:eastAsia="仿宋" w:hAnsi="仿宋" w:hint="eastAsia"/>
          <w:b/>
          <w:color w:val="082F6B"/>
          <w:sz w:val="36"/>
          <w:szCs w:val="36"/>
        </w:rPr>
        <w:t>21</w:t>
      </w:r>
      <w:r w:rsidR="001769D6" w:rsidRPr="00B31859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FA7117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66576D">
        <w:rPr>
          <w:rFonts w:ascii="仿宋" w:eastAsia="仿宋" w:hAnsi="仿宋" w:hint="eastAsia"/>
          <w:b/>
          <w:color w:val="082F6B"/>
          <w:sz w:val="36"/>
          <w:szCs w:val="36"/>
        </w:rPr>
        <w:t>2</w:t>
      </w:r>
      <w:r w:rsidR="00A372EA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</w:p>
    <w:p w:rsidR="00B7035E" w:rsidRPr="00B31859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 w:rsidRPr="00B31859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9453A0" w:rsidRPr="003A399F" w:rsidRDefault="00F57AD5" w:rsidP="00B3185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F57AD5">
        <w:rPr>
          <w:rFonts w:ascii="仿宋" w:eastAsia="仿宋" w:hAnsi="仿宋" w:hint="eastAsia"/>
          <w:b/>
          <w:sz w:val="24"/>
          <w:szCs w:val="24"/>
        </w:rPr>
        <w:t>经济数据：</w:t>
      </w:r>
      <w:r w:rsidR="009453A0" w:rsidRPr="009453A0">
        <w:rPr>
          <w:rFonts w:ascii="仿宋" w:eastAsia="仿宋" w:hAnsi="仿宋" w:hint="eastAsia"/>
          <w:sz w:val="24"/>
          <w:szCs w:val="24"/>
        </w:rPr>
        <w:t>定向宽松持续，经济反弹存疑。7月汇丰PMI 由上月50.7 升至本月</w:t>
      </w:r>
      <w:r w:rsidR="009453A0" w:rsidRPr="009453A0">
        <w:rPr>
          <w:rFonts w:ascii="仿宋" w:eastAsia="仿宋" w:hAnsi="仿宋" w:hint="eastAsia"/>
          <w:sz w:val="24"/>
          <w:szCs w:val="24"/>
        </w:rPr>
        <w:lastRenderedPageBreak/>
        <w:t>52，超市场预期。汇丰PMI 显示制造业景气度似乎已进一步好转，但7月中观数据显示经济反弹存疑，地产虽销量略有改善，但库存仍高，7 月中上旬发电增速仅1.9%，创近3 年新低，工业增速或将大概率回落。</w:t>
      </w:r>
    </w:p>
    <w:p w:rsidR="009453A0" w:rsidRPr="009453A0" w:rsidRDefault="00D42D2A" w:rsidP="00B3185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9453A0" w:rsidRPr="009453A0">
        <w:rPr>
          <w:rFonts w:ascii="仿宋" w:eastAsia="仿宋" w:hAnsi="仿宋" w:hint="eastAsia"/>
          <w:b/>
          <w:sz w:val="24"/>
          <w:szCs w:val="24"/>
        </w:rPr>
        <w:t>通货膨胀及流动性：</w:t>
      </w:r>
      <w:r w:rsidR="009453A0" w:rsidRPr="009453A0">
        <w:rPr>
          <w:rFonts w:ascii="仿宋" w:eastAsia="仿宋" w:hAnsi="仿宋" w:hint="eastAsia"/>
          <w:sz w:val="24"/>
          <w:szCs w:val="24"/>
        </w:rPr>
        <w:t>物价方面，猪价反弹菜价回落，通胀短期稳定、长期风险</w:t>
      </w:r>
      <w:r w:rsidR="009453A0">
        <w:rPr>
          <w:rFonts w:ascii="仿宋" w:eastAsia="仿宋" w:hAnsi="仿宋" w:hint="eastAsia"/>
          <w:sz w:val="24"/>
          <w:szCs w:val="24"/>
        </w:rPr>
        <w:t>或</w:t>
      </w:r>
      <w:r w:rsidR="009453A0" w:rsidRPr="009453A0">
        <w:rPr>
          <w:rFonts w:ascii="仿宋" w:eastAsia="仿宋" w:hAnsi="仿宋" w:hint="eastAsia"/>
          <w:sz w:val="24"/>
          <w:szCs w:val="24"/>
        </w:rPr>
        <w:t>增加。国内流动性方面，因新股发行资金面趋紧，回购利率崇高，再加上正回购再次暂停，预示未来定向宽松</w:t>
      </w:r>
      <w:r w:rsidR="009453A0">
        <w:rPr>
          <w:rFonts w:ascii="仿宋" w:eastAsia="仿宋" w:hAnsi="仿宋" w:hint="eastAsia"/>
          <w:sz w:val="24"/>
          <w:szCs w:val="24"/>
        </w:rPr>
        <w:t>或</w:t>
      </w:r>
      <w:r w:rsidR="009453A0" w:rsidRPr="009453A0">
        <w:rPr>
          <w:rFonts w:ascii="仿宋" w:eastAsia="仿宋" w:hAnsi="仿宋" w:hint="eastAsia"/>
          <w:sz w:val="24"/>
          <w:szCs w:val="24"/>
        </w:rPr>
        <w:t>有望延续。</w:t>
      </w:r>
    </w:p>
    <w:p w:rsidR="009453A0" w:rsidRDefault="00D14D32" w:rsidP="00B3185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9453A0">
        <w:rPr>
          <w:rFonts w:ascii="仿宋" w:eastAsia="仿宋" w:hAnsi="仿宋" w:hint="eastAsia"/>
          <w:b/>
          <w:sz w:val="24"/>
          <w:szCs w:val="24"/>
        </w:rPr>
        <w:t>货币政策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="009453A0" w:rsidRPr="009453A0">
        <w:rPr>
          <w:rFonts w:ascii="仿宋" w:eastAsia="仿宋" w:hAnsi="仿宋" w:hint="eastAsia"/>
          <w:sz w:val="24"/>
          <w:szCs w:val="24"/>
        </w:rPr>
        <w:t>近期总理在国务院常务会议上强调要降低企业融资高成本，加大支农支小再贷款和再贴现力度，意味着定向宽松货币政策或将持续，未来再贷款及PSL 规模和范围仍有望继续扩大。稳增长目标意味着经济仍将继续加杠杆，只不过政府希望低利率加杠杆，这也意味着宽货币政策力度的加大，中期通胀和房价反弹风险或升温。</w:t>
      </w:r>
    </w:p>
    <w:p w:rsidR="00C65ABA" w:rsidRPr="00BB592D" w:rsidRDefault="00C65ABA" w:rsidP="0043175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B31859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7074A5" w:rsidRPr="007074A5">
        <w:rPr>
          <w:rFonts w:ascii="仿宋" w:eastAsia="仿宋" w:hAnsi="仿宋" w:hint="eastAsia"/>
          <w:b/>
          <w:sz w:val="24"/>
          <w:szCs w:val="24"/>
        </w:rPr>
        <w:t>海外市场：</w:t>
      </w:r>
      <w:r w:rsidR="007074A5" w:rsidRPr="007074A5">
        <w:rPr>
          <w:rFonts w:ascii="仿宋" w:eastAsia="仿宋" w:hAnsi="仿宋" w:hint="eastAsia"/>
          <w:sz w:val="24"/>
          <w:szCs w:val="24"/>
        </w:rPr>
        <w:t>美国通胀维持高位，英国释放加息信号。美国6月CPI 增长2.1%</w:t>
      </w:r>
      <w:r w:rsidR="004A0685">
        <w:rPr>
          <w:rFonts w:ascii="仿宋" w:eastAsia="仿宋" w:hAnsi="仿宋" w:hint="eastAsia"/>
          <w:sz w:val="24"/>
          <w:szCs w:val="24"/>
        </w:rPr>
        <w:t>，如果通胀持续走高，或</w:t>
      </w:r>
      <w:r w:rsidR="007074A5" w:rsidRPr="007074A5">
        <w:rPr>
          <w:rFonts w:ascii="仿宋" w:eastAsia="仿宋" w:hAnsi="仿宋" w:hint="eastAsia"/>
          <w:sz w:val="24"/>
          <w:szCs w:val="24"/>
        </w:rPr>
        <w:t>将对美联储主席耶伦的鸽派立场构成挑战。英国央行行长卡尼周三首次明确表示加息临近，并同时承诺加息时点将取决于经济数据，同时强调加息将循序渐进。</w:t>
      </w:r>
    </w:p>
    <w:p w:rsidR="00B7035E" w:rsidRPr="008A49E4" w:rsidRDefault="00C61E9D" w:rsidP="00B31859">
      <w:pPr>
        <w:widowControl/>
        <w:ind w:firstLineChars="2296" w:firstLine="737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jc w:val="center"/>
        <w:tblLook w:val="04A0"/>
      </w:tblPr>
      <w:tblGrid>
        <w:gridCol w:w="1282"/>
        <w:gridCol w:w="879"/>
        <w:gridCol w:w="437"/>
        <w:gridCol w:w="365"/>
        <w:gridCol w:w="858"/>
        <w:gridCol w:w="296"/>
        <w:gridCol w:w="696"/>
        <w:gridCol w:w="992"/>
        <w:gridCol w:w="13"/>
        <w:gridCol w:w="979"/>
        <w:gridCol w:w="1029"/>
        <w:gridCol w:w="420"/>
        <w:gridCol w:w="558"/>
        <w:gridCol w:w="992"/>
      </w:tblGrid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58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5975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21430" w:rsidP="00C43FA3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A64CAA" w:rsidRDefault="00A4569B" w:rsidP="00352804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A64CAA" w:rsidRDefault="00A21430" w:rsidP="00A2143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</w:tr>
      <w:tr w:rsidR="006601C1" w:rsidRPr="00A64CAA" w:rsidTr="00BD38B7">
        <w:trPr>
          <w:trHeight w:val="235"/>
          <w:jc w:val="center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9E12D0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0.6449</w:t>
            </w:r>
          </w:p>
        </w:tc>
        <w:tc>
          <w:tcPr>
            <w:tcW w:w="8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2.8367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0.45%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0.33%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-14.50%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-16.03%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-16.31%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202.56%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1.0337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2.6687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0.43%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4.32%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-9.96%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-11.74%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-12.78%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158.06%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2.8459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3.2509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0.85%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-10.60%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-7.10%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11.11%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227.68%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0.6763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0.6913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0.57%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-11.39%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-11.47%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-12.21%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-31.43%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1.0392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1.3792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3.44%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16.78%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43.32%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1.0314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1.3494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3.97%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15.26%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39.41%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1.655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1.849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8.24%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19.52%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15.36%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90.26%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1.1394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1.2184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-5.11%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-2.76%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21.65%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0.636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0.708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5.30%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-11.67%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-29.22%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交银治理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0.724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0.724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7.10%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5.08%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5.85%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-11.06%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-27.60%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交银主题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0.744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-6.30%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-3.50%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-27.13%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-24.56%</w:t>
            </w:r>
          </w:p>
        </w:tc>
      </w:tr>
      <w:tr w:rsidR="006601C1" w:rsidRPr="00A64CAA" w:rsidTr="00BD38B7">
        <w:trPr>
          <w:trHeight w:val="334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交银趋势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0.802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0.802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0.38%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-0.99%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-16.80%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-19.80%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4.64%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0.89%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15.81%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15.23%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1.172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1.172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1.91%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3.44%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17.67%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17.20%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交银深证300价值ETF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9.70%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5.20%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10.59%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-5.00%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1.094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1.79%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20.83%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1.082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4.84%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1.44%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19.26%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交银价值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0.938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0.938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9.07%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9.71%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-6.20%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1.136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1.226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4.26%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10.43%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交银资源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1.248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1.271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0.32%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3.83%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3.23%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14.13%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27.14%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交银荣安保本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1.116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1.26%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3.85%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11.92%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0.998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0.998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0.71%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2.15%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-2.25%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-1.67%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-0.20%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1.071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-0.28%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7.06%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交银纯债A/B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1.055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6.03%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6.23%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交银纯债C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1.045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1.051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3.26%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5.66%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3.98%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5.12%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2.73%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5.40%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6.03%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1.037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1.054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2.55%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5.12%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4.90%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5.43%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00173D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1.018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1.075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2.95%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1.65%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4.73%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7.56%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9173CC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交银成长30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0.988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0.988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1.75%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-3.33%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-1.20%</w:t>
            </w:r>
          </w:p>
        </w:tc>
      </w:tr>
      <w:tr w:rsidR="006601C1" w:rsidRPr="00630421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Pr="009173CC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4.91%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6.80%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9173CC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1.063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4.63%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6.30%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交银双息平衡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1.049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1.049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0.58%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5.32%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3.25%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4.90%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Default="006601C1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1.041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2.45%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2.86%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4.09%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6601C1" w:rsidRDefault="006601C1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2.10%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Default="006601C1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2.10%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8B08BB" w:rsidRDefault="006601C1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1.004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0.40%</w:t>
            </w:r>
          </w:p>
        </w:tc>
      </w:tr>
      <w:tr w:rsidR="006601C1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6601C1" w:rsidRPr="008B08BB" w:rsidRDefault="006601C1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1.005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1.005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6601C1" w:rsidRPr="006601C1" w:rsidRDefault="006601C1">
            <w:pPr>
              <w:jc w:val="center"/>
            </w:pPr>
            <w:r w:rsidRPr="006601C1">
              <w:rPr>
                <w:rFonts w:hint="eastAsia"/>
              </w:rPr>
              <w:t>0.50%</w:t>
            </w:r>
          </w:p>
        </w:tc>
      </w:tr>
      <w:tr w:rsidR="005E6CAD" w:rsidRPr="00A64CAA" w:rsidTr="00630421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9173CC" w:rsidRDefault="005E6CAD" w:rsidP="005E6CA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35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9173CC" w:rsidRDefault="00967A1A" w:rsidP="00B12C2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1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01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最新运作期年化收益率</w:t>
            </w:r>
          </w:p>
        </w:tc>
      </w:tr>
      <w:tr w:rsidR="008D6FEE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9E12D0" w:rsidRDefault="008D6FEE" w:rsidP="008D6FEE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交银货币A</w:t>
            </w:r>
          </w:p>
        </w:tc>
        <w:tc>
          <w:tcPr>
            <w:tcW w:w="1519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8D6FEE" w:rsidRDefault="00F00837" w:rsidP="008D6FEE">
            <w:pPr>
              <w:jc w:val="center"/>
            </w:pPr>
            <w:r w:rsidRPr="00F00837">
              <w:rPr>
                <w:rFonts w:hint="eastAsia"/>
              </w:rPr>
              <w:t>1.1277</w:t>
            </w:r>
          </w:p>
        </w:tc>
        <w:tc>
          <w:tcPr>
            <w:tcW w:w="1701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8D6FEE" w:rsidRDefault="00F00837" w:rsidP="008D6FEE">
            <w:pPr>
              <w:jc w:val="center"/>
            </w:pPr>
            <w:r w:rsidRPr="00F00837">
              <w:rPr>
                <w:rFonts w:hint="eastAsia"/>
              </w:rPr>
              <w:t>4.218 %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</w:tcPr>
          <w:p w:rsidR="008D6FEE" w:rsidRDefault="008D6FEE" w:rsidP="008D6FEE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D6FEE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D6FEE" w:rsidRPr="009E12D0" w:rsidRDefault="008D6FEE" w:rsidP="008D6FEE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交银货币B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D6FEE" w:rsidRPr="008D6FEE" w:rsidRDefault="00F00837" w:rsidP="008D6FEE">
            <w:pPr>
              <w:jc w:val="center"/>
            </w:pPr>
            <w:r w:rsidRPr="00F00837">
              <w:rPr>
                <w:rFonts w:hint="eastAsia"/>
              </w:rPr>
              <w:t>1.1943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8D6FEE" w:rsidRPr="008D6FEE" w:rsidRDefault="00F00837" w:rsidP="008D6FEE">
            <w:pPr>
              <w:jc w:val="center"/>
            </w:pPr>
            <w:r w:rsidRPr="00F00837">
              <w:rPr>
                <w:rFonts w:hint="eastAsia"/>
              </w:rPr>
              <w:t>4.459 %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D6FEE" w:rsidRPr="00A4569B" w:rsidRDefault="008D6FEE" w:rsidP="008D6FEE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1.2879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4.078 %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13.627%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97DB1" w:rsidRPr="00B97DB1" w:rsidRDefault="00976165" w:rsidP="00B97DB1">
            <w:pPr>
              <w:jc w:val="center"/>
            </w:pPr>
            <w:r w:rsidRPr="00D92AA0">
              <w:rPr>
                <w:rFonts w:hint="eastAsia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97DB1" w:rsidRPr="00B97DB1" w:rsidRDefault="00F17E31" w:rsidP="00B97DB1">
            <w:pPr>
              <w:jc w:val="center"/>
            </w:pPr>
            <w:r w:rsidRPr="00F17E31">
              <w:rPr>
                <w:rFonts w:hint="eastAsia"/>
              </w:rPr>
              <w:t>--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4.161%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1.5785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4.212 %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B97DB1" w:rsidRPr="00B97DB1" w:rsidRDefault="00F00837" w:rsidP="00B97DB1">
            <w:pPr>
              <w:jc w:val="center"/>
            </w:pPr>
            <w:r w:rsidRPr="00F00837">
              <w:rPr>
                <w:rFonts w:hint="eastAsia"/>
              </w:rPr>
              <w:t>4.046%</w:t>
            </w:r>
          </w:p>
        </w:tc>
      </w:tr>
      <w:tr w:rsidR="000438A9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9E12D0" w:rsidRDefault="000438A9" w:rsidP="000438A9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F00837" w:rsidP="000438A9">
            <w:pPr>
              <w:jc w:val="center"/>
            </w:pPr>
            <w:r w:rsidRPr="00F00837">
              <w:rPr>
                <w:rFonts w:hint="eastAsia"/>
              </w:rPr>
              <w:t>1.6579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F00837" w:rsidP="000438A9">
            <w:pPr>
              <w:jc w:val="center"/>
            </w:pPr>
            <w:r w:rsidRPr="00F00837">
              <w:rPr>
                <w:rFonts w:hint="eastAsia"/>
              </w:rPr>
              <w:t>4.502 %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0438A9" w:rsidRPr="000438A9" w:rsidRDefault="00F00837" w:rsidP="000438A9">
            <w:pPr>
              <w:jc w:val="center"/>
            </w:pPr>
            <w:r w:rsidRPr="00F00837">
              <w:rPr>
                <w:rFonts w:hint="eastAsia"/>
              </w:rPr>
              <w:t>4.286%</w:t>
            </w:r>
          </w:p>
        </w:tc>
      </w:tr>
    </w:tbl>
    <w:p w:rsidR="00B7035E" w:rsidRPr="00A64CAA" w:rsidRDefault="00B7035E" w:rsidP="00460140">
      <w:pPr>
        <w:spacing w:line="360" w:lineRule="auto"/>
        <w:ind w:leftChars="404" w:left="848" w:rightChars="471" w:right="989" w:firstLineChars="80" w:firstLine="144"/>
        <w:jc w:val="left"/>
        <w:rPr>
          <w:rFonts w:ascii="仿宋" w:eastAsia="仿宋" w:hAnsi="仿宋"/>
          <w:color w:val="808080"/>
          <w:sz w:val="18"/>
          <w:szCs w:val="18"/>
        </w:rPr>
      </w:pPr>
      <w:r w:rsidRPr="00A64CAA">
        <w:rPr>
          <w:rFonts w:ascii="仿宋" w:eastAsia="仿宋" w:hAnsi="仿宋" w:hint="eastAsia"/>
          <w:color w:val="808080"/>
          <w:sz w:val="18"/>
          <w:szCs w:val="18"/>
        </w:rPr>
        <w:t>数据来源：交银施罗德、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万得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资讯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、财汇资讯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，截至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20</w:t>
      </w:r>
      <w:r w:rsidR="00444E6C" w:rsidRPr="00C527EF">
        <w:rPr>
          <w:rFonts w:ascii="仿宋" w:eastAsia="仿宋" w:hAnsi="仿宋" w:hint="eastAsia"/>
          <w:color w:val="808080"/>
          <w:sz w:val="18"/>
          <w:szCs w:val="18"/>
        </w:rPr>
        <w:t>1</w:t>
      </w:r>
      <w:r w:rsidR="003100F4" w:rsidRPr="00C527EF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444E6C" w:rsidRPr="00C527EF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606228" w:rsidRPr="00C527EF">
        <w:rPr>
          <w:rFonts w:ascii="仿宋" w:eastAsia="仿宋" w:hAnsi="仿宋" w:hint="eastAsia"/>
          <w:color w:val="808080"/>
          <w:sz w:val="18"/>
          <w:szCs w:val="18"/>
        </w:rPr>
        <w:t>7</w:t>
      </w:r>
      <w:r w:rsidRPr="00C527EF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DA5665">
        <w:rPr>
          <w:rFonts w:ascii="仿宋" w:eastAsia="仿宋" w:hAnsi="仿宋" w:hint="eastAsia"/>
          <w:color w:val="808080"/>
          <w:sz w:val="18"/>
          <w:szCs w:val="18"/>
        </w:rPr>
        <w:t>25</w:t>
      </w:r>
      <w:r w:rsidR="006C10E3" w:rsidRPr="00C527EF">
        <w:rPr>
          <w:rFonts w:ascii="仿宋" w:eastAsia="仿宋" w:hAnsi="仿宋" w:hint="eastAsia"/>
          <w:color w:val="808080"/>
          <w:sz w:val="18"/>
          <w:szCs w:val="18"/>
        </w:rPr>
        <w:t>日，</w:t>
      </w:r>
      <w:r w:rsidR="000661EB" w:rsidRPr="00C527EF">
        <w:rPr>
          <w:rFonts w:ascii="仿宋" w:eastAsia="仿宋" w:hAnsi="仿宋" w:hint="eastAsia"/>
          <w:color w:val="808080"/>
          <w:sz w:val="18"/>
          <w:szCs w:val="18"/>
        </w:rPr>
        <w:t>交银</w:t>
      </w:r>
      <w:r w:rsidR="00975C88" w:rsidRPr="00C527EF">
        <w:rPr>
          <w:rFonts w:ascii="仿宋" w:eastAsia="仿宋" w:hAnsi="仿宋" w:hint="eastAsia"/>
          <w:color w:val="808080"/>
          <w:sz w:val="18"/>
          <w:szCs w:val="18"/>
        </w:rPr>
        <w:t>环球、交银</w:t>
      </w:r>
      <w:r w:rsidR="000661EB" w:rsidRPr="00C527EF">
        <w:rPr>
          <w:rFonts w:ascii="仿宋" w:eastAsia="仿宋" w:hAnsi="仿宋" w:hint="eastAsia"/>
          <w:color w:val="808080"/>
          <w:sz w:val="18"/>
          <w:szCs w:val="18"/>
        </w:rPr>
        <w:t>资源净值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数据截至201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606228">
        <w:rPr>
          <w:rFonts w:ascii="仿宋" w:eastAsia="仿宋" w:hAnsi="仿宋" w:hint="eastAsia"/>
          <w:color w:val="808080"/>
          <w:sz w:val="18"/>
          <w:szCs w:val="18"/>
        </w:rPr>
        <w:t>7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594B06">
        <w:rPr>
          <w:rFonts w:ascii="仿宋" w:eastAsia="仿宋" w:hAnsi="仿宋" w:hint="eastAsia"/>
          <w:color w:val="808080"/>
          <w:sz w:val="18"/>
          <w:szCs w:val="18"/>
        </w:rPr>
        <w:t>24</w:t>
      </w:r>
      <w:r w:rsidR="00C741F1">
        <w:rPr>
          <w:rFonts w:ascii="仿宋" w:eastAsia="仿宋" w:hAnsi="仿宋" w:hint="eastAsia"/>
          <w:color w:val="808080"/>
          <w:sz w:val="18"/>
          <w:szCs w:val="18"/>
        </w:rPr>
        <w:t>日</w:t>
      </w:r>
      <w:r w:rsidR="00806CF9">
        <w:rPr>
          <w:rFonts w:ascii="仿宋" w:eastAsia="仿宋" w:hAnsi="仿宋" w:hint="eastAsia"/>
          <w:color w:val="808080"/>
          <w:sz w:val="18"/>
          <w:szCs w:val="18"/>
        </w:rPr>
        <w:t>。</w:t>
      </w:r>
    </w:p>
    <w:sectPr w:rsidR="00B7035E" w:rsidRPr="00A64CAA" w:rsidSect="009173CC">
      <w:headerReference w:type="default" r:id="rId11"/>
      <w:footerReference w:type="default" r:id="rId12"/>
      <w:headerReference w:type="first" r:id="rId13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29" w:rsidRDefault="00F62A29" w:rsidP="000E7112">
      <w:r>
        <w:separator/>
      </w:r>
    </w:p>
  </w:endnote>
  <w:endnote w:type="continuationSeparator" w:id="1">
    <w:p w:rsidR="00F62A29" w:rsidRDefault="00F62A29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65" w:rsidRDefault="00976165" w:rsidP="00210641">
    <w:pPr>
      <w:pStyle w:val="a3"/>
    </w:pPr>
  </w:p>
  <w:p w:rsidR="00976165" w:rsidRDefault="00976165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165" w:rsidRDefault="00976165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3A4100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3A4100" w:rsidRPr="006A5CE8">
      <w:rPr>
        <w:b/>
        <w:color w:val="0088CC"/>
        <w:sz w:val="24"/>
        <w:szCs w:val="24"/>
      </w:rPr>
      <w:fldChar w:fldCharType="separate"/>
    </w:r>
    <w:r w:rsidR="00491F92">
      <w:rPr>
        <w:b/>
        <w:noProof/>
        <w:color w:val="0088CC"/>
      </w:rPr>
      <w:t>4</w:t>
    </w:r>
    <w:r w:rsidR="003A4100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3A4100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3A4100" w:rsidRPr="006A5CE8">
      <w:rPr>
        <w:b/>
        <w:color w:val="7F7F7F"/>
        <w:sz w:val="24"/>
        <w:szCs w:val="24"/>
      </w:rPr>
      <w:fldChar w:fldCharType="separate"/>
    </w:r>
    <w:r w:rsidR="00491F92">
      <w:rPr>
        <w:b/>
        <w:noProof/>
        <w:color w:val="7F7F7F"/>
      </w:rPr>
      <w:t>7</w:t>
    </w:r>
    <w:r w:rsidR="003A4100" w:rsidRPr="006A5CE8">
      <w:rPr>
        <w:b/>
        <w:color w:val="7F7F7F"/>
        <w:sz w:val="24"/>
        <w:szCs w:val="24"/>
      </w:rPr>
      <w:fldChar w:fldCharType="end"/>
    </w:r>
  </w:p>
  <w:p w:rsidR="00976165" w:rsidRDefault="00976165" w:rsidP="00210641">
    <w:pPr>
      <w:pStyle w:val="a3"/>
    </w:pPr>
  </w:p>
  <w:p w:rsidR="00976165" w:rsidRDefault="009761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29" w:rsidRDefault="00F62A29" w:rsidP="000E7112">
      <w:r>
        <w:separator/>
      </w:r>
    </w:p>
  </w:footnote>
  <w:footnote w:type="continuationSeparator" w:id="1">
    <w:p w:rsidR="00F62A29" w:rsidRDefault="00F62A29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65" w:rsidRDefault="003A4100" w:rsidP="002E44F0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976165" w:rsidRPr="009830F8" w:rsidRDefault="00976165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7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6268EC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28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 w:rsidR="006268EC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384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976165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165" w:rsidRDefault="00976165" w:rsidP="002E44F0">
    <w:pPr>
      <w:pStyle w:val="a3"/>
      <w:ind w:leftChars="-857" w:left="-1800" w:rightChars="-857" w:right="-1800"/>
    </w:pPr>
  </w:p>
  <w:p w:rsidR="00976165" w:rsidRDefault="009761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65" w:rsidRDefault="00976165" w:rsidP="00655522">
    <w:pPr>
      <w:pStyle w:val="a3"/>
      <w:ind w:leftChars="-857" w:left="-1800" w:rightChars="-857" w:right="-1800"/>
      <w:rPr>
        <w:noProof/>
      </w:rPr>
    </w:pPr>
  </w:p>
  <w:p w:rsidR="00976165" w:rsidRDefault="00976165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406400</wp:posOffset>
          </wp:positionV>
          <wp:extent cx="1692910" cy="673100"/>
          <wp:effectExtent l="19050" t="0" r="2540" b="0"/>
          <wp:wrapSquare wrapText="bothSides"/>
          <wp:docPr id="2" name="图片 1" descr="C:\Users\zhouxiaoyong\Desktop\代做\每周视点 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ouxiaoyong\Desktop\代做\每周视点 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41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976165" w:rsidRPr="004F0FD3" w:rsidRDefault="00976165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7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6268EC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28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 w:rsidR="006268EC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384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165" w:rsidRDefault="009761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A5F"/>
    <w:rsid w:val="00003322"/>
    <w:rsid w:val="00004063"/>
    <w:rsid w:val="00004FE1"/>
    <w:rsid w:val="00005772"/>
    <w:rsid w:val="0000658D"/>
    <w:rsid w:val="00010E8E"/>
    <w:rsid w:val="00010EE7"/>
    <w:rsid w:val="000124A4"/>
    <w:rsid w:val="000126EA"/>
    <w:rsid w:val="00012EC5"/>
    <w:rsid w:val="000134B6"/>
    <w:rsid w:val="0001409A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759"/>
    <w:rsid w:val="0002007E"/>
    <w:rsid w:val="00020509"/>
    <w:rsid w:val="000223F6"/>
    <w:rsid w:val="00023366"/>
    <w:rsid w:val="00024571"/>
    <w:rsid w:val="00024F48"/>
    <w:rsid w:val="000254BE"/>
    <w:rsid w:val="00025522"/>
    <w:rsid w:val="00025A33"/>
    <w:rsid w:val="000264DB"/>
    <w:rsid w:val="00026631"/>
    <w:rsid w:val="00027463"/>
    <w:rsid w:val="000302DD"/>
    <w:rsid w:val="0003059D"/>
    <w:rsid w:val="00030707"/>
    <w:rsid w:val="00030D1E"/>
    <w:rsid w:val="00030E8A"/>
    <w:rsid w:val="00031383"/>
    <w:rsid w:val="000313EE"/>
    <w:rsid w:val="0003209F"/>
    <w:rsid w:val="00032D73"/>
    <w:rsid w:val="0003309C"/>
    <w:rsid w:val="0003395C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29F2"/>
    <w:rsid w:val="00042F1B"/>
    <w:rsid w:val="00043759"/>
    <w:rsid w:val="000438A9"/>
    <w:rsid w:val="00044036"/>
    <w:rsid w:val="00044947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4C8"/>
    <w:rsid w:val="00081C31"/>
    <w:rsid w:val="00081C9A"/>
    <w:rsid w:val="000830EB"/>
    <w:rsid w:val="00083874"/>
    <w:rsid w:val="000838C6"/>
    <w:rsid w:val="00085A3E"/>
    <w:rsid w:val="00085BC8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6292"/>
    <w:rsid w:val="000A633D"/>
    <w:rsid w:val="000A669D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36BE"/>
    <w:rsid w:val="000B44E2"/>
    <w:rsid w:val="000B52FE"/>
    <w:rsid w:val="000B6DB6"/>
    <w:rsid w:val="000B6F2A"/>
    <w:rsid w:val="000B7414"/>
    <w:rsid w:val="000C04E1"/>
    <w:rsid w:val="000C0AA6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631"/>
    <w:rsid w:val="000D5181"/>
    <w:rsid w:val="000D5803"/>
    <w:rsid w:val="000D5D29"/>
    <w:rsid w:val="000D7948"/>
    <w:rsid w:val="000D7EEC"/>
    <w:rsid w:val="000E085D"/>
    <w:rsid w:val="000E09A8"/>
    <w:rsid w:val="000E0B39"/>
    <w:rsid w:val="000E146F"/>
    <w:rsid w:val="000E159B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FD0"/>
    <w:rsid w:val="000F3A57"/>
    <w:rsid w:val="000F4218"/>
    <w:rsid w:val="000F5745"/>
    <w:rsid w:val="000F60F2"/>
    <w:rsid w:val="000F6123"/>
    <w:rsid w:val="000F63D4"/>
    <w:rsid w:val="000F66E4"/>
    <w:rsid w:val="000F6AF9"/>
    <w:rsid w:val="000F6D10"/>
    <w:rsid w:val="000F74AC"/>
    <w:rsid w:val="000F760A"/>
    <w:rsid w:val="0010064E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230"/>
    <w:rsid w:val="00106985"/>
    <w:rsid w:val="001106BE"/>
    <w:rsid w:val="00110809"/>
    <w:rsid w:val="00111468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70"/>
    <w:rsid w:val="00121574"/>
    <w:rsid w:val="001224F7"/>
    <w:rsid w:val="00123222"/>
    <w:rsid w:val="001232D3"/>
    <w:rsid w:val="00123A16"/>
    <w:rsid w:val="00123F1B"/>
    <w:rsid w:val="0012677B"/>
    <w:rsid w:val="00126B38"/>
    <w:rsid w:val="00127EBA"/>
    <w:rsid w:val="00130110"/>
    <w:rsid w:val="00131AAE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30BE"/>
    <w:rsid w:val="00143EBF"/>
    <w:rsid w:val="00144DBE"/>
    <w:rsid w:val="00145044"/>
    <w:rsid w:val="00146A5B"/>
    <w:rsid w:val="00147450"/>
    <w:rsid w:val="00151082"/>
    <w:rsid w:val="00151754"/>
    <w:rsid w:val="00153ECB"/>
    <w:rsid w:val="001543C9"/>
    <w:rsid w:val="001545D3"/>
    <w:rsid w:val="00154FAB"/>
    <w:rsid w:val="001555F4"/>
    <w:rsid w:val="00155C8A"/>
    <w:rsid w:val="00156B58"/>
    <w:rsid w:val="001572CE"/>
    <w:rsid w:val="00157DFB"/>
    <w:rsid w:val="00157E29"/>
    <w:rsid w:val="0016031D"/>
    <w:rsid w:val="001606B2"/>
    <w:rsid w:val="00162725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93D"/>
    <w:rsid w:val="00180D04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D61"/>
    <w:rsid w:val="00190288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11C5"/>
    <w:rsid w:val="001A2176"/>
    <w:rsid w:val="001A2254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536"/>
    <w:rsid w:val="001E0568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583"/>
    <w:rsid w:val="001F0C8C"/>
    <w:rsid w:val="001F102E"/>
    <w:rsid w:val="001F1377"/>
    <w:rsid w:val="001F19C9"/>
    <w:rsid w:val="001F1DA6"/>
    <w:rsid w:val="001F2D2E"/>
    <w:rsid w:val="001F3A2A"/>
    <w:rsid w:val="001F3E56"/>
    <w:rsid w:val="001F40F4"/>
    <w:rsid w:val="001F45C1"/>
    <w:rsid w:val="001F5894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72EC"/>
    <w:rsid w:val="00210641"/>
    <w:rsid w:val="00210F46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C75"/>
    <w:rsid w:val="00222CF6"/>
    <w:rsid w:val="00223878"/>
    <w:rsid w:val="00223F5B"/>
    <w:rsid w:val="0022406D"/>
    <w:rsid w:val="00224120"/>
    <w:rsid w:val="002244AD"/>
    <w:rsid w:val="002249D3"/>
    <w:rsid w:val="0022505E"/>
    <w:rsid w:val="0022542A"/>
    <w:rsid w:val="00225CB4"/>
    <w:rsid w:val="00226244"/>
    <w:rsid w:val="00226849"/>
    <w:rsid w:val="00227C87"/>
    <w:rsid w:val="00227E1B"/>
    <w:rsid w:val="00227F0E"/>
    <w:rsid w:val="00230B27"/>
    <w:rsid w:val="002313FD"/>
    <w:rsid w:val="00233830"/>
    <w:rsid w:val="00233FE1"/>
    <w:rsid w:val="002351D7"/>
    <w:rsid w:val="00235599"/>
    <w:rsid w:val="00236112"/>
    <w:rsid w:val="00236133"/>
    <w:rsid w:val="002405F7"/>
    <w:rsid w:val="00240C45"/>
    <w:rsid w:val="00241763"/>
    <w:rsid w:val="00241D6F"/>
    <w:rsid w:val="0024218B"/>
    <w:rsid w:val="00242308"/>
    <w:rsid w:val="0024279D"/>
    <w:rsid w:val="00242D2E"/>
    <w:rsid w:val="00243589"/>
    <w:rsid w:val="00244A74"/>
    <w:rsid w:val="00245B74"/>
    <w:rsid w:val="002464D9"/>
    <w:rsid w:val="00246D07"/>
    <w:rsid w:val="00246EEC"/>
    <w:rsid w:val="00250070"/>
    <w:rsid w:val="002510CA"/>
    <w:rsid w:val="002512E8"/>
    <w:rsid w:val="00251489"/>
    <w:rsid w:val="00253426"/>
    <w:rsid w:val="002539D1"/>
    <w:rsid w:val="00254168"/>
    <w:rsid w:val="00254358"/>
    <w:rsid w:val="00254B15"/>
    <w:rsid w:val="00255683"/>
    <w:rsid w:val="00255B72"/>
    <w:rsid w:val="00255F1F"/>
    <w:rsid w:val="00256366"/>
    <w:rsid w:val="002578F4"/>
    <w:rsid w:val="0026229C"/>
    <w:rsid w:val="002623FB"/>
    <w:rsid w:val="00262DAC"/>
    <w:rsid w:val="00262F34"/>
    <w:rsid w:val="00263427"/>
    <w:rsid w:val="00263BAC"/>
    <w:rsid w:val="00263F3D"/>
    <w:rsid w:val="0026402D"/>
    <w:rsid w:val="00264CD0"/>
    <w:rsid w:val="00264D34"/>
    <w:rsid w:val="0026530C"/>
    <w:rsid w:val="00265C96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A4C"/>
    <w:rsid w:val="00276BD3"/>
    <w:rsid w:val="00276FD7"/>
    <w:rsid w:val="0027712B"/>
    <w:rsid w:val="00277184"/>
    <w:rsid w:val="00277EDF"/>
    <w:rsid w:val="00280A67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147A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ACE"/>
    <w:rsid w:val="00295C96"/>
    <w:rsid w:val="00295E05"/>
    <w:rsid w:val="00296A09"/>
    <w:rsid w:val="00296B32"/>
    <w:rsid w:val="002972D2"/>
    <w:rsid w:val="002973B3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D74"/>
    <w:rsid w:val="002B1124"/>
    <w:rsid w:val="002B2188"/>
    <w:rsid w:val="002B38A7"/>
    <w:rsid w:val="002B3B95"/>
    <w:rsid w:val="002B4203"/>
    <w:rsid w:val="002B4400"/>
    <w:rsid w:val="002B4FD0"/>
    <w:rsid w:val="002B574B"/>
    <w:rsid w:val="002B5FBB"/>
    <w:rsid w:val="002B6A38"/>
    <w:rsid w:val="002B6D91"/>
    <w:rsid w:val="002B71DA"/>
    <w:rsid w:val="002B7C4B"/>
    <w:rsid w:val="002C06F8"/>
    <w:rsid w:val="002C0B80"/>
    <w:rsid w:val="002C1902"/>
    <w:rsid w:val="002C20C2"/>
    <w:rsid w:val="002C309F"/>
    <w:rsid w:val="002C346D"/>
    <w:rsid w:val="002C391A"/>
    <w:rsid w:val="002C3D2E"/>
    <w:rsid w:val="002C40AE"/>
    <w:rsid w:val="002C4883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2314"/>
    <w:rsid w:val="002D25D7"/>
    <w:rsid w:val="002D29F0"/>
    <w:rsid w:val="002D2DD5"/>
    <w:rsid w:val="002D3FCE"/>
    <w:rsid w:val="002D521A"/>
    <w:rsid w:val="002D542E"/>
    <w:rsid w:val="002D5949"/>
    <w:rsid w:val="002D61AB"/>
    <w:rsid w:val="002D6480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C30"/>
    <w:rsid w:val="002F4C40"/>
    <w:rsid w:val="002F55DA"/>
    <w:rsid w:val="002F6245"/>
    <w:rsid w:val="002F6FDC"/>
    <w:rsid w:val="002F7688"/>
    <w:rsid w:val="00302413"/>
    <w:rsid w:val="003031F6"/>
    <w:rsid w:val="003042A2"/>
    <w:rsid w:val="00304C0C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26FF"/>
    <w:rsid w:val="003135BD"/>
    <w:rsid w:val="003151F0"/>
    <w:rsid w:val="003153D4"/>
    <w:rsid w:val="00317BA4"/>
    <w:rsid w:val="00317F45"/>
    <w:rsid w:val="00320E46"/>
    <w:rsid w:val="00321443"/>
    <w:rsid w:val="00321CA1"/>
    <w:rsid w:val="0032234A"/>
    <w:rsid w:val="0032351A"/>
    <w:rsid w:val="0032356E"/>
    <w:rsid w:val="00323A2F"/>
    <w:rsid w:val="00323A75"/>
    <w:rsid w:val="00324801"/>
    <w:rsid w:val="00324F0B"/>
    <w:rsid w:val="00326942"/>
    <w:rsid w:val="00326A50"/>
    <w:rsid w:val="003303D4"/>
    <w:rsid w:val="00330A4F"/>
    <w:rsid w:val="00330F2F"/>
    <w:rsid w:val="003313BC"/>
    <w:rsid w:val="0033208C"/>
    <w:rsid w:val="00332794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4F30"/>
    <w:rsid w:val="003653A5"/>
    <w:rsid w:val="00365997"/>
    <w:rsid w:val="00365DD1"/>
    <w:rsid w:val="00366152"/>
    <w:rsid w:val="0036642D"/>
    <w:rsid w:val="00367DCE"/>
    <w:rsid w:val="00367EB0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E1"/>
    <w:rsid w:val="00376D4C"/>
    <w:rsid w:val="00376F93"/>
    <w:rsid w:val="00377016"/>
    <w:rsid w:val="0037772A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2F6"/>
    <w:rsid w:val="003879CA"/>
    <w:rsid w:val="00390A37"/>
    <w:rsid w:val="00392142"/>
    <w:rsid w:val="00392C0B"/>
    <w:rsid w:val="0039319C"/>
    <w:rsid w:val="003933E7"/>
    <w:rsid w:val="00393855"/>
    <w:rsid w:val="003941F4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FB3"/>
    <w:rsid w:val="003A522D"/>
    <w:rsid w:val="003A61DD"/>
    <w:rsid w:val="003A7959"/>
    <w:rsid w:val="003B39E5"/>
    <w:rsid w:val="003B3BC2"/>
    <w:rsid w:val="003B4864"/>
    <w:rsid w:val="003B4CA1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F09AB"/>
    <w:rsid w:val="003F30C4"/>
    <w:rsid w:val="003F368B"/>
    <w:rsid w:val="003F3B69"/>
    <w:rsid w:val="003F4E62"/>
    <w:rsid w:val="003F4F16"/>
    <w:rsid w:val="003F74DC"/>
    <w:rsid w:val="003F7742"/>
    <w:rsid w:val="004003E7"/>
    <w:rsid w:val="00400DB7"/>
    <w:rsid w:val="00402D10"/>
    <w:rsid w:val="00403599"/>
    <w:rsid w:val="004040B1"/>
    <w:rsid w:val="00404BD8"/>
    <w:rsid w:val="00404CD9"/>
    <w:rsid w:val="004059D5"/>
    <w:rsid w:val="00405FB0"/>
    <w:rsid w:val="00406685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4A2A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AA"/>
    <w:rsid w:val="004575AF"/>
    <w:rsid w:val="00457FDB"/>
    <w:rsid w:val="00460140"/>
    <w:rsid w:val="0046029F"/>
    <w:rsid w:val="004602BA"/>
    <w:rsid w:val="00460796"/>
    <w:rsid w:val="00461019"/>
    <w:rsid w:val="0046130C"/>
    <w:rsid w:val="00461A67"/>
    <w:rsid w:val="00462094"/>
    <w:rsid w:val="004625A9"/>
    <w:rsid w:val="0046272E"/>
    <w:rsid w:val="0046292A"/>
    <w:rsid w:val="004635C4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FDC"/>
    <w:rsid w:val="0047249B"/>
    <w:rsid w:val="004740BD"/>
    <w:rsid w:val="00475241"/>
    <w:rsid w:val="00475B38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82D"/>
    <w:rsid w:val="00491608"/>
    <w:rsid w:val="00491F92"/>
    <w:rsid w:val="004926AD"/>
    <w:rsid w:val="00492CEC"/>
    <w:rsid w:val="00492FAE"/>
    <w:rsid w:val="00493A5A"/>
    <w:rsid w:val="00494A38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6E"/>
    <w:rsid w:val="004C2D67"/>
    <w:rsid w:val="004C5845"/>
    <w:rsid w:val="004C5A3B"/>
    <w:rsid w:val="004C5AAA"/>
    <w:rsid w:val="004C5F55"/>
    <w:rsid w:val="004C6261"/>
    <w:rsid w:val="004C7788"/>
    <w:rsid w:val="004D016E"/>
    <w:rsid w:val="004D0CD7"/>
    <w:rsid w:val="004D0EF8"/>
    <w:rsid w:val="004D3143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607"/>
    <w:rsid w:val="004E4506"/>
    <w:rsid w:val="004E45A4"/>
    <w:rsid w:val="004E69D4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F09"/>
    <w:rsid w:val="0050187F"/>
    <w:rsid w:val="00501C9C"/>
    <w:rsid w:val="00501F7C"/>
    <w:rsid w:val="00503241"/>
    <w:rsid w:val="00503824"/>
    <w:rsid w:val="0050435B"/>
    <w:rsid w:val="00504684"/>
    <w:rsid w:val="00505060"/>
    <w:rsid w:val="00506849"/>
    <w:rsid w:val="00506D67"/>
    <w:rsid w:val="005119C7"/>
    <w:rsid w:val="00511F50"/>
    <w:rsid w:val="005123F3"/>
    <w:rsid w:val="0051270B"/>
    <w:rsid w:val="00513715"/>
    <w:rsid w:val="00514E39"/>
    <w:rsid w:val="005152AA"/>
    <w:rsid w:val="00515863"/>
    <w:rsid w:val="00515C33"/>
    <w:rsid w:val="00521849"/>
    <w:rsid w:val="005227B4"/>
    <w:rsid w:val="005227C0"/>
    <w:rsid w:val="00523118"/>
    <w:rsid w:val="005252D0"/>
    <w:rsid w:val="00525702"/>
    <w:rsid w:val="005261CD"/>
    <w:rsid w:val="00526904"/>
    <w:rsid w:val="00526DD2"/>
    <w:rsid w:val="00527DD6"/>
    <w:rsid w:val="00527F24"/>
    <w:rsid w:val="00530A91"/>
    <w:rsid w:val="00530DAB"/>
    <w:rsid w:val="00531EF1"/>
    <w:rsid w:val="005327F3"/>
    <w:rsid w:val="00533D78"/>
    <w:rsid w:val="00534202"/>
    <w:rsid w:val="005342E2"/>
    <w:rsid w:val="005351A4"/>
    <w:rsid w:val="00536D4C"/>
    <w:rsid w:val="00540FA4"/>
    <w:rsid w:val="00541D3E"/>
    <w:rsid w:val="00542A1E"/>
    <w:rsid w:val="00542BDF"/>
    <w:rsid w:val="00542F18"/>
    <w:rsid w:val="005433FF"/>
    <w:rsid w:val="00543726"/>
    <w:rsid w:val="00543A91"/>
    <w:rsid w:val="00543B9F"/>
    <w:rsid w:val="00543C3F"/>
    <w:rsid w:val="005444F8"/>
    <w:rsid w:val="00544637"/>
    <w:rsid w:val="00545B05"/>
    <w:rsid w:val="005464A6"/>
    <w:rsid w:val="00547FA6"/>
    <w:rsid w:val="00550E4B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98A"/>
    <w:rsid w:val="00560D3D"/>
    <w:rsid w:val="00560DAC"/>
    <w:rsid w:val="005614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131F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13F9"/>
    <w:rsid w:val="00581F3E"/>
    <w:rsid w:val="00582591"/>
    <w:rsid w:val="005826D2"/>
    <w:rsid w:val="00582EFE"/>
    <w:rsid w:val="00583323"/>
    <w:rsid w:val="0058337C"/>
    <w:rsid w:val="00583451"/>
    <w:rsid w:val="005855A0"/>
    <w:rsid w:val="005866BE"/>
    <w:rsid w:val="0058692F"/>
    <w:rsid w:val="00586C68"/>
    <w:rsid w:val="00587A51"/>
    <w:rsid w:val="00587E09"/>
    <w:rsid w:val="0059031C"/>
    <w:rsid w:val="00590529"/>
    <w:rsid w:val="00590949"/>
    <w:rsid w:val="005916B5"/>
    <w:rsid w:val="00593F9B"/>
    <w:rsid w:val="00593FA1"/>
    <w:rsid w:val="00594B06"/>
    <w:rsid w:val="00594D1B"/>
    <w:rsid w:val="00595060"/>
    <w:rsid w:val="005951FD"/>
    <w:rsid w:val="00595395"/>
    <w:rsid w:val="005955EA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2B2A"/>
    <w:rsid w:val="005A465E"/>
    <w:rsid w:val="005A4838"/>
    <w:rsid w:val="005A4B48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6ABD"/>
    <w:rsid w:val="005C6B6B"/>
    <w:rsid w:val="005C7B24"/>
    <w:rsid w:val="005D0013"/>
    <w:rsid w:val="005D1711"/>
    <w:rsid w:val="005D1FD5"/>
    <w:rsid w:val="005D271F"/>
    <w:rsid w:val="005D33BF"/>
    <w:rsid w:val="005D3700"/>
    <w:rsid w:val="005D395A"/>
    <w:rsid w:val="005D6C6B"/>
    <w:rsid w:val="005D6F2C"/>
    <w:rsid w:val="005D726E"/>
    <w:rsid w:val="005D74E0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F0613"/>
    <w:rsid w:val="005F0784"/>
    <w:rsid w:val="005F0C50"/>
    <w:rsid w:val="005F1B98"/>
    <w:rsid w:val="005F42FA"/>
    <w:rsid w:val="005F4557"/>
    <w:rsid w:val="005F494A"/>
    <w:rsid w:val="005F4F17"/>
    <w:rsid w:val="005F54DF"/>
    <w:rsid w:val="005F5562"/>
    <w:rsid w:val="005F56BF"/>
    <w:rsid w:val="005F5D9D"/>
    <w:rsid w:val="005F60BD"/>
    <w:rsid w:val="005F64B5"/>
    <w:rsid w:val="005F6CDA"/>
    <w:rsid w:val="005F7352"/>
    <w:rsid w:val="005F7EF9"/>
    <w:rsid w:val="00600D8E"/>
    <w:rsid w:val="00603192"/>
    <w:rsid w:val="00604973"/>
    <w:rsid w:val="006052F1"/>
    <w:rsid w:val="00605977"/>
    <w:rsid w:val="00606228"/>
    <w:rsid w:val="00606393"/>
    <w:rsid w:val="00606573"/>
    <w:rsid w:val="00610314"/>
    <w:rsid w:val="006104FC"/>
    <w:rsid w:val="0061104C"/>
    <w:rsid w:val="00611404"/>
    <w:rsid w:val="0061171E"/>
    <w:rsid w:val="00611AEC"/>
    <w:rsid w:val="00612E80"/>
    <w:rsid w:val="00613672"/>
    <w:rsid w:val="00613932"/>
    <w:rsid w:val="00614D5D"/>
    <w:rsid w:val="00614E80"/>
    <w:rsid w:val="00615AB3"/>
    <w:rsid w:val="00615BE0"/>
    <w:rsid w:val="006166BF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556A"/>
    <w:rsid w:val="0063604D"/>
    <w:rsid w:val="00637BAA"/>
    <w:rsid w:val="00637BF6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E0C"/>
    <w:rsid w:val="00650841"/>
    <w:rsid w:val="00650959"/>
    <w:rsid w:val="006510B3"/>
    <w:rsid w:val="006511EE"/>
    <w:rsid w:val="006517B6"/>
    <w:rsid w:val="006517C8"/>
    <w:rsid w:val="00652681"/>
    <w:rsid w:val="00652A38"/>
    <w:rsid w:val="006541A7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C4"/>
    <w:rsid w:val="006601C1"/>
    <w:rsid w:val="0066041A"/>
    <w:rsid w:val="00660EF5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4EC"/>
    <w:rsid w:val="0066763F"/>
    <w:rsid w:val="00667676"/>
    <w:rsid w:val="006703CF"/>
    <w:rsid w:val="0067183B"/>
    <w:rsid w:val="0067277C"/>
    <w:rsid w:val="006727B0"/>
    <w:rsid w:val="00672DDC"/>
    <w:rsid w:val="0067305F"/>
    <w:rsid w:val="00673856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80004"/>
    <w:rsid w:val="00680145"/>
    <w:rsid w:val="00680669"/>
    <w:rsid w:val="00680942"/>
    <w:rsid w:val="006811B8"/>
    <w:rsid w:val="0068126C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6A2"/>
    <w:rsid w:val="00686BDF"/>
    <w:rsid w:val="00686CEA"/>
    <w:rsid w:val="00686D6E"/>
    <w:rsid w:val="00687F79"/>
    <w:rsid w:val="00690922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684"/>
    <w:rsid w:val="0069602D"/>
    <w:rsid w:val="0069622F"/>
    <w:rsid w:val="00696DF6"/>
    <w:rsid w:val="006979BD"/>
    <w:rsid w:val="006A0128"/>
    <w:rsid w:val="006A14D9"/>
    <w:rsid w:val="006A14F5"/>
    <w:rsid w:val="006A17E3"/>
    <w:rsid w:val="006A21A3"/>
    <w:rsid w:val="006A26B4"/>
    <w:rsid w:val="006A2DAD"/>
    <w:rsid w:val="006A3B89"/>
    <w:rsid w:val="006A3C7D"/>
    <w:rsid w:val="006A52B5"/>
    <w:rsid w:val="006A5AF0"/>
    <w:rsid w:val="006A5CE8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13D"/>
    <w:rsid w:val="006B5293"/>
    <w:rsid w:val="006B6043"/>
    <w:rsid w:val="006B704F"/>
    <w:rsid w:val="006B73B1"/>
    <w:rsid w:val="006B7567"/>
    <w:rsid w:val="006C003D"/>
    <w:rsid w:val="006C0815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979"/>
    <w:rsid w:val="006D1EA8"/>
    <w:rsid w:val="006D1FB4"/>
    <w:rsid w:val="006D2276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1392"/>
    <w:rsid w:val="0070142E"/>
    <w:rsid w:val="00702CC3"/>
    <w:rsid w:val="007030C3"/>
    <w:rsid w:val="00703402"/>
    <w:rsid w:val="00704101"/>
    <w:rsid w:val="00704E09"/>
    <w:rsid w:val="00705978"/>
    <w:rsid w:val="00705D5E"/>
    <w:rsid w:val="00706E2B"/>
    <w:rsid w:val="007073AB"/>
    <w:rsid w:val="007074A5"/>
    <w:rsid w:val="00707929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CA3"/>
    <w:rsid w:val="007221A6"/>
    <w:rsid w:val="00723097"/>
    <w:rsid w:val="00723DB0"/>
    <w:rsid w:val="00723F41"/>
    <w:rsid w:val="00724C57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E32"/>
    <w:rsid w:val="0073123E"/>
    <w:rsid w:val="00732656"/>
    <w:rsid w:val="00734522"/>
    <w:rsid w:val="00734884"/>
    <w:rsid w:val="00734A86"/>
    <w:rsid w:val="00735EC6"/>
    <w:rsid w:val="007364D3"/>
    <w:rsid w:val="00737C9B"/>
    <w:rsid w:val="0074100F"/>
    <w:rsid w:val="0074250D"/>
    <w:rsid w:val="007436C7"/>
    <w:rsid w:val="0074382E"/>
    <w:rsid w:val="00743AC8"/>
    <w:rsid w:val="00743CEB"/>
    <w:rsid w:val="007442DE"/>
    <w:rsid w:val="00744340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545"/>
    <w:rsid w:val="00753CD7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21A7"/>
    <w:rsid w:val="007635B4"/>
    <w:rsid w:val="007637BF"/>
    <w:rsid w:val="007641C4"/>
    <w:rsid w:val="00764A53"/>
    <w:rsid w:val="00765339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F86"/>
    <w:rsid w:val="00781349"/>
    <w:rsid w:val="00781C14"/>
    <w:rsid w:val="007835F0"/>
    <w:rsid w:val="00784172"/>
    <w:rsid w:val="007851F2"/>
    <w:rsid w:val="00786304"/>
    <w:rsid w:val="007870FF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73E"/>
    <w:rsid w:val="007A0DD4"/>
    <w:rsid w:val="007A1581"/>
    <w:rsid w:val="007A1AB6"/>
    <w:rsid w:val="007A350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F00"/>
    <w:rsid w:val="007B7B1A"/>
    <w:rsid w:val="007B7C23"/>
    <w:rsid w:val="007B7DC0"/>
    <w:rsid w:val="007C0179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A64"/>
    <w:rsid w:val="007C7E08"/>
    <w:rsid w:val="007D00DF"/>
    <w:rsid w:val="007D0A00"/>
    <w:rsid w:val="007D0E82"/>
    <w:rsid w:val="007D3234"/>
    <w:rsid w:val="007D385D"/>
    <w:rsid w:val="007D3FC2"/>
    <w:rsid w:val="007D4798"/>
    <w:rsid w:val="007D588F"/>
    <w:rsid w:val="007D5A25"/>
    <w:rsid w:val="007D6650"/>
    <w:rsid w:val="007D6EC3"/>
    <w:rsid w:val="007D7E28"/>
    <w:rsid w:val="007E45D9"/>
    <w:rsid w:val="007E5ACF"/>
    <w:rsid w:val="007E6C8F"/>
    <w:rsid w:val="007F1D62"/>
    <w:rsid w:val="007F2F2A"/>
    <w:rsid w:val="007F303A"/>
    <w:rsid w:val="007F3E93"/>
    <w:rsid w:val="007F43B9"/>
    <w:rsid w:val="007F4A39"/>
    <w:rsid w:val="007F4BCA"/>
    <w:rsid w:val="007F564D"/>
    <w:rsid w:val="007F6EEF"/>
    <w:rsid w:val="007F7667"/>
    <w:rsid w:val="0080026E"/>
    <w:rsid w:val="0080057A"/>
    <w:rsid w:val="008005D0"/>
    <w:rsid w:val="008006AF"/>
    <w:rsid w:val="00800AA1"/>
    <w:rsid w:val="00800B52"/>
    <w:rsid w:val="00800D8E"/>
    <w:rsid w:val="008013E9"/>
    <w:rsid w:val="00801AC6"/>
    <w:rsid w:val="00801BF6"/>
    <w:rsid w:val="00801E9C"/>
    <w:rsid w:val="008022DC"/>
    <w:rsid w:val="00802CB7"/>
    <w:rsid w:val="00802CC9"/>
    <w:rsid w:val="008036A3"/>
    <w:rsid w:val="00803AC2"/>
    <w:rsid w:val="00803E4C"/>
    <w:rsid w:val="00803F16"/>
    <w:rsid w:val="008045BD"/>
    <w:rsid w:val="00804C7E"/>
    <w:rsid w:val="0080528E"/>
    <w:rsid w:val="00805EA0"/>
    <w:rsid w:val="0080648C"/>
    <w:rsid w:val="00806CF9"/>
    <w:rsid w:val="00807443"/>
    <w:rsid w:val="00807F19"/>
    <w:rsid w:val="008106A6"/>
    <w:rsid w:val="00810E17"/>
    <w:rsid w:val="00810E6F"/>
    <w:rsid w:val="00812056"/>
    <w:rsid w:val="008124B7"/>
    <w:rsid w:val="0081265B"/>
    <w:rsid w:val="00812A6B"/>
    <w:rsid w:val="00812B09"/>
    <w:rsid w:val="00812FB4"/>
    <w:rsid w:val="00813795"/>
    <w:rsid w:val="008142E1"/>
    <w:rsid w:val="008145BC"/>
    <w:rsid w:val="008145E7"/>
    <w:rsid w:val="00815097"/>
    <w:rsid w:val="00815553"/>
    <w:rsid w:val="00816806"/>
    <w:rsid w:val="00816EFC"/>
    <w:rsid w:val="00820DB2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DAA"/>
    <w:rsid w:val="00844DC7"/>
    <w:rsid w:val="008454B7"/>
    <w:rsid w:val="00846ED6"/>
    <w:rsid w:val="00850D0F"/>
    <w:rsid w:val="008539D2"/>
    <w:rsid w:val="008540D2"/>
    <w:rsid w:val="00854253"/>
    <w:rsid w:val="00854292"/>
    <w:rsid w:val="00854994"/>
    <w:rsid w:val="00855636"/>
    <w:rsid w:val="00857058"/>
    <w:rsid w:val="00857E9B"/>
    <w:rsid w:val="0086002B"/>
    <w:rsid w:val="00860F43"/>
    <w:rsid w:val="00861985"/>
    <w:rsid w:val="00861A78"/>
    <w:rsid w:val="00861EB7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6E2"/>
    <w:rsid w:val="008A4369"/>
    <w:rsid w:val="008A49E4"/>
    <w:rsid w:val="008A5C91"/>
    <w:rsid w:val="008A618D"/>
    <w:rsid w:val="008A67F0"/>
    <w:rsid w:val="008A6897"/>
    <w:rsid w:val="008B1C3D"/>
    <w:rsid w:val="008B22BB"/>
    <w:rsid w:val="008B287D"/>
    <w:rsid w:val="008B4F51"/>
    <w:rsid w:val="008B5A77"/>
    <w:rsid w:val="008B5A9A"/>
    <w:rsid w:val="008B6559"/>
    <w:rsid w:val="008B6738"/>
    <w:rsid w:val="008B679E"/>
    <w:rsid w:val="008B72B4"/>
    <w:rsid w:val="008B7AC8"/>
    <w:rsid w:val="008C279F"/>
    <w:rsid w:val="008C27B7"/>
    <w:rsid w:val="008C27E5"/>
    <w:rsid w:val="008C2A72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3EBC"/>
    <w:rsid w:val="008D3FB3"/>
    <w:rsid w:val="008D445D"/>
    <w:rsid w:val="008D4DEF"/>
    <w:rsid w:val="008D5983"/>
    <w:rsid w:val="008D5AAD"/>
    <w:rsid w:val="008D5F3D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4D04"/>
    <w:rsid w:val="008E50D9"/>
    <w:rsid w:val="008E56CB"/>
    <w:rsid w:val="008E5CE7"/>
    <w:rsid w:val="008E6328"/>
    <w:rsid w:val="008E64D7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55C"/>
    <w:rsid w:val="00905927"/>
    <w:rsid w:val="009063B0"/>
    <w:rsid w:val="00906E0C"/>
    <w:rsid w:val="009077FC"/>
    <w:rsid w:val="00907C7D"/>
    <w:rsid w:val="009100DA"/>
    <w:rsid w:val="00910A52"/>
    <w:rsid w:val="00911A2A"/>
    <w:rsid w:val="00911D23"/>
    <w:rsid w:val="00913A6D"/>
    <w:rsid w:val="009142E3"/>
    <w:rsid w:val="009143E8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60283"/>
    <w:rsid w:val="00960316"/>
    <w:rsid w:val="009609CD"/>
    <w:rsid w:val="00960A8E"/>
    <w:rsid w:val="00961152"/>
    <w:rsid w:val="00962176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269C"/>
    <w:rsid w:val="009749BC"/>
    <w:rsid w:val="00974EF7"/>
    <w:rsid w:val="00975C88"/>
    <w:rsid w:val="00976165"/>
    <w:rsid w:val="00977167"/>
    <w:rsid w:val="009775E0"/>
    <w:rsid w:val="00977DB1"/>
    <w:rsid w:val="00980299"/>
    <w:rsid w:val="00980489"/>
    <w:rsid w:val="0098066D"/>
    <w:rsid w:val="00980BBB"/>
    <w:rsid w:val="009816F6"/>
    <w:rsid w:val="00981843"/>
    <w:rsid w:val="009830F8"/>
    <w:rsid w:val="00983239"/>
    <w:rsid w:val="009835AA"/>
    <w:rsid w:val="00984D59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65B"/>
    <w:rsid w:val="00996913"/>
    <w:rsid w:val="009970BD"/>
    <w:rsid w:val="0099718E"/>
    <w:rsid w:val="0099735F"/>
    <w:rsid w:val="00997BA3"/>
    <w:rsid w:val="009A132E"/>
    <w:rsid w:val="009A1A03"/>
    <w:rsid w:val="009A1CFA"/>
    <w:rsid w:val="009A31AA"/>
    <w:rsid w:val="009A3872"/>
    <w:rsid w:val="009A398E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4FF0"/>
    <w:rsid w:val="009B5517"/>
    <w:rsid w:val="009B5F42"/>
    <w:rsid w:val="009B62FD"/>
    <w:rsid w:val="009B64F4"/>
    <w:rsid w:val="009B6699"/>
    <w:rsid w:val="009B6CC7"/>
    <w:rsid w:val="009C022C"/>
    <w:rsid w:val="009C0653"/>
    <w:rsid w:val="009C07C6"/>
    <w:rsid w:val="009C0A9B"/>
    <w:rsid w:val="009C19BB"/>
    <w:rsid w:val="009C1B56"/>
    <w:rsid w:val="009C1E23"/>
    <w:rsid w:val="009C2687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D01A7"/>
    <w:rsid w:val="009D1871"/>
    <w:rsid w:val="009D19DE"/>
    <w:rsid w:val="009D2189"/>
    <w:rsid w:val="009D360B"/>
    <w:rsid w:val="009D3D88"/>
    <w:rsid w:val="009D4751"/>
    <w:rsid w:val="009D4D15"/>
    <w:rsid w:val="009D6254"/>
    <w:rsid w:val="009D6AFF"/>
    <w:rsid w:val="009D6C8F"/>
    <w:rsid w:val="009D6D3B"/>
    <w:rsid w:val="009D7ADA"/>
    <w:rsid w:val="009D7F16"/>
    <w:rsid w:val="009D7F61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42E4"/>
    <w:rsid w:val="00A14C57"/>
    <w:rsid w:val="00A15EDE"/>
    <w:rsid w:val="00A15FC2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317E4"/>
    <w:rsid w:val="00A31A89"/>
    <w:rsid w:val="00A31DBB"/>
    <w:rsid w:val="00A320B8"/>
    <w:rsid w:val="00A32366"/>
    <w:rsid w:val="00A32485"/>
    <w:rsid w:val="00A33DEE"/>
    <w:rsid w:val="00A34A31"/>
    <w:rsid w:val="00A3524B"/>
    <w:rsid w:val="00A36144"/>
    <w:rsid w:val="00A3698C"/>
    <w:rsid w:val="00A372EA"/>
    <w:rsid w:val="00A37C07"/>
    <w:rsid w:val="00A40BC2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393B"/>
    <w:rsid w:val="00A54125"/>
    <w:rsid w:val="00A541A9"/>
    <w:rsid w:val="00A5458D"/>
    <w:rsid w:val="00A550AF"/>
    <w:rsid w:val="00A56352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C42"/>
    <w:rsid w:val="00A66859"/>
    <w:rsid w:val="00A66A71"/>
    <w:rsid w:val="00A67176"/>
    <w:rsid w:val="00A674ED"/>
    <w:rsid w:val="00A70021"/>
    <w:rsid w:val="00A70FCA"/>
    <w:rsid w:val="00A725CA"/>
    <w:rsid w:val="00A72A41"/>
    <w:rsid w:val="00A730A5"/>
    <w:rsid w:val="00A73536"/>
    <w:rsid w:val="00A736CA"/>
    <w:rsid w:val="00A73714"/>
    <w:rsid w:val="00A73B2D"/>
    <w:rsid w:val="00A75267"/>
    <w:rsid w:val="00A756C7"/>
    <w:rsid w:val="00A75764"/>
    <w:rsid w:val="00A75965"/>
    <w:rsid w:val="00A77877"/>
    <w:rsid w:val="00A80821"/>
    <w:rsid w:val="00A81678"/>
    <w:rsid w:val="00A823CA"/>
    <w:rsid w:val="00A82BC1"/>
    <w:rsid w:val="00A83628"/>
    <w:rsid w:val="00A83DF3"/>
    <w:rsid w:val="00A84388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AE"/>
    <w:rsid w:val="00A9287B"/>
    <w:rsid w:val="00A92BE3"/>
    <w:rsid w:val="00A92D74"/>
    <w:rsid w:val="00A92DA6"/>
    <w:rsid w:val="00A92E52"/>
    <w:rsid w:val="00A934FC"/>
    <w:rsid w:val="00A937F5"/>
    <w:rsid w:val="00A94686"/>
    <w:rsid w:val="00A9488E"/>
    <w:rsid w:val="00A94941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D13"/>
    <w:rsid w:val="00AB11F7"/>
    <w:rsid w:val="00AB14C4"/>
    <w:rsid w:val="00AB1574"/>
    <w:rsid w:val="00AB3B6F"/>
    <w:rsid w:val="00AB4C6E"/>
    <w:rsid w:val="00AB52B7"/>
    <w:rsid w:val="00AB52EB"/>
    <w:rsid w:val="00AC07C1"/>
    <w:rsid w:val="00AC09BF"/>
    <w:rsid w:val="00AC21F1"/>
    <w:rsid w:val="00AC2914"/>
    <w:rsid w:val="00AC2EB3"/>
    <w:rsid w:val="00AC3602"/>
    <w:rsid w:val="00AC4528"/>
    <w:rsid w:val="00AC4A45"/>
    <w:rsid w:val="00AC66F7"/>
    <w:rsid w:val="00AC6A8A"/>
    <w:rsid w:val="00AC6AE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4881"/>
    <w:rsid w:val="00AD4B73"/>
    <w:rsid w:val="00AD5B8C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54D2"/>
    <w:rsid w:val="00AF5C91"/>
    <w:rsid w:val="00AF694B"/>
    <w:rsid w:val="00AF6A70"/>
    <w:rsid w:val="00B00B4C"/>
    <w:rsid w:val="00B01363"/>
    <w:rsid w:val="00B01894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65F1"/>
    <w:rsid w:val="00B27704"/>
    <w:rsid w:val="00B278EA"/>
    <w:rsid w:val="00B27CED"/>
    <w:rsid w:val="00B315F8"/>
    <w:rsid w:val="00B317D2"/>
    <w:rsid w:val="00B31859"/>
    <w:rsid w:val="00B32B3E"/>
    <w:rsid w:val="00B33C47"/>
    <w:rsid w:val="00B35150"/>
    <w:rsid w:val="00B3611F"/>
    <w:rsid w:val="00B40513"/>
    <w:rsid w:val="00B416B1"/>
    <w:rsid w:val="00B41944"/>
    <w:rsid w:val="00B41C84"/>
    <w:rsid w:val="00B41F5C"/>
    <w:rsid w:val="00B4202A"/>
    <w:rsid w:val="00B42AF7"/>
    <w:rsid w:val="00B42E0F"/>
    <w:rsid w:val="00B437A3"/>
    <w:rsid w:val="00B43895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1982"/>
    <w:rsid w:val="00B61E8D"/>
    <w:rsid w:val="00B61F0C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7035E"/>
    <w:rsid w:val="00B708CF"/>
    <w:rsid w:val="00B71282"/>
    <w:rsid w:val="00B71B4C"/>
    <w:rsid w:val="00B72B0F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777E"/>
    <w:rsid w:val="00B913A2"/>
    <w:rsid w:val="00B9144A"/>
    <w:rsid w:val="00B91881"/>
    <w:rsid w:val="00B91E26"/>
    <w:rsid w:val="00B91F83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6A99"/>
    <w:rsid w:val="00BA6ACF"/>
    <w:rsid w:val="00BA6C9C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C9D"/>
    <w:rsid w:val="00BC0715"/>
    <w:rsid w:val="00BC0C21"/>
    <w:rsid w:val="00BC1AF5"/>
    <w:rsid w:val="00BC393D"/>
    <w:rsid w:val="00BC3D54"/>
    <w:rsid w:val="00BC48C3"/>
    <w:rsid w:val="00BC53D3"/>
    <w:rsid w:val="00BC54B1"/>
    <w:rsid w:val="00BC54B5"/>
    <w:rsid w:val="00BC62C0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E0B76"/>
    <w:rsid w:val="00BE0E74"/>
    <w:rsid w:val="00BE1014"/>
    <w:rsid w:val="00BE1086"/>
    <w:rsid w:val="00BE24DC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3DA1"/>
    <w:rsid w:val="00BF446C"/>
    <w:rsid w:val="00BF5152"/>
    <w:rsid w:val="00BF6806"/>
    <w:rsid w:val="00BF71B6"/>
    <w:rsid w:val="00BF7F36"/>
    <w:rsid w:val="00C00C9F"/>
    <w:rsid w:val="00C011C5"/>
    <w:rsid w:val="00C046DF"/>
    <w:rsid w:val="00C04854"/>
    <w:rsid w:val="00C050F5"/>
    <w:rsid w:val="00C068C2"/>
    <w:rsid w:val="00C07222"/>
    <w:rsid w:val="00C10C81"/>
    <w:rsid w:val="00C10CAB"/>
    <w:rsid w:val="00C11AEB"/>
    <w:rsid w:val="00C12073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DBE"/>
    <w:rsid w:val="00C20EA7"/>
    <w:rsid w:val="00C20F83"/>
    <w:rsid w:val="00C21A18"/>
    <w:rsid w:val="00C21CB1"/>
    <w:rsid w:val="00C22A8E"/>
    <w:rsid w:val="00C22B46"/>
    <w:rsid w:val="00C22DF6"/>
    <w:rsid w:val="00C2410B"/>
    <w:rsid w:val="00C24B0E"/>
    <w:rsid w:val="00C2622C"/>
    <w:rsid w:val="00C2681D"/>
    <w:rsid w:val="00C27AE0"/>
    <w:rsid w:val="00C30300"/>
    <w:rsid w:val="00C30806"/>
    <w:rsid w:val="00C30C4F"/>
    <w:rsid w:val="00C31C06"/>
    <w:rsid w:val="00C33CE0"/>
    <w:rsid w:val="00C33E60"/>
    <w:rsid w:val="00C34433"/>
    <w:rsid w:val="00C3459C"/>
    <w:rsid w:val="00C348E4"/>
    <w:rsid w:val="00C351EE"/>
    <w:rsid w:val="00C37207"/>
    <w:rsid w:val="00C37C6A"/>
    <w:rsid w:val="00C40D8B"/>
    <w:rsid w:val="00C43302"/>
    <w:rsid w:val="00C4331E"/>
    <w:rsid w:val="00C4349C"/>
    <w:rsid w:val="00C43FA3"/>
    <w:rsid w:val="00C44176"/>
    <w:rsid w:val="00C45018"/>
    <w:rsid w:val="00C509AE"/>
    <w:rsid w:val="00C519FC"/>
    <w:rsid w:val="00C527EF"/>
    <w:rsid w:val="00C52A0E"/>
    <w:rsid w:val="00C52CDD"/>
    <w:rsid w:val="00C5328E"/>
    <w:rsid w:val="00C5398D"/>
    <w:rsid w:val="00C53CCF"/>
    <w:rsid w:val="00C54B3D"/>
    <w:rsid w:val="00C55358"/>
    <w:rsid w:val="00C556A1"/>
    <w:rsid w:val="00C55CED"/>
    <w:rsid w:val="00C5609D"/>
    <w:rsid w:val="00C578A5"/>
    <w:rsid w:val="00C57B09"/>
    <w:rsid w:val="00C6038D"/>
    <w:rsid w:val="00C60738"/>
    <w:rsid w:val="00C60A0C"/>
    <w:rsid w:val="00C61E9D"/>
    <w:rsid w:val="00C62586"/>
    <w:rsid w:val="00C6286A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AAA"/>
    <w:rsid w:val="00C707D3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4DA4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4BFF"/>
    <w:rsid w:val="00CB5E9A"/>
    <w:rsid w:val="00CB656C"/>
    <w:rsid w:val="00CB69C3"/>
    <w:rsid w:val="00CB6A99"/>
    <w:rsid w:val="00CB7DDC"/>
    <w:rsid w:val="00CB7DFC"/>
    <w:rsid w:val="00CC0431"/>
    <w:rsid w:val="00CC124D"/>
    <w:rsid w:val="00CC18E0"/>
    <w:rsid w:val="00CC297C"/>
    <w:rsid w:val="00CC3304"/>
    <w:rsid w:val="00CC4435"/>
    <w:rsid w:val="00CC4D5C"/>
    <w:rsid w:val="00CC54B6"/>
    <w:rsid w:val="00CC65A8"/>
    <w:rsid w:val="00CC6AE5"/>
    <w:rsid w:val="00CC6D98"/>
    <w:rsid w:val="00CC6E6A"/>
    <w:rsid w:val="00CC7B0D"/>
    <w:rsid w:val="00CD0110"/>
    <w:rsid w:val="00CD0408"/>
    <w:rsid w:val="00CD110A"/>
    <w:rsid w:val="00CD1E20"/>
    <w:rsid w:val="00CD2635"/>
    <w:rsid w:val="00CD33FB"/>
    <w:rsid w:val="00CD35F9"/>
    <w:rsid w:val="00CD3B8D"/>
    <w:rsid w:val="00CD4CA2"/>
    <w:rsid w:val="00CD5266"/>
    <w:rsid w:val="00CD5913"/>
    <w:rsid w:val="00CD5B04"/>
    <w:rsid w:val="00CD675C"/>
    <w:rsid w:val="00CD6B12"/>
    <w:rsid w:val="00CD6E35"/>
    <w:rsid w:val="00CE0BE2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C9B"/>
    <w:rsid w:val="00CF21C9"/>
    <w:rsid w:val="00CF28C4"/>
    <w:rsid w:val="00CF3308"/>
    <w:rsid w:val="00CF363D"/>
    <w:rsid w:val="00CF3E15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20F3"/>
    <w:rsid w:val="00D02671"/>
    <w:rsid w:val="00D029A9"/>
    <w:rsid w:val="00D0304E"/>
    <w:rsid w:val="00D049F0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20F85"/>
    <w:rsid w:val="00D20FF4"/>
    <w:rsid w:val="00D21187"/>
    <w:rsid w:val="00D2198A"/>
    <w:rsid w:val="00D21B79"/>
    <w:rsid w:val="00D226F4"/>
    <w:rsid w:val="00D24FED"/>
    <w:rsid w:val="00D258BD"/>
    <w:rsid w:val="00D25B57"/>
    <w:rsid w:val="00D26475"/>
    <w:rsid w:val="00D27347"/>
    <w:rsid w:val="00D31A6F"/>
    <w:rsid w:val="00D3274A"/>
    <w:rsid w:val="00D32807"/>
    <w:rsid w:val="00D32A30"/>
    <w:rsid w:val="00D3467A"/>
    <w:rsid w:val="00D35408"/>
    <w:rsid w:val="00D35E73"/>
    <w:rsid w:val="00D35FE4"/>
    <w:rsid w:val="00D36059"/>
    <w:rsid w:val="00D3684E"/>
    <w:rsid w:val="00D37581"/>
    <w:rsid w:val="00D4014C"/>
    <w:rsid w:val="00D4054C"/>
    <w:rsid w:val="00D40E0F"/>
    <w:rsid w:val="00D413D9"/>
    <w:rsid w:val="00D4149C"/>
    <w:rsid w:val="00D41669"/>
    <w:rsid w:val="00D42D2A"/>
    <w:rsid w:val="00D45EBB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DD9"/>
    <w:rsid w:val="00DA2300"/>
    <w:rsid w:val="00DA23C2"/>
    <w:rsid w:val="00DA24FD"/>
    <w:rsid w:val="00DA2A7D"/>
    <w:rsid w:val="00DA3314"/>
    <w:rsid w:val="00DA44D3"/>
    <w:rsid w:val="00DA53CF"/>
    <w:rsid w:val="00DA5665"/>
    <w:rsid w:val="00DA72ED"/>
    <w:rsid w:val="00DA7752"/>
    <w:rsid w:val="00DB13C1"/>
    <w:rsid w:val="00DB2226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CCC"/>
    <w:rsid w:val="00DC4FCA"/>
    <w:rsid w:val="00DC5A8C"/>
    <w:rsid w:val="00DC5BC9"/>
    <w:rsid w:val="00DC5F07"/>
    <w:rsid w:val="00DC63AB"/>
    <w:rsid w:val="00DC6459"/>
    <w:rsid w:val="00DD05DA"/>
    <w:rsid w:val="00DD08F9"/>
    <w:rsid w:val="00DD0C74"/>
    <w:rsid w:val="00DD0E5F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D7FFD"/>
    <w:rsid w:val="00DE078D"/>
    <w:rsid w:val="00DE07DA"/>
    <w:rsid w:val="00DE0B84"/>
    <w:rsid w:val="00DE1308"/>
    <w:rsid w:val="00DE19F8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94F"/>
    <w:rsid w:val="00DF75B7"/>
    <w:rsid w:val="00DF7C0A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BE6"/>
    <w:rsid w:val="00E03E62"/>
    <w:rsid w:val="00E05B5E"/>
    <w:rsid w:val="00E06427"/>
    <w:rsid w:val="00E07262"/>
    <w:rsid w:val="00E0765A"/>
    <w:rsid w:val="00E100B3"/>
    <w:rsid w:val="00E10A1A"/>
    <w:rsid w:val="00E1108D"/>
    <w:rsid w:val="00E12059"/>
    <w:rsid w:val="00E12529"/>
    <w:rsid w:val="00E12DC7"/>
    <w:rsid w:val="00E1301A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11A3"/>
    <w:rsid w:val="00E218B1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209"/>
    <w:rsid w:val="00E373A0"/>
    <w:rsid w:val="00E37477"/>
    <w:rsid w:val="00E37BE5"/>
    <w:rsid w:val="00E4083A"/>
    <w:rsid w:val="00E40B8A"/>
    <w:rsid w:val="00E42808"/>
    <w:rsid w:val="00E44C21"/>
    <w:rsid w:val="00E45F8C"/>
    <w:rsid w:val="00E46586"/>
    <w:rsid w:val="00E46C41"/>
    <w:rsid w:val="00E46E1C"/>
    <w:rsid w:val="00E477B4"/>
    <w:rsid w:val="00E47EC5"/>
    <w:rsid w:val="00E50171"/>
    <w:rsid w:val="00E50782"/>
    <w:rsid w:val="00E5080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70BA"/>
    <w:rsid w:val="00E5742B"/>
    <w:rsid w:val="00E6059E"/>
    <w:rsid w:val="00E60780"/>
    <w:rsid w:val="00E63BDF"/>
    <w:rsid w:val="00E63C06"/>
    <w:rsid w:val="00E65FAE"/>
    <w:rsid w:val="00E709F1"/>
    <w:rsid w:val="00E71DF7"/>
    <w:rsid w:val="00E7204B"/>
    <w:rsid w:val="00E72174"/>
    <w:rsid w:val="00E72DDD"/>
    <w:rsid w:val="00E73625"/>
    <w:rsid w:val="00E73ACB"/>
    <w:rsid w:val="00E747D1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7907"/>
    <w:rsid w:val="00EA05C3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42C5"/>
    <w:rsid w:val="00EB5FBB"/>
    <w:rsid w:val="00EB7653"/>
    <w:rsid w:val="00EC0040"/>
    <w:rsid w:val="00EC08F7"/>
    <w:rsid w:val="00EC184B"/>
    <w:rsid w:val="00EC1CEB"/>
    <w:rsid w:val="00EC1F86"/>
    <w:rsid w:val="00EC2D4C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2EC7"/>
    <w:rsid w:val="00EE3D3F"/>
    <w:rsid w:val="00EE45B1"/>
    <w:rsid w:val="00EE50EB"/>
    <w:rsid w:val="00EE565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6A93"/>
    <w:rsid w:val="00EF6EBE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C42"/>
    <w:rsid w:val="00F0408D"/>
    <w:rsid w:val="00F04A8A"/>
    <w:rsid w:val="00F0796E"/>
    <w:rsid w:val="00F11044"/>
    <w:rsid w:val="00F110F1"/>
    <w:rsid w:val="00F1133C"/>
    <w:rsid w:val="00F1150A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27870"/>
    <w:rsid w:val="00F30FFF"/>
    <w:rsid w:val="00F31324"/>
    <w:rsid w:val="00F324FA"/>
    <w:rsid w:val="00F32A0C"/>
    <w:rsid w:val="00F32BEB"/>
    <w:rsid w:val="00F32FB7"/>
    <w:rsid w:val="00F33C13"/>
    <w:rsid w:val="00F33F31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715"/>
    <w:rsid w:val="00F52C0D"/>
    <w:rsid w:val="00F5401E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B50"/>
    <w:rsid w:val="00F71D6C"/>
    <w:rsid w:val="00F72A20"/>
    <w:rsid w:val="00F72F1C"/>
    <w:rsid w:val="00F73ABC"/>
    <w:rsid w:val="00F73EA8"/>
    <w:rsid w:val="00F74323"/>
    <w:rsid w:val="00F75495"/>
    <w:rsid w:val="00F75A33"/>
    <w:rsid w:val="00F763BF"/>
    <w:rsid w:val="00F76619"/>
    <w:rsid w:val="00F76E21"/>
    <w:rsid w:val="00F7742F"/>
    <w:rsid w:val="00F8056F"/>
    <w:rsid w:val="00F80607"/>
    <w:rsid w:val="00F80650"/>
    <w:rsid w:val="00F80F48"/>
    <w:rsid w:val="00F8158F"/>
    <w:rsid w:val="00F82124"/>
    <w:rsid w:val="00F822DC"/>
    <w:rsid w:val="00F833E4"/>
    <w:rsid w:val="00F83D62"/>
    <w:rsid w:val="00F84142"/>
    <w:rsid w:val="00F84A3C"/>
    <w:rsid w:val="00F85C2F"/>
    <w:rsid w:val="00F85FA0"/>
    <w:rsid w:val="00F86296"/>
    <w:rsid w:val="00F863CC"/>
    <w:rsid w:val="00F87BFC"/>
    <w:rsid w:val="00F901AC"/>
    <w:rsid w:val="00F90B0A"/>
    <w:rsid w:val="00F9155F"/>
    <w:rsid w:val="00F91B0D"/>
    <w:rsid w:val="00F924A6"/>
    <w:rsid w:val="00F9286F"/>
    <w:rsid w:val="00F933A0"/>
    <w:rsid w:val="00F9363B"/>
    <w:rsid w:val="00F93930"/>
    <w:rsid w:val="00F93D7D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DA5"/>
    <w:rsid w:val="00FB03C3"/>
    <w:rsid w:val="00FB07F6"/>
    <w:rsid w:val="00FB0BA2"/>
    <w:rsid w:val="00FB13E8"/>
    <w:rsid w:val="00FB177C"/>
    <w:rsid w:val="00FB21CC"/>
    <w:rsid w:val="00FB2584"/>
    <w:rsid w:val="00FB32C3"/>
    <w:rsid w:val="00FB37F5"/>
    <w:rsid w:val="00FB4D9F"/>
    <w:rsid w:val="00FB4E9E"/>
    <w:rsid w:val="00FB550E"/>
    <w:rsid w:val="00FB7DFA"/>
    <w:rsid w:val="00FC0835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673"/>
    <w:rsid w:val="00FE3A29"/>
    <w:rsid w:val="00FE43B0"/>
    <w:rsid w:val="00FE47A3"/>
    <w:rsid w:val="00FE4DFD"/>
    <w:rsid w:val="00FE534A"/>
    <w:rsid w:val="00FE547D"/>
    <w:rsid w:val="00FE564B"/>
    <w:rsid w:val="00FE742C"/>
    <w:rsid w:val="00FF005F"/>
    <w:rsid w:val="00FF071B"/>
    <w:rsid w:val="00FF0961"/>
    <w:rsid w:val="00FF0F21"/>
    <w:rsid w:val="00FF0FFD"/>
    <w:rsid w:val="00FF176C"/>
    <w:rsid w:val="00FF1DAD"/>
    <w:rsid w:val="00FF3BD7"/>
    <w:rsid w:val="00FF48F5"/>
    <w:rsid w:val="00FF535D"/>
    <w:rsid w:val="00FF64D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C1B6-606E-4D1F-8DA5-85F4D33D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7</Pages>
  <Words>881</Words>
  <Characters>5024</Characters>
  <Application>Microsoft Office Word</Application>
  <DocSecurity>0</DocSecurity>
  <Lines>41</Lines>
  <Paragraphs>11</Paragraphs>
  <ScaleCrop>false</ScaleCrop>
  <Company>Microsoft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yunjb</dc:creator>
  <cp:lastModifiedBy>周小雍</cp:lastModifiedBy>
  <cp:revision>556</cp:revision>
  <cp:lastPrinted>2014-07-28T12:52:00Z</cp:lastPrinted>
  <dcterms:created xsi:type="dcterms:W3CDTF">2014-04-28T02:44:00Z</dcterms:created>
  <dcterms:modified xsi:type="dcterms:W3CDTF">2014-07-28T12:57:00Z</dcterms:modified>
</cp:coreProperties>
</file>