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二〇一四年七月十九日</w:t>
      </w:r>
    </w:p>
    <w:p w:rsidR="009238DB" w:rsidRPr="007F52FA" w:rsidRDefault="009238DB" w:rsidP="0088042A">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61795" w:rsidRDefault="0088042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61795" w:rsidRDefault="0088042A">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61795" w:rsidRDefault="0088042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61795" w:rsidRDefault="0088042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61795" w:rsidRDefault="0088042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88042A">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6200E" w:rsidRPr="007F52FA" w:rsidTr="00F32579">
        <w:trPr>
          <w:jc w:val="center"/>
        </w:trPr>
        <w:tc>
          <w:tcPr>
            <w:tcW w:w="2835"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479"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F32579">
        <w:trPr>
          <w:jc w:val="center"/>
        </w:trPr>
        <w:tc>
          <w:tcPr>
            <w:tcW w:w="2835"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479"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479"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479"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18,163,915.93</w:t>
            </w:r>
            <w:r w:rsidRPr="007F52FA">
              <w:rPr>
                <w:color w:val="000000"/>
                <w:kern w:val="0"/>
                <w:sz w:val="24"/>
              </w:rPr>
              <w:t>份</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w:t>
            </w:r>
            <w:r w:rsidRPr="007F52FA">
              <w:rPr>
                <w:color w:val="000000"/>
                <w:kern w:val="0"/>
                <w:sz w:val="24"/>
              </w:rPr>
              <w:lastRenderedPageBreak/>
              <w:t>前提下，本基金适度关注股票、权证市场的运行状况与相应风险收益特征，有效把握投资机会，适时增强组合收益。</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739"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2740"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FD45FA" w:rsidRPr="007F52FA" w:rsidTr="00F32579">
        <w:trPr>
          <w:jc w:val="center"/>
        </w:trPr>
        <w:tc>
          <w:tcPr>
            <w:tcW w:w="2835" w:type="dxa"/>
            <w:vAlign w:val="center"/>
          </w:tcPr>
          <w:p w:rsidR="00FD45FA" w:rsidRPr="007F52FA" w:rsidRDefault="00FD45FA"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739" w:type="dxa"/>
            <w:vAlign w:val="center"/>
          </w:tcPr>
          <w:p w:rsidR="00FD45FA" w:rsidRPr="007F52FA" w:rsidRDefault="00FD45FA"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2740" w:type="dxa"/>
            <w:vAlign w:val="center"/>
          </w:tcPr>
          <w:p w:rsidR="00FD45FA" w:rsidRPr="007F52FA" w:rsidRDefault="00FD45FA" w:rsidP="007C14DF">
            <w:pPr>
              <w:spacing w:before="29" w:line="288" w:lineRule="auto"/>
              <w:jc w:val="left"/>
              <w:rPr>
                <w:color w:val="000000" w:themeColor="text1"/>
                <w:sz w:val="24"/>
              </w:rPr>
            </w:pPr>
            <w:r w:rsidRPr="007F52FA">
              <w:rPr>
                <w:color w:val="000000" w:themeColor="text1"/>
                <w:sz w:val="24"/>
              </w:rPr>
              <w:t>519735</w:t>
            </w:r>
          </w:p>
        </w:tc>
      </w:tr>
      <w:tr w:rsidR="00FD45FA" w:rsidRPr="007F52FA" w:rsidTr="00F32579">
        <w:trPr>
          <w:jc w:val="center"/>
        </w:trPr>
        <w:tc>
          <w:tcPr>
            <w:tcW w:w="2835" w:type="dxa"/>
            <w:vAlign w:val="center"/>
          </w:tcPr>
          <w:p w:rsidR="00FD45FA" w:rsidRPr="007F52FA" w:rsidRDefault="00FD45FA"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739" w:type="dxa"/>
            <w:vAlign w:val="center"/>
          </w:tcPr>
          <w:p w:rsidR="00FD45FA" w:rsidRPr="007F52FA" w:rsidRDefault="00FD45FA" w:rsidP="007C14DF">
            <w:pPr>
              <w:spacing w:before="29" w:line="288" w:lineRule="auto"/>
              <w:jc w:val="left"/>
              <w:rPr>
                <w:sz w:val="24"/>
              </w:rPr>
            </w:pPr>
            <w:r w:rsidRPr="007F52FA">
              <w:rPr>
                <w:sz w:val="24"/>
              </w:rPr>
              <w:t>13,871,173.66</w:t>
            </w:r>
            <w:r w:rsidRPr="007F52FA">
              <w:rPr>
                <w:color w:val="000000"/>
                <w:kern w:val="0"/>
                <w:sz w:val="24"/>
              </w:rPr>
              <w:t>份</w:t>
            </w:r>
          </w:p>
        </w:tc>
        <w:tc>
          <w:tcPr>
            <w:tcW w:w="2740" w:type="dxa"/>
            <w:vAlign w:val="center"/>
          </w:tcPr>
          <w:p w:rsidR="00FD45FA" w:rsidRPr="007F52FA" w:rsidRDefault="00FD45FA" w:rsidP="007C14DF">
            <w:pPr>
              <w:spacing w:before="29" w:line="288" w:lineRule="auto"/>
              <w:jc w:val="left"/>
              <w:rPr>
                <w:sz w:val="24"/>
              </w:rPr>
            </w:pPr>
            <w:r w:rsidRPr="007F52FA">
              <w:rPr>
                <w:sz w:val="24"/>
              </w:rPr>
              <w:t>4,292,742.27</w:t>
            </w:r>
            <w:r w:rsidR="00C13116"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88042A">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160,212.87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44,126.59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303,141.08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89,305.89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14,172,041.91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4,387,178.06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1.022</w:t>
            </w:r>
          </w:p>
        </w:tc>
      </w:tr>
    </w:tbl>
    <w:p w:rsidR="00B61795" w:rsidRDefault="0088042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B61795" w:rsidRDefault="0088042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1795">
        <w:trPr>
          <w:jc w:val="center"/>
        </w:trPr>
        <w:tc>
          <w:tcPr>
            <w:tcW w:w="1266" w:type="dxa"/>
            <w:vAlign w:val="center"/>
          </w:tcPr>
          <w:p w:rsidR="00B61795" w:rsidRDefault="0088042A">
            <w:pPr>
              <w:jc w:val="left"/>
            </w:pPr>
            <w:r>
              <w:rPr>
                <w:color w:val="000000"/>
                <w:sz w:val="24"/>
              </w:rPr>
              <w:t>过去三个月</w:t>
            </w:r>
          </w:p>
        </w:tc>
        <w:tc>
          <w:tcPr>
            <w:tcW w:w="1267" w:type="dxa"/>
            <w:vAlign w:val="center"/>
          </w:tcPr>
          <w:p w:rsidR="00B61795" w:rsidRDefault="0088042A">
            <w:pPr>
              <w:jc w:val="center"/>
            </w:pPr>
            <w:r>
              <w:rPr>
                <w:color w:val="000000"/>
                <w:sz w:val="24"/>
              </w:rPr>
              <w:t>1.69%</w:t>
            </w:r>
          </w:p>
        </w:tc>
        <w:tc>
          <w:tcPr>
            <w:tcW w:w="1267" w:type="dxa"/>
            <w:vAlign w:val="center"/>
          </w:tcPr>
          <w:p w:rsidR="00B61795" w:rsidRDefault="0088042A">
            <w:pPr>
              <w:jc w:val="center"/>
            </w:pPr>
            <w:r>
              <w:rPr>
                <w:color w:val="000000"/>
                <w:sz w:val="24"/>
              </w:rPr>
              <w:t>0.07%</w:t>
            </w:r>
          </w:p>
        </w:tc>
        <w:tc>
          <w:tcPr>
            <w:tcW w:w="1267" w:type="dxa"/>
            <w:vAlign w:val="center"/>
          </w:tcPr>
          <w:p w:rsidR="00B61795" w:rsidRDefault="0088042A">
            <w:pPr>
              <w:jc w:val="center"/>
            </w:pPr>
            <w:r>
              <w:rPr>
                <w:color w:val="000000"/>
                <w:sz w:val="24"/>
              </w:rPr>
              <w:t>2.42%</w:t>
            </w:r>
          </w:p>
        </w:tc>
        <w:tc>
          <w:tcPr>
            <w:tcW w:w="1267" w:type="dxa"/>
            <w:vAlign w:val="center"/>
          </w:tcPr>
          <w:p w:rsidR="00B61795" w:rsidRDefault="0088042A">
            <w:pPr>
              <w:jc w:val="center"/>
            </w:pPr>
            <w:r>
              <w:rPr>
                <w:color w:val="000000"/>
                <w:sz w:val="24"/>
              </w:rPr>
              <w:t>0.09%</w:t>
            </w:r>
          </w:p>
        </w:tc>
        <w:tc>
          <w:tcPr>
            <w:tcW w:w="1267" w:type="dxa"/>
            <w:vAlign w:val="center"/>
          </w:tcPr>
          <w:p w:rsidR="00B61795" w:rsidRDefault="0088042A">
            <w:pPr>
              <w:jc w:val="center"/>
            </w:pPr>
            <w:r>
              <w:rPr>
                <w:color w:val="000000"/>
                <w:sz w:val="24"/>
              </w:rPr>
              <w:t>-0.73%</w:t>
            </w:r>
          </w:p>
        </w:tc>
        <w:tc>
          <w:tcPr>
            <w:tcW w:w="1267" w:type="dxa"/>
            <w:vAlign w:val="center"/>
          </w:tcPr>
          <w:p w:rsidR="00B61795" w:rsidRDefault="0088042A">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1795">
        <w:trPr>
          <w:jc w:val="center"/>
        </w:trPr>
        <w:tc>
          <w:tcPr>
            <w:tcW w:w="1266" w:type="dxa"/>
            <w:vAlign w:val="center"/>
          </w:tcPr>
          <w:p w:rsidR="00B61795" w:rsidRDefault="0088042A">
            <w:pPr>
              <w:jc w:val="left"/>
            </w:pPr>
            <w:r>
              <w:rPr>
                <w:color w:val="000000"/>
                <w:sz w:val="24"/>
              </w:rPr>
              <w:t>过去三个月</w:t>
            </w:r>
          </w:p>
        </w:tc>
        <w:tc>
          <w:tcPr>
            <w:tcW w:w="1267" w:type="dxa"/>
            <w:vAlign w:val="center"/>
          </w:tcPr>
          <w:p w:rsidR="00B61795" w:rsidRDefault="0088042A">
            <w:pPr>
              <w:jc w:val="center"/>
            </w:pPr>
            <w:r>
              <w:rPr>
                <w:color w:val="000000"/>
                <w:sz w:val="24"/>
              </w:rPr>
              <w:t>1.59%</w:t>
            </w:r>
          </w:p>
        </w:tc>
        <w:tc>
          <w:tcPr>
            <w:tcW w:w="1267" w:type="dxa"/>
            <w:vAlign w:val="center"/>
          </w:tcPr>
          <w:p w:rsidR="00B61795" w:rsidRDefault="0088042A">
            <w:pPr>
              <w:jc w:val="center"/>
            </w:pPr>
            <w:r>
              <w:rPr>
                <w:color w:val="000000"/>
                <w:sz w:val="24"/>
              </w:rPr>
              <w:t>0.07%</w:t>
            </w:r>
          </w:p>
        </w:tc>
        <w:tc>
          <w:tcPr>
            <w:tcW w:w="1267" w:type="dxa"/>
            <w:vAlign w:val="center"/>
          </w:tcPr>
          <w:p w:rsidR="00B61795" w:rsidRDefault="0088042A">
            <w:pPr>
              <w:jc w:val="center"/>
            </w:pPr>
            <w:r>
              <w:rPr>
                <w:color w:val="000000"/>
                <w:sz w:val="24"/>
              </w:rPr>
              <w:t>2.42%</w:t>
            </w:r>
          </w:p>
        </w:tc>
        <w:tc>
          <w:tcPr>
            <w:tcW w:w="1267" w:type="dxa"/>
            <w:vAlign w:val="center"/>
          </w:tcPr>
          <w:p w:rsidR="00B61795" w:rsidRDefault="0088042A">
            <w:pPr>
              <w:jc w:val="center"/>
            </w:pPr>
            <w:r>
              <w:rPr>
                <w:color w:val="000000"/>
                <w:sz w:val="24"/>
              </w:rPr>
              <w:t>0.09%</w:t>
            </w:r>
          </w:p>
        </w:tc>
        <w:tc>
          <w:tcPr>
            <w:tcW w:w="1267" w:type="dxa"/>
            <w:vAlign w:val="center"/>
          </w:tcPr>
          <w:p w:rsidR="00B61795" w:rsidRDefault="0088042A">
            <w:pPr>
              <w:jc w:val="center"/>
            </w:pPr>
            <w:r>
              <w:rPr>
                <w:color w:val="000000"/>
                <w:sz w:val="24"/>
              </w:rPr>
              <w:t>-0.83%</w:t>
            </w:r>
          </w:p>
        </w:tc>
        <w:tc>
          <w:tcPr>
            <w:tcW w:w="1267" w:type="dxa"/>
            <w:vAlign w:val="center"/>
          </w:tcPr>
          <w:p w:rsidR="00B61795" w:rsidRDefault="00B16800">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rsidR="009238DB" w:rsidRPr="007F52FA" w:rsidRDefault="009238DB" w:rsidP="0088042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61795">
        <w:trPr>
          <w:jc w:val="center"/>
        </w:trPr>
        <w:tc>
          <w:tcPr>
            <w:tcW w:w="946" w:type="dxa"/>
            <w:vAlign w:val="center"/>
          </w:tcPr>
          <w:p w:rsidR="00B61795" w:rsidRDefault="0088042A">
            <w:pPr>
              <w:jc w:val="center"/>
            </w:pPr>
            <w:r>
              <w:rPr>
                <w:color w:val="000000"/>
                <w:sz w:val="24"/>
              </w:rPr>
              <w:t>赵凌琦</w:t>
            </w:r>
          </w:p>
        </w:tc>
        <w:tc>
          <w:tcPr>
            <w:tcW w:w="924" w:type="dxa"/>
            <w:vAlign w:val="center"/>
          </w:tcPr>
          <w:p w:rsidR="00B61795" w:rsidRDefault="0088042A">
            <w:pPr>
              <w:jc w:val="center"/>
            </w:pPr>
            <w:r>
              <w:rPr>
                <w:color w:val="000000"/>
                <w:sz w:val="24"/>
              </w:rPr>
              <w:t>本基金、交银理财</w:t>
            </w:r>
            <w:r>
              <w:rPr>
                <w:color w:val="000000"/>
                <w:sz w:val="24"/>
              </w:rPr>
              <w:t>60</w:t>
            </w:r>
            <w:r>
              <w:rPr>
                <w:color w:val="000000"/>
                <w:sz w:val="24"/>
              </w:rPr>
              <w:t>天债券、交银双轮动债券、交银定期支付月月丰债券的基金经理，公司固定收益部副总经理</w:t>
            </w:r>
          </w:p>
        </w:tc>
        <w:tc>
          <w:tcPr>
            <w:tcW w:w="1202" w:type="dxa"/>
            <w:vAlign w:val="center"/>
          </w:tcPr>
          <w:p w:rsidR="00B61795" w:rsidRDefault="0088042A">
            <w:pPr>
              <w:jc w:val="center"/>
            </w:pPr>
            <w:r>
              <w:rPr>
                <w:color w:val="000000"/>
                <w:sz w:val="24"/>
              </w:rPr>
              <w:t>2014-01-28</w:t>
            </w:r>
          </w:p>
        </w:tc>
        <w:tc>
          <w:tcPr>
            <w:tcW w:w="1300" w:type="dxa"/>
            <w:vAlign w:val="center"/>
          </w:tcPr>
          <w:p w:rsidR="00B61795" w:rsidRDefault="0088042A">
            <w:pPr>
              <w:jc w:val="center"/>
            </w:pPr>
            <w:r>
              <w:rPr>
                <w:color w:val="000000"/>
                <w:sz w:val="24"/>
              </w:rPr>
              <w:t>-</w:t>
            </w:r>
          </w:p>
        </w:tc>
        <w:tc>
          <w:tcPr>
            <w:tcW w:w="1245" w:type="dxa"/>
            <w:vAlign w:val="center"/>
          </w:tcPr>
          <w:p w:rsidR="00B61795" w:rsidRDefault="0088042A">
            <w:pPr>
              <w:jc w:val="center"/>
            </w:pPr>
            <w:r>
              <w:rPr>
                <w:color w:val="000000"/>
                <w:sz w:val="24"/>
              </w:rPr>
              <w:t>1</w:t>
            </w:r>
            <w:r>
              <w:rPr>
                <w:color w:val="000000"/>
                <w:sz w:val="24"/>
              </w:rPr>
              <w:t>年</w:t>
            </w:r>
          </w:p>
        </w:tc>
        <w:tc>
          <w:tcPr>
            <w:tcW w:w="3251" w:type="dxa"/>
            <w:vAlign w:val="center"/>
          </w:tcPr>
          <w:p w:rsidR="00B61795" w:rsidRDefault="0088042A">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B61795">
        <w:trPr>
          <w:jc w:val="center"/>
        </w:trPr>
        <w:tc>
          <w:tcPr>
            <w:tcW w:w="946" w:type="dxa"/>
            <w:vAlign w:val="center"/>
          </w:tcPr>
          <w:p w:rsidR="00B61795" w:rsidRDefault="0088042A">
            <w:pPr>
              <w:jc w:val="center"/>
            </w:pPr>
            <w:r>
              <w:rPr>
                <w:color w:val="000000"/>
                <w:sz w:val="24"/>
              </w:rPr>
              <w:t>李德亮</w:t>
            </w:r>
          </w:p>
        </w:tc>
        <w:tc>
          <w:tcPr>
            <w:tcW w:w="924" w:type="dxa"/>
            <w:vAlign w:val="center"/>
          </w:tcPr>
          <w:p w:rsidR="00B61795" w:rsidRDefault="0088042A">
            <w:pPr>
              <w:jc w:val="center"/>
            </w:pPr>
            <w:r>
              <w:rPr>
                <w:color w:val="000000"/>
                <w:sz w:val="24"/>
              </w:rPr>
              <w:t>本基金、交银施罗德定期支付双息平衡混合型证券投资基</w:t>
            </w:r>
            <w:r>
              <w:rPr>
                <w:color w:val="000000"/>
                <w:sz w:val="24"/>
              </w:rPr>
              <w:lastRenderedPageBreak/>
              <w:t>金的基金经理</w:t>
            </w:r>
          </w:p>
        </w:tc>
        <w:tc>
          <w:tcPr>
            <w:tcW w:w="1202" w:type="dxa"/>
            <w:vAlign w:val="center"/>
          </w:tcPr>
          <w:p w:rsidR="00B61795" w:rsidRDefault="0088042A">
            <w:pPr>
              <w:jc w:val="center"/>
            </w:pPr>
            <w:r>
              <w:rPr>
                <w:color w:val="000000"/>
                <w:sz w:val="24"/>
              </w:rPr>
              <w:lastRenderedPageBreak/>
              <w:t>2014-01-28</w:t>
            </w:r>
          </w:p>
        </w:tc>
        <w:tc>
          <w:tcPr>
            <w:tcW w:w="1300" w:type="dxa"/>
            <w:vAlign w:val="center"/>
          </w:tcPr>
          <w:p w:rsidR="00B61795" w:rsidRDefault="0088042A">
            <w:pPr>
              <w:jc w:val="center"/>
            </w:pPr>
            <w:r>
              <w:rPr>
                <w:color w:val="000000"/>
                <w:sz w:val="24"/>
              </w:rPr>
              <w:t>-</w:t>
            </w:r>
          </w:p>
        </w:tc>
        <w:tc>
          <w:tcPr>
            <w:tcW w:w="1245" w:type="dxa"/>
            <w:vAlign w:val="center"/>
          </w:tcPr>
          <w:p w:rsidR="00B61795" w:rsidRDefault="0088042A">
            <w:pPr>
              <w:jc w:val="center"/>
            </w:pPr>
            <w:r>
              <w:rPr>
                <w:color w:val="000000"/>
                <w:sz w:val="24"/>
              </w:rPr>
              <w:t>8</w:t>
            </w:r>
            <w:r>
              <w:rPr>
                <w:color w:val="000000"/>
                <w:sz w:val="24"/>
              </w:rPr>
              <w:t>年</w:t>
            </w:r>
          </w:p>
        </w:tc>
        <w:tc>
          <w:tcPr>
            <w:tcW w:w="3251" w:type="dxa"/>
            <w:vAlign w:val="center"/>
          </w:tcPr>
          <w:p w:rsidR="00B61795" w:rsidRDefault="0088042A">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bl>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61795" w:rsidRDefault="0088042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61795" w:rsidRDefault="0088042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61795" w:rsidRDefault="0088042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B61795" w:rsidRDefault="0088042A">
      <w:pPr>
        <w:spacing w:before="29" w:line="288" w:lineRule="auto"/>
        <w:ind w:firstLineChars="200" w:firstLine="480"/>
        <w:rPr>
          <w:color w:val="000000"/>
          <w:sz w:val="24"/>
        </w:rPr>
      </w:pPr>
      <w:r>
        <w:rPr>
          <w:color w:val="000000"/>
          <w:sz w:val="24"/>
        </w:rPr>
        <w:t>二季度决策层将稳增长放到更为靠前的位置，定向刺激政策逐步出台，基础建设仍然是对冲经济下行风险的主要支撑力量。财政支出进度加快，服务业增速稳步回升。产能过剩行业去杠杆压力依旧存在。管理层在推出各项微刺激政策的同时，积极引导预期，</w:t>
      </w:r>
      <w:r>
        <w:rPr>
          <w:color w:val="000000"/>
          <w:sz w:val="24"/>
        </w:rPr>
        <w:lastRenderedPageBreak/>
        <w:t>并监督各项微刺激政策尽快落实发挥效果。多管齐下，经济企稳迹象逐渐显现。</w:t>
      </w:r>
    </w:p>
    <w:p w:rsidR="00B61795" w:rsidRDefault="0088042A">
      <w:pPr>
        <w:spacing w:before="29" w:line="288" w:lineRule="auto"/>
        <w:ind w:firstLineChars="200" w:firstLine="480"/>
        <w:rPr>
          <w:color w:val="000000"/>
          <w:sz w:val="24"/>
        </w:rPr>
      </w:pPr>
      <w:r>
        <w:rPr>
          <w:color w:val="000000"/>
          <w:sz w:val="24"/>
        </w:rPr>
        <w:t>二季度以来，市场投资者对于货币政策实质从宽达成一致预期，银行和保险配置力量在非标缩减后出现，以对应负债端较长的期限结构。中长端利率品种收益率下行明显，期限利差收窄，呈现</w:t>
      </w:r>
      <w:r>
        <w:rPr>
          <w:color w:val="000000"/>
          <w:sz w:val="24"/>
        </w:rPr>
        <w:t>“</w:t>
      </w:r>
      <w:r>
        <w:rPr>
          <w:color w:val="000000"/>
          <w:sz w:val="24"/>
        </w:rPr>
        <w:t>牛平</w:t>
      </w:r>
      <w:r>
        <w:rPr>
          <w:color w:val="000000"/>
          <w:sz w:val="24"/>
        </w:rPr>
        <w:t>”</w:t>
      </w:r>
      <w:r>
        <w:rPr>
          <w:color w:val="000000"/>
          <w:sz w:val="24"/>
        </w:rPr>
        <w:t>态势。信用债尤其是城投债行情火爆。中债总全价（总值）指数在</w:t>
      </w:r>
      <w:r>
        <w:rPr>
          <w:color w:val="000000"/>
          <w:sz w:val="24"/>
        </w:rPr>
        <w:t>4</w:t>
      </w:r>
      <w:r>
        <w:rPr>
          <w:color w:val="000000"/>
          <w:sz w:val="24"/>
        </w:rPr>
        <w:t>月、</w:t>
      </w:r>
      <w:r>
        <w:rPr>
          <w:color w:val="000000"/>
          <w:sz w:val="24"/>
        </w:rPr>
        <w:t>5</w:t>
      </w:r>
      <w:r>
        <w:rPr>
          <w:color w:val="000000"/>
          <w:sz w:val="24"/>
        </w:rPr>
        <w:t>月、</w:t>
      </w:r>
      <w:r>
        <w:rPr>
          <w:color w:val="000000"/>
          <w:sz w:val="24"/>
        </w:rPr>
        <w:t>6</w:t>
      </w:r>
      <w:r>
        <w:rPr>
          <w:color w:val="000000"/>
          <w:sz w:val="24"/>
        </w:rPr>
        <w:t>月分别上涨</w:t>
      </w:r>
      <w:r>
        <w:rPr>
          <w:color w:val="000000"/>
          <w:sz w:val="24"/>
        </w:rPr>
        <w:t>0.72%</w:t>
      </w:r>
      <w:r>
        <w:rPr>
          <w:color w:val="000000"/>
          <w:sz w:val="24"/>
        </w:rPr>
        <w:t>、</w:t>
      </w:r>
      <w:r>
        <w:rPr>
          <w:color w:val="000000"/>
          <w:sz w:val="24"/>
        </w:rPr>
        <w:t>1.55%</w:t>
      </w:r>
      <w:r>
        <w:rPr>
          <w:color w:val="000000"/>
          <w:sz w:val="24"/>
        </w:rPr>
        <w:t>和</w:t>
      </w:r>
      <w:r>
        <w:rPr>
          <w:color w:val="000000"/>
          <w:sz w:val="24"/>
        </w:rPr>
        <w:t>0.32%</w:t>
      </w:r>
      <w:r>
        <w:rPr>
          <w:color w:val="000000"/>
          <w:sz w:val="24"/>
        </w:rPr>
        <w:t>。本基金以中等评级信用品种的配置增厚了票息收益和资本利得，并适当参与风险偏好抬升造就的可转债行情。</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局部信用风险上升或是趋势，加上影子银行监管趋严，银行风险偏好预计难回升。央行货币政策趋松确定，银行流动性悲观预期将不断被修正。随着四中全会召开，各级政府工作重心将转移到经济工作上来，三中全会所部署的经济改革有望全面推动。本基金三季度操作上保持对经济全面企稳的警惕，优选个券，以高性价比的信用品种为标的进行配置，规避信用事件的发生。</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日，交银强化回报债券</w:t>
      </w:r>
      <w:r w:rsidRPr="007F52FA">
        <w:rPr>
          <w:color w:val="000000"/>
          <w:sz w:val="24"/>
        </w:rPr>
        <w:t>A/B</w:t>
      </w:r>
      <w:r w:rsidRPr="007F52FA">
        <w:rPr>
          <w:color w:val="000000"/>
          <w:sz w:val="24"/>
        </w:rPr>
        <w:t>份额净值为</w:t>
      </w:r>
      <w:r w:rsidRPr="007F52FA">
        <w:rPr>
          <w:color w:val="000000"/>
          <w:sz w:val="24"/>
        </w:rPr>
        <w:t>1.022</w:t>
      </w:r>
      <w:r w:rsidRPr="007F52FA">
        <w:rPr>
          <w:color w:val="000000"/>
          <w:sz w:val="24"/>
        </w:rPr>
        <w:t>元，本报告期份额净值增长率为</w:t>
      </w:r>
      <w:r w:rsidRPr="007F52FA">
        <w:rPr>
          <w:color w:val="000000"/>
          <w:sz w:val="24"/>
        </w:rPr>
        <w:t>1.69%</w:t>
      </w:r>
      <w:r w:rsidRPr="007F52FA">
        <w:rPr>
          <w:color w:val="000000"/>
          <w:sz w:val="24"/>
        </w:rPr>
        <w:t>，同期业绩比较基准增长率为</w:t>
      </w:r>
      <w:r w:rsidRPr="007F52FA">
        <w:rPr>
          <w:color w:val="000000"/>
          <w:sz w:val="24"/>
        </w:rPr>
        <w:t>2.42%</w:t>
      </w:r>
      <w:r w:rsidRPr="007F52FA">
        <w:rPr>
          <w:color w:val="000000"/>
          <w:sz w:val="24"/>
        </w:rPr>
        <w:t>；交银强化回报债券</w:t>
      </w:r>
      <w:r w:rsidRPr="007F52FA">
        <w:rPr>
          <w:color w:val="000000"/>
          <w:sz w:val="24"/>
        </w:rPr>
        <w:t>C</w:t>
      </w:r>
      <w:r w:rsidRPr="007F52FA">
        <w:rPr>
          <w:color w:val="000000"/>
          <w:sz w:val="24"/>
        </w:rPr>
        <w:t>份额净值为</w:t>
      </w:r>
      <w:r w:rsidRPr="007F52FA">
        <w:rPr>
          <w:color w:val="000000"/>
          <w:sz w:val="24"/>
        </w:rPr>
        <w:t>1.022</w:t>
      </w:r>
      <w:r w:rsidRPr="007F52FA">
        <w:rPr>
          <w:color w:val="000000"/>
          <w:sz w:val="24"/>
        </w:rPr>
        <w:t>元，本报告期份额净值增长率为</w:t>
      </w:r>
      <w:r w:rsidRPr="007F52FA">
        <w:rPr>
          <w:color w:val="000000"/>
          <w:sz w:val="24"/>
        </w:rPr>
        <w:t>1.59%</w:t>
      </w:r>
      <w:r w:rsidRPr="007F52FA">
        <w:rPr>
          <w:color w:val="000000"/>
          <w:sz w:val="24"/>
        </w:rPr>
        <w:t>，同期业绩比较基准增长率为</w:t>
      </w:r>
      <w:r w:rsidRPr="007F52FA">
        <w:rPr>
          <w:color w:val="000000"/>
          <w:sz w:val="24"/>
        </w:rPr>
        <w:t>2.42%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9238DB" w:rsidRPr="007F52FA" w:rsidRDefault="00FF5FC7" w:rsidP="0088042A">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16,333,920.60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71.77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16,333,920.60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71.77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5,176,237.51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22.74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1,249,383.35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5.49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22,759,541.46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5,019,800.00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27.05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5,019,800.00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27.05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6,328,700.00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1,801,620.00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3,183,800.60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17.15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16,333,920.60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88.01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61795">
        <w:trPr>
          <w:jc w:val="center"/>
        </w:trPr>
        <w:tc>
          <w:tcPr>
            <w:tcW w:w="1075" w:type="dxa"/>
            <w:vAlign w:val="center"/>
          </w:tcPr>
          <w:p w:rsidR="00B61795" w:rsidRDefault="0088042A">
            <w:pPr>
              <w:jc w:val="center"/>
            </w:pPr>
            <w:r>
              <w:rPr>
                <w:color w:val="000000"/>
                <w:sz w:val="24"/>
              </w:rPr>
              <w:t>1</w:t>
            </w:r>
          </w:p>
        </w:tc>
        <w:tc>
          <w:tcPr>
            <w:tcW w:w="1533" w:type="dxa"/>
            <w:vAlign w:val="center"/>
          </w:tcPr>
          <w:p w:rsidR="00B61795" w:rsidRDefault="0088042A">
            <w:pPr>
              <w:jc w:val="center"/>
            </w:pPr>
            <w:r>
              <w:rPr>
                <w:color w:val="000000"/>
                <w:sz w:val="24"/>
              </w:rPr>
              <w:t>140207</w:t>
            </w:r>
          </w:p>
        </w:tc>
        <w:tc>
          <w:tcPr>
            <w:tcW w:w="1533" w:type="dxa"/>
            <w:vAlign w:val="center"/>
          </w:tcPr>
          <w:p w:rsidR="00B61795" w:rsidRDefault="0088042A">
            <w:pPr>
              <w:jc w:val="center"/>
            </w:pPr>
            <w:r>
              <w:rPr>
                <w:color w:val="000000"/>
                <w:sz w:val="24"/>
              </w:rPr>
              <w:t>14</w:t>
            </w:r>
            <w:r>
              <w:rPr>
                <w:color w:val="000000"/>
                <w:sz w:val="24"/>
              </w:rPr>
              <w:t>国开</w:t>
            </w:r>
            <w:r>
              <w:rPr>
                <w:color w:val="000000"/>
                <w:sz w:val="24"/>
              </w:rPr>
              <w:t>07</w:t>
            </w:r>
          </w:p>
        </w:tc>
        <w:tc>
          <w:tcPr>
            <w:tcW w:w="1394" w:type="dxa"/>
            <w:vAlign w:val="center"/>
          </w:tcPr>
          <w:p w:rsidR="00B61795" w:rsidRDefault="0088042A">
            <w:pPr>
              <w:jc w:val="right"/>
            </w:pPr>
            <w:r>
              <w:rPr>
                <w:color w:val="000000"/>
                <w:sz w:val="24"/>
              </w:rPr>
              <w:t>30,000</w:t>
            </w:r>
          </w:p>
        </w:tc>
        <w:tc>
          <w:tcPr>
            <w:tcW w:w="1944" w:type="dxa"/>
            <w:vAlign w:val="center"/>
          </w:tcPr>
          <w:p w:rsidR="00B61795" w:rsidRDefault="0088042A">
            <w:pPr>
              <w:jc w:val="right"/>
            </w:pPr>
            <w:r>
              <w:rPr>
                <w:color w:val="000000"/>
                <w:sz w:val="24"/>
              </w:rPr>
              <w:t>3,010,800.00</w:t>
            </w:r>
          </w:p>
        </w:tc>
        <w:tc>
          <w:tcPr>
            <w:tcW w:w="1389" w:type="dxa"/>
            <w:vAlign w:val="center"/>
          </w:tcPr>
          <w:p w:rsidR="00B61795" w:rsidRDefault="0088042A">
            <w:pPr>
              <w:jc w:val="right"/>
            </w:pPr>
            <w:r>
              <w:rPr>
                <w:color w:val="000000"/>
                <w:sz w:val="24"/>
              </w:rPr>
              <w:t>16.22</w:t>
            </w:r>
          </w:p>
        </w:tc>
      </w:tr>
      <w:tr w:rsidR="00B61795">
        <w:trPr>
          <w:jc w:val="center"/>
        </w:trPr>
        <w:tc>
          <w:tcPr>
            <w:tcW w:w="1075" w:type="dxa"/>
            <w:vAlign w:val="center"/>
          </w:tcPr>
          <w:p w:rsidR="00B61795" w:rsidRDefault="0088042A">
            <w:pPr>
              <w:jc w:val="center"/>
            </w:pPr>
            <w:r>
              <w:rPr>
                <w:color w:val="000000"/>
                <w:sz w:val="24"/>
              </w:rPr>
              <w:t>2</w:t>
            </w:r>
          </w:p>
        </w:tc>
        <w:tc>
          <w:tcPr>
            <w:tcW w:w="1533" w:type="dxa"/>
            <w:vAlign w:val="center"/>
          </w:tcPr>
          <w:p w:rsidR="00B61795" w:rsidRDefault="0088042A">
            <w:pPr>
              <w:jc w:val="center"/>
            </w:pPr>
            <w:r>
              <w:rPr>
                <w:color w:val="000000"/>
                <w:sz w:val="24"/>
              </w:rPr>
              <w:t>140204</w:t>
            </w:r>
          </w:p>
        </w:tc>
        <w:tc>
          <w:tcPr>
            <w:tcW w:w="1533" w:type="dxa"/>
            <w:vAlign w:val="center"/>
          </w:tcPr>
          <w:p w:rsidR="00B61795" w:rsidRDefault="0088042A">
            <w:pPr>
              <w:jc w:val="center"/>
            </w:pPr>
            <w:r>
              <w:rPr>
                <w:color w:val="000000"/>
                <w:sz w:val="24"/>
              </w:rPr>
              <w:t>14</w:t>
            </w:r>
            <w:r>
              <w:rPr>
                <w:color w:val="000000"/>
                <w:sz w:val="24"/>
              </w:rPr>
              <w:t>国开</w:t>
            </w:r>
            <w:r>
              <w:rPr>
                <w:color w:val="000000"/>
                <w:sz w:val="24"/>
              </w:rPr>
              <w:t>04</w:t>
            </w:r>
          </w:p>
        </w:tc>
        <w:tc>
          <w:tcPr>
            <w:tcW w:w="1394" w:type="dxa"/>
            <w:vAlign w:val="center"/>
          </w:tcPr>
          <w:p w:rsidR="00B61795" w:rsidRDefault="0088042A">
            <w:pPr>
              <w:jc w:val="right"/>
            </w:pPr>
            <w:r>
              <w:rPr>
                <w:color w:val="000000"/>
                <w:sz w:val="24"/>
              </w:rPr>
              <w:t>20,000</w:t>
            </w:r>
          </w:p>
        </w:tc>
        <w:tc>
          <w:tcPr>
            <w:tcW w:w="1944" w:type="dxa"/>
            <w:vAlign w:val="center"/>
          </w:tcPr>
          <w:p w:rsidR="00B61795" w:rsidRDefault="0088042A">
            <w:pPr>
              <w:jc w:val="right"/>
            </w:pPr>
            <w:r>
              <w:rPr>
                <w:color w:val="000000"/>
                <w:sz w:val="24"/>
              </w:rPr>
              <w:t>2,009,000.00</w:t>
            </w:r>
          </w:p>
        </w:tc>
        <w:tc>
          <w:tcPr>
            <w:tcW w:w="1389" w:type="dxa"/>
            <w:vAlign w:val="center"/>
          </w:tcPr>
          <w:p w:rsidR="00B61795" w:rsidRDefault="0088042A">
            <w:pPr>
              <w:jc w:val="right"/>
            </w:pPr>
            <w:r>
              <w:rPr>
                <w:color w:val="000000"/>
                <w:sz w:val="24"/>
              </w:rPr>
              <w:t>10.82</w:t>
            </w:r>
          </w:p>
        </w:tc>
      </w:tr>
      <w:tr w:rsidR="00B61795">
        <w:trPr>
          <w:jc w:val="center"/>
        </w:trPr>
        <w:tc>
          <w:tcPr>
            <w:tcW w:w="1075" w:type="dxa"/>
            <w:vAlign w:val="center"/>
          </w:tcPr>
          <w:p w:rsidR="00B61795" w:rsidRDefault="0088042A">
            <w:pPr>
              <w:jc w:val="center"/>
            </w:pPr>
            <w:r>
              <w:rPr>
                <w:color w:val="000000"/>
                <w:sz w:val="24"/>
              </w:rPr>
              <w:t>3</w:t>
            </w:r>
          </w:p>
        </w:tc>
        <w:tc>
          <w:tcPr>
            <w:tcW w:w="1533" w:type="dxa"/>
            <w:vAlign w:val="center"/>
          </w:tcPr>
          <w:p w:rsidR="00B61795" w:rsidRDefault="0088042A">
            <w:pPr>
              <w:jc w:val="center"/>
            </w:pPr>
            <w:r>
              <w:rPr>
                <w:color w:val="000000"/>
                <w:sz w:val="24"/>
              </w:rPr>
              <w:t>124123</w:t>
            </w:r>
          </w:p>
        </w:tc>
        <w:tc>
          <w:tcPr>
            <w:tcW w:w="1533" w:type="dxa"/>
            <w:vAlign w:val="center"/>
          </w:tcPr>
          <w:p w:rsidR="00B61795" w:rsidRDefault="0088042A">
            <w:pPr>
              <w:jc w:val="center"/>
            </w:pPr>
            <w:r>
              <w:rPr>
                <w:color w:val="000000"/>
                <w:sz w:val="24"/>
              </w:rPr>
              <w:t>13</w:t>
            </w:r>
            <w:r>
              <w:rPr>
                <w:color w:val="000000"/>
                <w:sz w:val="24"/>
              </w:rPr>
              <w:t>南城投</w:t>
            </w:r>
          </w:p>
        </w:tc>
        <w:tc>
          <w:tcPr>
            <w:tcW w:w="1394" w:type="dxa"/>
            <w:vAlign w:val="center"/>
          </w:tcPr>
          <w:p w:rsidR="00B61795" w:rsidRDefault="0088042A">
            <w:pPr>
              <w:jc w:val="right"/>
            </w:pPr>
            <w:r>
              <w:rPr>
                <w:color w:val="000000"/>
                <w:sz w:val="24"/>
              </w:rPr>
              <w:t>20,000</w:t>
            </w:r>
          </w:p>
        </w:tc>
        <w:tc>
          <w:tcPr>
            <w:tcW w:w="1944" w:type="dxa"/>
            <w:vAlign w:val="center"/>
          </w:tcPr>
          <w:p w:rsidR="00B61795" w:rsidRDefault="0088042A">
            <w:pPr>
              <w:jc w:val="right"/>
            </w:pPr>
            <w:r>
              <w:rPr>
                <w:color w:val="000000"/>
                <w:sz w:val="24"/>
              </w:rPr>
              <w:t>2,004,000.00</w:t>
            </w:r>
          </w:p>
        </w:tc>
        <w:tc>
          <w:tcPr>
            <w:tcW w:w="1389" w:type="dxa"/>
            <w:vAlign w:val="center"/>
          </w:tcPr>
          <w:p w:rsidR="00B61795" w:rsidRDefault="0088042A">
            <w:pPr>
              <w:jc w:val="right"/>
            </w:pPr>
            <w:r>
              <w:rPr>
                <w:color w:val="000000"/>
                <w:sz w:val="24"/>
              </w:rPr>
              <w:t>10.80</w:t>
            </w:r>
          </w:p>
        </w:tc>
      </w:tr>
      <w:tr w:rsidR="00B61795">
        <w:trPr>
          <w:jc w:val="center"/>
        </w:trPr>
        <w:tc>
          <w:tcPr>
            <w:tcW w:w="1075" w:type="dxa"/>
            <w:vAlign w:val="center"/>
          </w:tcPr>
          <w:p w:rsidR="00B61795" w:rsidRDefault="0088042A">
            <w:pPr>
              <w:jc w:val="center"/>
            </w:pPr>
            <w:r>
              <w:rPr>
                <w:color w:val="000000"/>
                <w:sz w:val="24"/>
              </w:rPr>
              <w:t>4</w:t>
            </w:r>
          </w:p>
        </w:tc>
        <w:tc>
          <w:tcPr>
            <w:tcW w:w="1533" w:type="dxa"/>
            <w:vAlign w:val="center"/>
          </w:tcPr>
          <w:p w:rsidR="00B61795" w:rsidRDefault="0088042A">
            <w:pPr>
              <w:jc w:val="center"/>
            </w:pPr>
            <w:r>
              <w:rPr>
                <w:color w:val="000000"/>
                <w:sz w:val="24"/>
              </w:rPr>
              <w:t>1282499</w:t>
            </w:r>
          </w:p>
        </w:tc>
        <w:tc>
          <w:tcPr>
            <w:tcW w:w="1533" w:type="dxa"/>
            <w:vAlign w:val="center"/>
          </w:tcPr>
          <w:p w:rsidR="00B61795" w:rsidRDefault="0088042A">
            <w:pPr>
              <w:jc w:val="center"/>
            </w:pPr>
            <w:r>
              <w:rPr>
                <w:color w:val="000000"/>
                <w:sz w:val="24"/>
              </w:rPr>
              <w:t>12</w:t>
            </w:r>
            <w:r>
              <w:rPr>
                <w:color w:val="000000"/>
                <w:sz w:val="24"/>
              </w:rPr>
              <w:t>嘉定水</w:t>
            </w:r>
            <w:r>
              <w:rPr>
                <w:color w:val="000000"/>
                <w:sz w:val="24"/>
              </w:rPr>
              <w:t>MTN1</w:t>
            </w:r>
          </w:p>
        </w:tc>
        <w:tc>
          <w:tcPr>
            <w:tcW w:w="1394" w:type="dxa"/>
            <w:vAlign w:val="center"/>
          </w:tcPr>
          <w:p w:rsidR="00B61795" w:rsidRDefault="0088042A">
            <w:pPr>
              <w:jc w:val="right"/>
            </w:pPr>
            <w:r>
              <w:rPr>
                <w:color w:val="000000"/>
                <w:sz w:val="24"/>
              </w:rPr>
              <w:t>18,000</w:t>
            </w:r>
          </w:p>
        </w:tc>
        <w:tc>
          <w:tcPr>
            <w:tcW w:w="1944" w:type="dxa"/>
            <w:vAlign w:val="center"/>
          </w:tcPr>
          <w:p w:rsidR="00B61795" w:rsidRDefault="0088042A">
            <w:pPr>
              <w:jc w:val="right"/>
            </w:pPr>
            <w:r>
              <w:rPr>
                <w:color w:val="000000"/>
                <w:sz w:val="24"/>
              </w:rPr>
              <w:t>1,801,620.00</w:t>
            </w:r>
          </w:p>
        </w:tc>
        <w:tc>
          <w:tcPr>
            <w:tcW w:w="1389" w:type="dxa"/>
            <w:vAlign w:val="center"/>
          </w:tcPr>
          <w:p w:rsidR="00B61795" w:rsidRDefault="0088042A">
            <w:pPr>
              <w:jc w:val="right"/>
            </w:pPr>
            <w:r>
              <w:rPr>
                <w:color w:val="000000"/>
                <w:sz w:val="24"/>
              </w:rPr>
              <w:t>9.71</w:t>
            </w:r>
          </w:p>
        </w:tc>
      </w:tr>
      <w:tr w:rsidR="00B61795">
        <w:trPr>
          <w:jc w:val="center"/>
        </w:trPr>
        <w:tc>
          <w:tcPr>
            <w:tcW w:w="1075" w:type="dxa"/>
            <w:vAlign w:val="center"/>
          </w:tcPr>
          <w:p w:rsidR="00B61795" w:rsidRDefault="0088042A">
            <w:pPr>
              <w:jc w:val="center"/>
            </w:pPr>
            <w:r>
              <w:rPr>
                <w:color w:val="000000"/>
                <w:sz w:val="24"/>
              </w:rPr>
              <w:t>5</w:t>
            </w:r>
          </w:p>
        </w:tc>
        <w:tc>
          <w:tcPr>
            <w:tcW w:w="1533" w:type="dxa"/>
            <w:vAlign w:val="center"/>
          </w:tcPr>
          <w:p w:rsidR="00B61795" w:rsidRDefault="0088042A">
            <w:pPr>
              <w:jc w:val="center"/>
            </w:pPr>
            <w:r>
              <w:rPr>
                <w:color w:val="000000"/>
                <w:sz w:val="24"/>
              </w:rPr>
              <w:t>113003</w:t>
            </w:r>
          </w:p>
        </w:tc>
        <w:tc>
          <w:tcPr>
            <w:tcW w:w="1533" w:type="dxa"/>
            <w:vAlign w:val="center"/>
          </w:tcPr>
          <w:p w:rsidR="00B61795" w:rsidRDefault="0088042A">
            <w:pPr>
              <w:jc w:val="center"/>
            </w:pPr>
            <w:r>
              <w:rPr>
                <w:color w:val="000000"/>
                <w:sz w:val="24"/>
              </w:rPr>
              <w:t>重工转债</w:t>
            </w:r>
          </w:p>
        </w:tc>
        <w:tc>
          <w:tcPr>
            <w:tcW w:w="1394" w:type="dxa"/>
            <w:vAlign w:val="center"/>
          </w:tcPr>
          <w:p w:rsidR="00B61795" w:rsidRDefault="0088042A">
            <w:pPr>
              <w:jc w:val="right"/>
            </w:pPr>
            <w:r>
              <w:rPr>
                <w:color w:val="000000"/>
                <w:sz w:val="24"/>
              </w:rPr>
              <w:t>13,000</w:t>
            </w:r>
          </w:p>
        </w:tc>
        <w:tc>
          <w:tcPr>
            <w:tcW w:w="1944" w:type="dxa"/>
            <w:vAlign w:val="center"/>
          </w:tcPr>
          <w:p w:rsidR="00B61795" w:rsidRDefault="0088042A">
            <w:pPr>
              <w:jc w:val="right"/>
            </w:pPr>
            <w:r>
              <w:rPr>
                <w:color w:val="000000"/>
                <w:sz w:val="24"/>
              </w:rPr>
              <w:t>1,476,280.00</w:t>
            </w:r>
          </w:p>
        </w:tc>
        <w:tc>
          <w:tcPr>
            <w:tcW w:w="1389" w:type="dxa"/>
            <w:vAlign w:val="center"/>
          </w:tcPr>
          <w:p w:rsidR="00B61795" w:rsidRDefault="0088042A">
            <w:pPr>
              <w:jc w:val="right"/>
            </w:pPr>
            <w:r>
              <w:rPr>
                <w:color w:val="000000"/>
                <w:sz w:val="24"/>
              </w:rPr>
              <w:t>7.95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w:t>
      </w:r>
      <w:r w:rsidRPr="007F52FA">
        <w:rPr>
          <w:b/>
          <w:color w:val="000000"/>
          <w:kern w:val="0"/>
          <w:sz w:val="24"/>
        </w:rPr>
        <w:lastRenderedPageBreak/>
        <w:t>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0F55A8">
      <w:pPr>
        <w:autoSpaceDE w:val="0"/>
        <w:autoSpaceDN w:val="0"/>
        <w:adjustRightInd w:val="0"/>
        <w:spacing w:before="29" w:line="288" w:lineRule="auto"/>
        <w:jc w:val="left"/>
        <w:rPr>
          <w:sz w:val="24"/>
        </w:rPr>
      </w:pPr>
      <w:r w:rsidRPr="007F52FA">
        <w:rPr>
          <w:sz w:val="24"/>
        </w:rPr>
        <w:t>本基金本报告末未持有贵金属。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9,147.78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871,963.94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367,673.22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598.41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1,249,383.35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lastRenderedPageBreak/>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61795">
        <w:trPr>
          <w:jc w:val="center"/>
        </w:trPr>
        <w:tc>
          <w:tcPr>
            <w:tcW w:w="0" w:type="auto"/>
            <w:vAlign w:val="center"/>
          </w:tcPr>
          <w:p w:rsidR="00B61795" w:rsidRDefault="0088042A">
            <w:pPr>
              <w:jc w:val="center"/>
            </w:pPr>
            <w:r>
              <w:rPr>
                <w:rFonts w:eastAsiaTheme="minorEastAsia"/>
                <w:color w:val="000000"/>
                <w:sz w:val="24"/>
              </w:rPr>
              <w:t>1</w:t>
            </w:r>
          </w:p>
        </w:tc>
        <w:tc>
          <w:tcPr>
            <w:tcW w:w="0" w:type="auto"/>
            <w:vAlign w:val="center"/>
          </w:tcPr>
          <w:p w:rsidR="00B61795" w:rsidRDefault="0088042A">
            <w:pPr>
              <w:jc w:val="center"/>
            </w:pPr>
            <w:r>
              <w:rPr>
                <w:rFonts w:eastAsiaTheme="minorEastAsia"/>
                <w:color w:val="000000"/>
                <w:sz w:val="24"/>
              </w:rPr>
              <w:t>113003</w:t>
            </w:r>
          </w:p>
        </w:tc>
        <w:tc>
          <w:tcPr>
            <w:tcW w:w="0" w:type="auto"/>
            <w:vAlign w:val="center"/>
          </w:tcPr>
          <w:p w:rsidR="00B61795" w:rsidRDefault="0088042A">
            <w:pPr>
              <w:jc w:val="center"/>
            </w:pPr>
            <w:r>
              <w:rPr>
                <w:rFonts w:eastAsiaTheme="minorEastAsia"/>
                <w:color w:val="000000"/>
                <w:sz w:val="24"/>
              </w:rPr>
              <w:t>重工转债</w:t>
            </w:r>
          </w:p>
        </w:tc>
        <w:tc>
          <w:tcPr>
            <w:tcW w:w="0" w:type="auto"/>
            <w:vAlign w:val="center"/>
          </w:tcPr>
          <w:p w:rsidR="00B61795" w:rsidRDefault="0088042A">
            <w:pPr>
              <w:jc w:val="right"/>
            </w:pPr>
            <w:r>
              <w:rPr>
                <w:rFonts w:eastAsiaTheme="minorEastAsia"/>
                <w:color w:val="000000"/>
                <w:sz w:val="24"/>
              </w:rPr>
              <w:t>1,476,280.00</w:t>
            </w:r>
          </w:p>
        </w:tc>
        <w:tc>
          <w:tcPr>
            <w:tcW w:w="0" w:type="auto"/>
            <w:vAlign w:val="center"/>
          </w:tcPr>
          <w:p w:rsidR="00B61795" w:rsidRDefault="0088042A">
            <w:pPr>
              <w:jc w:val="right"/>
            </w:pPr>
            <w:r>
              <w:rPr>
                <w:rFonts w:eastAsiaTheme="minorEastAsia"/>
                <w:color w:val="000000"/>
                <w:sz w:val="24"/>
              </w:rPr>
              <w:t>7.95</w:t>
            </w:r>
          </w:p>
        </w:tc>
      </w:tr>
      <w:tr w:rsidR="00B61795">
        <w:trPr>
          <w:jc w:val="center"/>
        </w:trPr>
        <w:tc>
          <w:tcPr>
            <w:tcW w:w="0" w:type="auto"/>
            <w:vAlign w:val="center"/>
          </w:tcPr>
          <w:p w:rsidR="00B61795" w:rsidRDefault="0088042A">
            <w:pPr>
              <w:jc w:val="center"/>
            </w:pPr>
            <w:r>
              <w:rPr>
                <w:rFonts w:eastAsiaTheme="minorEastAsia"/>
                <w:color w:val="000000"/>
                <w:sz w:val="24"/>
              </w:rPr>
              <w:t>2</w:t>
            </w:r>
          </w:p>
        </w:tc>
        <w:tc>
          <w:tcPr>
            <w:tcW w:w="0" w:type="auto"/>
            <w:vAlign w:val="center"/>
          </w:tcPr>
          <w:p w:rsidR="00B61795" w:rsidRDefault="0088042A">
            <w:pPr>
              <w:jc w:val="center"/>
            </w:pPr>
            <w:r>
              <w:rPr>
                <w:rFonts w:eastAsiaTheme="minorEastAsia"/>
                <w:color w:val="000000"/>
                <w:sz w:val="24"/>
              </w:rPr>
              <w:t>113001</w:t>
            </w:r>
          </w:p>
        </w:tc>
        <w:tc>
          <w:tcPr>
            <w:tcW w:w="0" w:type="auto"/>
            <w:vAlign w:val="center"/>
          </w:tcPr>
          <w:p w:rsidR="00B61795" w:rsidRDefault="0088042A">
            <w:pPr>
              <w:jc w:val="center"/>
            </w:pPr>
            <w:r>
              <w:rPr>
                <w:rFonts w:eastAsiaTheme="minorEastAsia"/>
                <w:color w:val="000000"/>
                <w:sz w:val="24"/>
              </w:rPr>
              <w:t>中行转债</w:t>
            </w:r>
          </w:p>
        </w:tc>
        <w:tc>
          <w:tcPr>
            <w:tcW w:w="0" w:type="auto"/>
            <w:vAlign w:val="center"/>
          </w:tcPr>
          <w:p w:rsidR="00B61795" w:rsidRDefault="0088042A">
            <w:pPr>
              <w:jc w:val="right"/>
            </w:pPr>
            <w:r>
              <w:rPr>
                <w:rFonts w:eastAsiaTheme="minorEastAsia"/>
                <w:color w:val="000000"/>
                <w:sz w:val="24"/>
              </w:rPr>
              <w:t>712,530.00</w:t>
            </w:r>
          </w:p>
        </w:tc>
        <w:tc>
          <w:tcPr>
            <w:tcW w:w="0" w:type="auto"/>
            <w:vAlign w:val="center"/>
          </w:tcPr>
          <w:p w:rsidR="00B61795" w:rsidRDefault="0088042A">
            <w:pPr>
              <w:jc w:val="right"/>
            </w:pPr>
            <w:r>
              <w:rPr>
                <w:rFonts w:eastAsiaTheme="minorEastAsia"/>
                <w:color w:val="000000"/>
                <w:sz w:val="24"/>
              </w:rPr>
              <w:t>3.84</w:t>
            </w:r>
          </w:p>
        </w:tc>
      </w:tr>
      <w:tr w:rsidR="00B61795">
        <w:trPr>
          <w:jc w:val="center"/>
        </w:trPr>
        <w:tc>
          <w:tcPr>
            <w:tcW w:w="0" w:type="auto"/>
            <w:vAlign w:val="center"/>
          </w:tcPr>
          <w:p w:rsidR="00B61795" w:rsidRDefault="0088042A">
            <w:pPr>
              <w:jc w:val="center"/>
            </w:pPr>
            <w:r>
              <w:rPr>
                <w:rFonts w:eastAsiaTheme="minorEastAsia"/>
                <w:color w:val="000000"/>
                <w:sz w:val="24"/>
              </w:rPr>
              <w:t>3</w:t>
            </w:r>
          </w:p>
        </w:tc>
        <w:tc>
          <w:tcPr>
            <w:tcW w:w="0" w:type="auto"/>
            <w:vAlign w:val="center"/>
          </w:tcPr>
          <w:p w:rsidR="00B61795" w:rsidRDefault="0088042A">
            <w:pPr>
              <w:jc w:val="center"/>
            </w:pPr>
            <w:r>
              <w:rPr>
                <w:rFonts w:eastAsiaTheme="minorEastAsia"/>
                <w:color w:val="000000"/>
                <w:sz w:val="24"/>
              </w:rPr>
              <w:t>113005</w:t>
            </w:r>
          </w:p>
        </w:tc>
        <w:tc>
          <w:tcPr>
            <w:tcW w:w="0" w:type="auto"/>
            <w:vAlign w:val="center"/>
          </w:tcPr>
          <w:p w:rsidR="00B61795" w:rsidRDefault="0088042A">
            <w:pPr>
              <w:jc w:val="center"/>
            </w:pPr>
            <w:r>
              <w:rPr>
                <w:rFonts w:eastAsiaTheme="minorEastAsia"/>
                <w:color w:val="000000"/>
                <w:sz w:val="24"/>
              </w:rPr>
              <w:t>平安转债</w:t>
            </w:r>
          </w:p>
        </w:tc>
        <w:tc>
          <w:tcPr>
            <w:tcW w:w="0" w:type="auto"/>
            <w:vAlign w:val="center"/>
          </w:tcPr>
          <w:p w:rsidR="00B61795" w:rsidRDefault="0088042A">
            <w:pPr>
              <w:jc w:val="right"/>
            </w:pPr>
            <w:r>
              <w:rPr>
                <w:rFonts w:eastAsiaTheme="minorEastAsia"/>
                <w:color w:val="000000"/>
                <w:sz w:val="24"/>
              </w:rPr>
              <w:t>569,350.60</w:t>
            </w:r>
          </w:p>
        </w:tc>
        <w:tc>
          <w:tcPr>
            <w:tcW w:w="0" w:type="auto"/>
            <w:vAlign w:val="center"/>
          </w:tcPr>
          <w:p w:rsidR="00B61795" w:rsidRDefault="0088042A">
            <w:pPr>
              <w:jc w:val="right"/>
            </w:pPr>
            <w:r>
              <w:rPr>
                <w:rFonts w:eastAsiaTheme="minorEastAsia"/>
                <w:color w:val="000000"/>
                <w:sz w:val="24"/>
              </w:rPr>
              <w:t>3.07</w:t>
            </w:r>
          </w:p>
        </w:tc>
      </w:tr>
      <w:tr w:rsidR="00B61795">
        <w:trPr>
          <w:jc w:val="center"/>
        </w:trPr>
        <w:tc>
          <w:tcPr>
            <w:tcW w:w="0" w:type="auto"/>
            <w:vAlign w:val="center"/>
          </w:tcPr>
          <w:p w:rsidR="00B61795" w:rsidRDefault="0088042A">
            <w:pPr>
              <w:jc w:val="center"/>
            </w:pPr>
            <w:r>
              <w:rPr>
                <w:rFonts w:eastAsiaTheme="minorEastAsia"/>
                <w:color w:val="000000"/>
                <w:sz w:val="24"/>
              </w:rPr>
              <w:t>4</w:t>
            </w:r>
          </w:p>
        </w:tc>
        <w:tc>
          <w:tcPr>
            <w:tcW w:w="0" w:type="auto"/>
            <w:vAlign w:val="center"/>
          </w:tcPr>
          <w:p w:rsidR="00B61795" w:rsidRDefault="0088042A">
            <w:pPr>
              <w:jc w:val="center"/>
            </w:pPr>
            <w:r>
              <w:rPr>
                <w:rFonts w:eastAsiaTheme="minorEastAsia"/>
                <w:color w:val="000000"/>
                <w:sz w:val="24"/>
              </w:rPr>
              <w:t>110024</w:t>
            </w:r>
          </w:p>
        </w:tc>
        <w:tc>
          <w:tcPr>
            <w:tcW w:w="0" w:type="auto"/>
            <w:vAlign w:val="center"/>
          </w:tcPr>
          <w:p w:rsidR="00B61795" w:rsidRDefault="0088042A">
            <w:pPr>
              <w:jc w:val="center"/>
            </w:pPr>
            <w:r>
              <w:rPr>
                <w:rFonts w:eastAsiaTheme="minorEastAsia"/>
                <w:color w:val="000000"/>
                <w:sz w:val="24"/>
              </w:rPr>
              <w:t>隧道转债</w:t>
            </w:r>
          </w:p>
        </w:tc>
        <w:tc>
          <w:tcPr>
            <w:tcW w:w="0" w:type="auto"/>
            <w:vAlign w:val="center"/>
          </w:tcPr>
          <w:p w:rsidR="00B61795" w:rsidRDefault="0088042A">
            <w:pPr>
              <w:jc w:val="right"/>
            </w:pPr>
            <w:r>
              <w:rPr>
                <w:rFonts w:eastAsiaTheme="minorEastAsia"/>
                <w:color w:val="000000"/>
                <w:sz w:val="24"/>
              </w:rPr>
              <w:t>215,800.00</w:t>
            </w:r>
          </w:p>
        </w:tc>
        <w:tc>
          <w:tcPr>
            <w:tcW w:w="0" w:type="auto"/>
            <w:vAlign w:val="center"/>
          </w:tcPr>
          <w:p w:rsidR="00B61795" w:rsidRDefault="0088042A">
            <w:pPr>
              <w:jc w:val="right"/>
            </w:pPr>
            <w:r>
              <w:rPr>
                <w:rFonts w:eastAsiaTheme="minorEastAsia"/>
                <w:color w:val="000000"/>
                <w:sz w:val="24"/>
              </w:rPr>
              <w:t>1.16</w:t>
            </w:r>
          </w:p>
        </w:tc>
      </w:tr>
      <w:tr w:rsidR="00B61795">
        <w:trPr>
          <w:jc w:val="center"/>
        </w:trPr>
        <w:tc>
          <w:tcPr>
            <w:tcW w:w="0" w:type="auto"/>
            <w:vAlign w:val="center"/>
          </w:tcPr>
          <w:p w:rsidR="00B61795" w:rsidRDefault="0088042A">
            <w:pPr>
              <w:jc w:val="center"/>
            </w:pPr>
            <w:r>
              <w:rPr>
                <w:rFonts w:eastAsiaTheme="minorEastAsia"/>
                <w:color w:val="000000"/>
                <w:sz w:val="24"/>
              </w:rPr>
              <w:t>5</w:t>
            </w:r>
          </w:p>
        </w:tc>
        <w:tc>
          <w:tcPr>
            <w:tcW w:w="0" w:type="auto"/>
            <w:vAlign w:val="center"/>
          </w:tcPr>
          <w:p w:rsidR="00B61795" w:rsidRDefault="0088042A">
            <w:pPr>
              <w:jc w:val="center"/>
            </w:pPr>
            <w:r>
              <w:rPr>
                <w:rFonts w:eastAsiaTheme="minorEastAsia"/>
                <w:color w:val="000000"/>
                <w:sz w:val="24"/>
              </w:rPr>
              <w:t>110020</w:t>
            </w:r>
          </w:p>
        </w:tc>
        <w:tc>
          <w:tcPr>
            <w:tcW w:w="0" w:type="auto"/>
            <w:vAlign w:val="center"/>
          </w:tcPr>
          <w:p w:rsidR="00B61795" w:rsidRDefault="0088042A">
            <w:pPr>
              <w:jc w:val="center"/>
            </w:pPr>
            <w:r>
              <w:rPr>
                <w:rFonts w:eastAsiaTheme="minorEastAsia"/>
                <w:color w:val="000000"/>
                <w:sz w:val="24"/>
              </w:rPr>
              <w:t>南山转债</w:t>
            </w:r>
          </w:p>
        </w:tc>
        <w:tc>
          <w:tcPr>
            <w:tcW w:w="0" w:type="auto"/>
            <w:vAlign w:val="center"/>
          </w:tcPr>
          <w:p w:rsidR="00B61795" w:rsidRDefault="0088042A">
            <w:pPr>
              <w:jc w:val="right"/>
            </w:pPr>
            <w:r>
              <w:rPr>
                <w:rFonts w:eastAsiaTheme="minorEastAsia"/>
                <w:color w:val="000000"/>
                <w:sz w:val="24"/>
              </w:rPr>
              <w:t>95,040.00</w:t>
            </w:r>
          </w:p>
        </w:tc>
        <w:tc>
          <w:tcPr>
            <w:tcW w:w="0" w:type="auto"/>
            <w:vAlign w:val="center"/>
          </w:tcPr>
          <w:p w:rsidR="00B61795" w:rsidRDefault="0088042A">
            <w:pPr>
              <w:jc w:val="right"/>
            </w:pPr>
            <w:r>
              <w:rPr>
                <w:rFonts w:eastAsiaTheme="minorEastAsia"/>
                <w:color w:val="000000"/>
                <w:sz w:val="24"/>
              </w:rPr>
              <w:t>0.51</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88042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24,303,403.53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8,851,301.66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207,493.53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87,336.61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10,639,723.40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4,645,896.00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13,871,173.66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4,292,742.27</w:t>
            </w:r>
          </w:p>
        </w:tc>
      </w:tr>
    </w:tbl>
    <w:p w:rsidR="00B61795" w:rsidRDefault="0088042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88042A">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285618" w:rsidRDefault="000673DA" w:rsidP="007C14DF">
      <w:pPr>
        <w:autoSpaceDE w:val="0"/>
        <w:autoSpaceDN w:val="0"/>
        <w:adjustRightInd w:val="0"/>
        <w:spacing w:before="29" w:line="288" w:lineRule="auto"/>
        <w:jc w:val="left"/>
        <w:rPr>
          <w:b/>
          <w:sz w:val="24"/>
        </w:rPr>
      </w:pPr>
      <w:r w:rsidRPr="008A3BCC">
        <w:rPr>
          <w:rFonts w:hint="eastAsia"/>
          <w:b/>
          <w:sz w:val="24"/>
        </w:rPr>
        <w:lastRenderedPageBreak/>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88042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B61795" w:rsidRDefault="0088042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B61795" w:rsidRDefault="0088042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B61795" w:rsidRDefault="0088042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B61795" w:rsidRDefault="0088042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B61795" w:rsidRDefault="0088042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B61795" w:rsidRDefault="0088042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61795" w:rsidRDefault="0088042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B61795" w:rsidRDefault="0088042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DC5" w:rsidRDefault="00EF4DC5">
      <w:r>
        <w:separator/>
      </w:r>
    </w:p>
  </w:endnote>
  <w:endnote w:type="continuationSeparator" w:id="0">
    <w:p w:rsidR="00EF4DC5" w:rsidRDefault="00EF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B61795">
      <w:rPr>
        <w:kern w:val="0"/>
        <w:szCs w:val="21"/>
      </w:rPr>
      <w:fldChar w:fldCharType="begin"/>
    </w:r>
    <w:r>
      <w:rPr>
        <w:kern w:val="0"/>
        <w:szCs w:val="21"/>
      </w:rPr>
      <w:instrText xml:space="preserve"> PAGE </w:instrText>
    </w:r>
    <w:r w:rsidR="00B61795">
      <w:rPr>
        <w:kern w:val="0"/>
        <w:szCs w:val="21"/>
      </w:rPr>
      <w:fldChar w:fldCharType="separate"/>
    </w:r>
    <w:r w:rsidR="000F55A8">
      <w:rPr>
        <w:noProof/>
        <w:kern w:val="0"/>
        <w:szCs w:val="21"/>
      </w:rPr>
      <w:t>1</w:t>
    </w:r>
    <w:r w:rsidR="00B61795">
      <w:rPr>
        <w:kern w:val="0"/>
        <w:szCs w:val="21"/>
      </w:rPr>
      <w:fldChar w:fldCharType="end"/>
    </w:r>
    <w:r>
      <w:rPr>
        <w:rFonts w:hint="eastAsia"/>
        <w:kern w:val="0"/>
        <w:szCs w:val="21"/>
      </w:rPr>
      <w:t>页共</w:t>
    </w:r>
    <w:r w:rsidR="00B61795">
      <w:rPr>
        <w:kern w:val="0"/>
        <w:szCs w:val="21"/>
      </w:rPr>
      <w:fldChar w:fldCharType="begin"/>
    </w:r>
    <w:r>
      <w:rPr>
        <w:kern w:val="0"/>
        <w:szCs w:val="21"/>
      </w:rPr>
      <w:instrText xml:space="preserve"> NUMPAGES </w:instrText>
    </w:r>
    <w:r w:rsidR="00B61795">
      <w:rPr>
        <w:kern w:val="0"/>
        <w:szCs w:val="21"/>
      </w:rPr>
      <w:fldChar w:fldCharType="separate"/>
    </w:r>
    <w:r w:rsidR="000F55A8">
      <w:rPr>
        <w:noProof/>
        <w:kern w:val="0"/>
        <w:szCs w:val="21"/>
      </w:rPr>
      <w:t>12</w:t>
    </w:r>
    <w:r w:rsidR="00B61795">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B61795">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DC5" w:rsidRDefault="00EF4DC5">
      <w:r>
        <w:separator/>
      </w:r>
    </w:p>
  </w:footnote>
  <w:footnote w:type="continuationSeparator" w:id="0">
    <w:p w:rsidR="00EF4DC5" w:rsidRDefault="00EF4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EF4DC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5A8"/>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3106"/>
    <w:rsid w:val="002642F2"/>
    <w:rsid w:val="00264AE1"/>
    <w:rsid w:val="00266645"/>
    <w:rsid w:val="00266E94"/>
    <w:rsid w:val="00267386"/>
    <w:rsid w:val="00267C2E"/>
    <w:rsid w:val="00267DA9"/>
    <w:rsid w:val="0027117B"/>
    <w:rsid w:val="0027191A"/>
    <w:rsid w:val="00273E5C"/>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FE9"/>
    <w:rsid w:val="004C0541"/>
    <w:rsid w:val="004C241F"/>
    <w:rsid w:val="004C3FE6"/>
    <w:rsid w:val="004C634A"/>
    <w:rsid w:val="004C660B"/>
    <w:rsid w:val="004D050C"/>
    <w:rsid w:val="004D23D9"/>
    <w:rsid w:val="004D3537"/>
    <w:rsid w:val="004D36DF"/>
    <w:rsid w:val="004D4D4E"/>
    <w:rsid w:val="004D614E"/>
    <w:rsid w:val="004D650F"/>
    <w:rsid w:val="004D7E11"/>
    <w:rsid w:val="004E2133"/>
    <w:rsid w:val="004E4E04"/>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7FA4"/>
    <w:rsid w:val="005536D4"/>
    <w:rsid w:val="00553EC8"/>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63A5"/>
    <w:rsid w:val="0078105B"/>
    <w:rsid w:val="00782B50"/>
    <w:rsid w:val="00784FE0"/>
    <w:rsid w:val="007852D1"/>
    <w:rsid w:val="007858B1"/>
    <w:rsid w:val="0078648E"/>
    <w:rsid w:val="00791A3A"/>
    <w:rsid w:val="00791D9C"/>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042A"/>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6800"/>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40553"/>
    <w:rsid w:val="00B4167B"/>
    <w:rsid w:val="00B41C1D"/>
    <w:rsid w:val="00B43917"/>
    <w:rsid w:val="00B44260"/>
    <w:rsid w:val="00B4515C"/>
    <w:rsid w:val="00B46220"/>
    <w:rsid w:val="00B464EA"/>
    <w:rsid w:val="00B47574"/>
    <w:rsid w:val="00B5430C"/>
    <w:rsid w:val="00B56A90"/>
    <w:rsid w:val="00B5711C"/>
    <w:rsid w:val="00B57BCF"/>
    <w:rsid w:val="00B57E36"/>
    <w:rsid w:val="00B60209"/>
    <w:rsid w:val="00B606A3"/>
    <w:rsid w:val="00B61795"/>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1A02"/>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2E58"/>
    <w:rsid w:val="00C030B6"/>
    <w:rsid w:val="00C04B38"/>
    <w:rsid w:val="00C067B7"/>
    <w:rsid w:val="00C10A09"/>
    <w:rsid w:val="00C121BC"/>
    <w:rsid w:val="00C13116"/>
    <w:rsid w:val="00C14D92"/>
    <w:rsid w:val="00C158BC"/>
    <w:rsid w:val="00C16739"/>
    <w:rsid w:val="00C17F3F"/>
    <w:rsid w:val="00C23BA2"/>
    <w:rsid w:val="00C260A2"/>
    <w:rsid w:val="00C30DEC"/>
    <w:rsid w:val="00C31142"/>
    <w:rsid w:val="00C312FA"/>
    <w:rsid w:val="00C31DEF"/>
    <w:rsid w:val="00C338EB"/>
    <w:rsid w:val="00C34790"/>
    <w:rsid w:val="00C35BB7"/>
    <w:rsid w:val="00C36B35"/>
    <w:rsid w:val="00C400CD"/>
    <w:rsid w:val="00C40205"/>
    <w:rsid w:val="00C40373"/>
    <w:rsid w:val="00C41617"/>
    <w:rsid w:val="00C41DA8"/>
    <w:rsid w:val="00C4309A"/>
    <w:rsid w:val="00C43F23"/>
    <w:rsid w:val="00C43FF1"/>
    <w:rsid w:val="00C44F1F"/>
    <w:rsid w:val="00C45494"/>
    <w:rsid w:val="00C50D87"/>
    <w:rsid w:val="00C52D18"/>
    <w:rsid w:val="00C559CE"/>
    <w:rsid w:val="00C55E19"/>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4DC5"/>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5A43"/>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EDF3A32C-360D-44A1-AF0B-D8759DBD8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AB4E-1E14-4B67-9477-A373B53F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12</Pages>
  <Words>1017</Words>
  <Characters>5799</Characters>
  <Application>Microsoft Office Word</Application>
  <DocSecurity>0</DocSecurity>
  <Lines>48</Lines>
  <Paragraphs>13</Paragraphs>
  <ScaleCrop>false</ScaleCrop>
  <Company>TRT. Ltd. Co.</Company>
  <LinksUpToDate>false</LinksUpToDate>
  <CharactersWithSpaces>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cp:revision>
  <cp:lastPrinted>2007-07-19T00:46:00Z</cp:lastPrinted>
  <dcterms:created xsi:type="dcterms:W3CDTF">2014-07-10T12:03:00Z</dcterms:created>
  <dcterms:modified xsi:type="dcterms:W3CDTF">2014-07-15T09:09:00Z</dcterms:modified>
</cp:coreProperties>
</file>