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w:t>
      </w:r>
      <w:r w:rsidRPr="0081286B">
        <w:rPr>
          <w:b/>
          <w:sz w:val="36"/>
          <w:szCs w:val="36"/>
        </w:rPr>
        <w:t>30</w:t>
      </w:r>
      <w:r w:rsidRPr="0081286B">
        <w:rPr>
          <w:b/>
          <w:sz w:val="36"/>
          <w:szCs w:val="36"/>
        </w:rPr>
        <w:t>股票型证券投资基金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二〇一四年七月十九日</w:t>
      </w:r>
    </w:p>
    <w:p w:rsidR="004061AC" w:rsidRPr="00414345" w:rsidRDefault="004061AC" w:rsidP="008B72E5">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B5076" w:rsidRDefault="008B72E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B5076" w:rsidRDefault="008B72E5">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2014</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B5076" w:rsidRDefault="008B72E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B5076" w:rsidRDefault="008B72E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B5076" w:rsidRDefault="008B72E5">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8B72E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w:t>
            </w:r>
            <w:r w:rsidRPr="00414345">
              <w:rPr>
                <w:color w:val="000000"/>
                <w:kern w:val="0"/>
                <w:sz w:val="24"/>
                <w:szCs w:val="24"/>
              </w:rPr>
              <w:t>30</w:t>
            </w:r>
            <w:r w:rsidRPr="00414345">
              <w:rPr>
                <w:color w:val="000000"/>
                <w:kern w:val="0"/>
                <w:sz w:val="24"/>
                <w:szCs w:val="24"/>
              </w:rPr>
              <w:t>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859,468,090.14</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本基金属于成长型股票基金，主要通过投资于不超过</w:t>
            </w:r>
            <w:r w:rsidRPr="00414345">
              <w:rPr>
                <w:color w:val="000000"/>
                <w:kern w:val="0"/>
                <w:sz w:val="24"/>
                <w:szCs w:val="24"/>
              </w:rPr>
              <w:t>30</w:t>
            </w:r>
            <w:r w:rsidRPr="00414345">
              <w:rPr>
                <w:color w:val="000000"/>
                <w:kern w:val="0"/>
                <w:sz w:val="24"/>
                <w:szCs w:val="24"/>
              </w:rPr>
              <w:t>只精选的成长型上市公司股票，在适度控制风险并保持基金资产良好流动性的前提下，为基金份额持有人谋求长期、稳定的资本增值。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414345">
              <w:rPr>
                <w:color w:val="000000"/>
                <w:kern w:val="0"/>
                <w:sz w:val="24"/>
                <w:szCs w:val="24"/>
              </w:rPr>
              <w:t>30</w:t>
            </w:r>
            <w:r w:rsidRPr="00414345">
              <w:rPr>
                <w:color w:val="000000"/>
                <w:kern w:val="0"/>
                <w:sz w:val="24"/>
                <w:szCs w:val="24"/>
              </w:rPr>
              <w:t>只股票的集中持股策略，为基金资产谋求长期稳健增值。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成长指数收益率</w:t>
            </w:r>
            <w:r w:rsidRPr="00414345">
              <w:rPr>
                <w:color w:val="000000"/>
                <w:kern w:val="0"/>
                <w:sz w:val="24"/>
                <w:szCs w:val="24"/>
              </w:rPr>
              <w:t>+25%×</w:t>
            </w:r>
            <w:r w:rsidRPr="00414345">
              <w:rPr>
                <w:color w:val="000000"/>
                <w:kern w:val="0"/>
                <w:sz w:val="24"/>
                <w:szCs w:val="24"/>
              </w:rPr>
              <w:t>中信标普</w:t>
            </w:r>
            <w:r w:rsidRPr="00414345">
              <w:rPr>
                <w:color w:val="000000"/>
                <w:kern w:val="0"/>
                <w:sz w:val="24"/>
                <w:szCs w:val="24"/>
              </w:rPr>
              <w:lastRenderedPageBreak/>
              <w:t>全债指数收益率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本基金是一只股票型基金，以成长型股票为主要投资对象，风险与预期收益高于混合基金、债券基金和货币市场基金。属于承担较高风险、预期收益较高的证券投资基金品种。</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8B72E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B72E5" w:rsidRPr="00414345" w:rsidTr="008B72E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8B72E5" w:rsidRPr="00414345" w:rsidTr="008B72E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4,372,506.23</w:t>
            </w:r>
          </w:p>
        </w:tc>
      </w:tr>
      <w:tr w:rsidR="008B72E5" w:rsidRPr="00414345" w:rsidTr="008B72E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-13,987,581.21</w:t>
            </w:r>
          </w:p>
        </w:tc>
      </w:tr>
      <w:tr w:rsidR="008B72E5" w:rsidRPr="00414345" w:rsidTr="008B72E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-0.0151</w:t>
            </w:r>
          </w:p>
        </w:tc>
      </w:tr>
      <w:tr w:rsidR="008B72E5" w:rsidRPr="00414345" w:rsidTr="008B72E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841,408,515.03</w:t>
            </w:r>
          </w:p>
        </w:tc>
      </w:tr>
      <w:tr w:rsidR="008B72E5" w:rsidRPr="00414345" w:rsidTr="008B72E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0.979</w:t>
            </w:r>
          </w:p>
        </w:tc>
      </w:tr>
    </w:tbl>
    <w:p w:rsidR="009B5076" w:rsidRDefault="008B72E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B5076">
        <w:trPr>
          <w:jc w:val="center"/>
        </w:trPr>
        <w:tc>
          <w:tcPr>
            <w:tcW w:w="1701" w:type="dxa"/>
            <w:vAlign w:val="center"/>
          </w:tcPr>
          <w:p w:rsidR="009B5076" w:rsidRDefault="008B72E5">
            <w:pPr>
              <w:jc w:val="left"/>
            </w:pPr>
            <w:r>
              <w:rPr>
                <w:color w:val="000000"/>
                <w:sz w:val="24"/>
                <w:szCs w:val="24"/>
              </w:rPr>
              <w:t>过去三个月</w:t>
            </w:r>
          </w:p>
        </w:tc>
        <w:tc>
          <w:tcPr>
            <w:tcW w:w="1045" w:type="dxa"/>
            <w:vAlign w:val="center"/>
          </w:tcPr>
          <w:p w:rsidR="009B5076" w:rsidRDefault="008B72E5">
            <w:pPr>
              <w:jc w:val="center"/>
            </w:pPr>
            <w:r>
              <w:rPr>
                <w:color w:val="000000"/>
                <w:sz w:val="24"/>
                <w:szCs w:val="24"/>
              </w:rPr>
              <w:t>-1.31%</w:t>
            </w:r>
          </w:p>
        </w:tc>
        <w:tc>
          <w:tcPr>
            <w:tcW w:w="1344" w:type="dxa"/>
            <w:vAlign w:val="center"/>
          </w:tcPr>
          <w:p w:rsidR="009B5076" w:rsidRDefault="008B72E5">
            <w:pPr>
              <w:jc w:val="center"/>
            </w:pPr>
            <w:r>
              <w:rPr>
                <w:color w:val="000000"/>
                <w:sz w:val="24"/>
                <w:szCs w:val="24"/>
              </w:rPr>
              <w:t>1.06%</w:t>
            </w:r>
          </w:p>
        </w:tc>
        <w:tc>
          <w:tcPr>
            <w:tcW w:w="1194" w:type="dxa"/>
            <w:vAlign w:val="center"/>
          </w:tcPr>
          <w:p w:rsidR="009B5076" w:rsidRDefault="008B72E5">
            <w:pPr>
              <w:jc w:val="center"/>
            </w:pPr>
            <w:r>
              <w:rPr>
                <w:color w:val="000000"/>
                <w:sz w:val="24"/>
                <w:szCs w:val="24"/>
              </w:rPr>
              <w:t>1.17%</w:t>
            </w:r>
          </w:p>
        </w:tc>
        <w:tc>
          <w:tcPr>
            <w:tcW w:w="1492" w:type="dxa"/>
            <w:vAlign w:val="center"/>
          </w:tcPr>
          <w:p w:rsidR="009B5076" w:rsidRDefault="008B72E5">
            <w:pPr>
              <w:jc w:val="center"/>
            </w:pPr>
            <w:r>
              <w:rPr>
                <w:color w:val="000000"/>
                <w:sz w:val="24"/>
                <w:szCs w:val="24"/>
              </w:rPr>
              <w:t>0.71%</w:t>
            </w:r>
          </w:p>
        </w:tc>
        <w:tc>
          <w:tcPr>
            <w:tcW w:w="1194" w:type="dxa"/>
            <w:vAlign w:val="center"/>
          </w:tcPr>
          <w:p w:rsidR="009B5076" w:rsidRDefault="008B72E5">
            <w:pPr>
              <w:jc w:val="center"/>
            </w:pPr>
            <w:r>
              <w:rPr>
                <w:color w:val="000000"/>
                <w:sz w:val="24"/>
                <w:szCs w:val="24"/>
              </w:rPr>
              <w:t>-2.48%</w:t>
            </w:r>
          </w:p>
        </w:tc>
        <w:tc>
          <w:tcPr>
            <w:tcW w:w="898" w:type="dxa"/>
            <w:vAlign w:val="center"/>
          </w:tcPr>
          <w:p w:rsidR="009B5076" w:rsidRDefault="008B72E5">
            <w:pPr>
              <w:jc w:val="center"/>
            </w:pPr>
            <w:r>
              <w:rPr>
                <w:color w:val="000000"/>
                <w:sz w:val="24"/>
                <w:szCs w:val="24"/>
              </w:rPr>
              <w:t>0.35%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875DAC">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交银施罗德成长</w:t>
      </w:r>
      <w:r w:rsidRPr="00414345">
        <w:rPr>
          <w:color w:val="000000"/>
          <w:sz w:val="24"/>
          <w:szCs w:val="24"/>
        </w:rPr>
        <w:t>30</w:t>
      </w:r>
      <w:r w:rsidRPr="00414345">
        <w:rPr>
          <w:color w:val="000000"/>
          <w:sz w:val="24"/>
          <w:szCs w:val="24"/>
        </w:rPr>
        <w:t>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8B72E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B5076">
        <w:trPr>
          <w:jc w:val="center"/>
        </w:trPr>
        <w:tc>
          <w:tcPr>
            <w:tcW w:w="846" w:type="dxa"/>
            <w:vAlign w:val="center"/>
          </w:tcPr>
          <w:p w:rsidR="009B5076" w:rsidRDefault="008B72E5">
            <w:pPr>
              <w:jc w:val="center"/>
            </w:pPr>
            <w:r>
              <w:rPr>
                <w:color w:val="000000"/>
                <w:sz w:val="24"/>
                <w:szCs w:val="24"/>
              </w:rPr>
              <w:t>管华雨</w:t>
            </w:r>
          </w:p>
        </w:tc>
        <w:tc>
          <w:tcPr>
            <w:tcW w:w="845" w:type="dxa"/>
            <w:vAlign w:val="center"/>
          </w:tcPr>
          <w:p w:rsidR="009B5076" w:rsidRDefault="008B72E5">
            <w:pPr>
              <w:jc w:val="center"/>
            </w:pPr>
            <w:r>
              <w:rPr>
                <w:color w:val="000000"/>
                <w:sz w:val="24"/>
                <w:szCs w:val="24"/>
              </w:rPr>
              <w:t>本基金、交银成长股票、交银趋势股票、交银新成长股票的基金经理，公司权益投资总监</w:t>
            </w:r>
          </w:p>
        </w:tc>
        <w:tc>
          <w:tcPr>
            <w:tcW w:w="1549" w:type="dxa"/>
            <w:vAlign w:val="center"/>
          </w:tcPr>
          <w:p w:rsidR="009B5076" w:rsidRDefault="008B72E5">
            <w:pPr>
              <w:jc w:val="center"/>
            </w:pPr>
            <w:r>
              <w:rPr>
                <w:color w:val="000000"/>
                <w:sz w:val="24"/>
                <w:szCs w:val="24"/>
              </w:rPr>
              <w:t>2013-06-05</w:t>
            </w:r>
          </w:p>
        </w:tc>
        <w:tc>
          <w:tcPr>
            <w:tcW w:w="1548" w:type="dxa"/>
            <w:vAlign w:val="center"/>
          </w:tcPr>
          <w:p w:rsidR="009B5076" w:rsidRDefault="008B72E5">
            <w:pPr>
              <w:jc w:val="center"/>
            </w:pPr>
            <w:r>
              <w:rPr>
                <w:color w:val="000000"/>
                <w:sz w:val="24"/>
                <w:szCs w:val="24"/>
              </w:rPr>
              <w:t>-</w:t>
            </w:r>
          </w:p>
        </w:tc>
        <w:tc>
          <w:tcPr>
            <w:tcW w:w="1407" w:type="dxa"/>
            <w:vAlign w:val="center"/>
          </w:tcPr>
          <w:p w:rsidR="009B5076" w:rsidRDefault="008B72E5">
            <w:pPr>
              <w:jc w:val="center"/>
            </w:pPr>
            <w:r>
              <w:rPr>
                <w:color w:val="000000"/>
                <w:sz w:val="24"/>
                <w:szCs w:val="24"/>
              </w:rPr>
              <w:t>12</w:t>
            </w:r>
            <w:r>
              <w:rPr>
                <w:color w:val="000000"/>
                <w:sz w:val="24"/>
                <w:szCs w:val="24"/>
              </w:rPr>
              <w:t>年</w:t>
            </w:r>
          </w:p>
        </w:tc>
        <w:tc>
          <w:tcPr>
            <w:tcW w:w="2673" w:type="dxa"/>
            <w:vAlign w:val="center"/>
          </w:tcPr>
          <w:p w:rsidR="009B5076" w:rsidRDefault="008B72E5">
            <w:r>
              <w:rPr>
                <w:color w:val="000000"/>
                <w:sz w:val="24"/>
                <w:szCs w:val="24"/>
              </w:rPr>
              <w:t>管华雨先生，</w:t>
            </w:r>
            <w:r>
              <w:rPr>
                <w:color w:val="000000"/>
                <w:sz w:val="24"/>
                <w:szCs w:val="24"/>
              </w:rPr>
              <w:t>CFA</w:t>
            </w:r>
            <w:r>
              <w:rPr>
                <w:color w:val="000000"/>
                <w:sz w:val="24"/>
                <w:szCs w:val="24"/>
              </w:rPr>
              <w:t>，博士学历。历任申银万国证券股份有限公司投资部投资经理、高级投资经理，信诚基金管理有限公司分析师、基金经理助理和基金经理。其中</w:t>
            </w:r>
            <w:r>
              <w:rPr>
                <w:color w:val="000000"/>
                <w:sz w:val="24"/>
                <w:szCs w:val="24"/>
              </w:rPr>
              <w:t>2007</w:t>
            </w:r>
            <w:r>
              <w:rPr>
                <w:color w:val="000000"/>
                <w:sz w:val="24"/>
                <w:szCs w:val="24"/>
              </w:rPr>
              <w:t>年</w:t>
            </w:r>
            <w:r>
              <w:rPr>
                <w:color w:val="000000"/>
                <w:sz w:val="24"/>
                <w:szCs w:val="24"/>
              </w:rPr>
              <w:t>5</w:t>
            </w:r>
            <w:r>
              <w:rPr>
                <w:color w:val="000000"/>
                <w:sz w:val="24"/>
                <w:szCs w:val="24"/>
              </w:rPr>
              <w:t>月至</w:t>
            </w:r>
            <w:r>
              <w:rPr>
                <w:color w:val="000000"/>
                <w:sz w:val="24"/>
                <w:szCs w:val="24"/>
              </w:rPr>
              <w:t>2010</w:t>
            </w:r>
            <w:r>
              <w:rPr>
                <w:color w:val="000000"/>
                <w:sz w:val="24"/>
                <w:szCs w:val="24"/>
              </w:rPr>
              <w:t>年</w:t>
            </w:r>
            <w:r>
              <w:rPr>
                <w:color w:val="000000"/>
                <w:sz w:val="24"/>
                <w:szCs w:val="24"/>
              </w:rPr>
              <w:t>5</w:t>
            </w:r>
            <w:r>
              <w:rPr>
                <w:color w:val="000000"/>
                <w:sz w:val="24"/>
                <w:szCs w:val="24"/>
              </w:rPr>
              <w:t>月担任信诚四季红混合型证券投资基金基金经理。</w:t>
            </w:r>
            <w:r>
              <w:rPr>
                <w:color w:val="000000"/>
                <w:sz w:val="24"/>
                <w:szCs w:val="24"/>
              </w:rPr>
              <w:t>2010</w:t>
            </w:r>
            <w:r>
              <w:rPr>
                <w:color w:val="000000"/>
                <w:sz w:val="24"/>
                <w:szCs w:val="24"/>
              </w:rPr>
              <w:t>年加入交银施罗德基金管理有限公司，历任权益部总经理助理、副总经理、总经理，</w:t>
            </w:r>
            <w:r>
              <w:rPr>
                <w:color w:val="000000"/>
                <w:sz w:val="24"/>
                <w:szCs w:val="24"/>
              </w:rPr>
              <w:t>2010</w:t>
            </w:r>
            <w:r>
              <w:rPr>
                <w:color w:val="000000"/>
                <w:sz w:val="24"/>
                <w:szCs w:val="24"/>
              </w:rPr>
              <w:t>年</w:t>
            </w:r>
            <w:r>
              <w:rPr>
                <w:color w:val="000000"/>
                <w:sz w:val="24"/>
                <w:szCs w:val="24"/>
              </w:rPr>
              <w:t>12</w:t>
            </w:r>
            <w:r>
              <w:rPr>
                <w:color w:val="000000"/>
                <w:sz w:val="24"/>
                <w:szCs w:val="24"/>
              </w:rPr>
              <w:t>月</w:t>
            </w:r>
            <w:r>
              <w:rPr>
                <w:color w:val="000000"/>
                <w:sz w:val="24"/>
                <w:szCs w:val="24"/>
              </w:rPr>
              <w:t>22</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12</w:t>
            </w:r>
            <w:r>
              <w:rPr>
                <w:color w:val="000000"/>
                <w:sz w:val="24"/>
                <w:szCs w:val="24"/>
              </w:rPr>
              <w:t>日担任交银施罗德趋势优先股票证券投资基金基金经理，</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13</w:t>
            </w:r>
            <w:r>
              <w:rPr>
                <w:color w:val="000000"/>
                <w:sz w:val="24"/>
                <w:szCs w:val="24"/>
              </w:rPr>
              <w:t>日至</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25</w:t>
            </w:r>
            <w:r>
              <w:rPr>
                <w:color w:val="000000"/>
                <w:sz w:val="24"/>
                <w:szCs w:val="24"/>
              </w:rPr>
              <w:t>日担任交银施罗德精选股票证券投资基金基金经理。</w:t>
            </w:r>
          </w:p>
        </w:tc>
      </w:tr>
      <w:tr w:rsidR="009B5076">
        <w:trPr>
          <w:jc w:val="center"/>
        </w:trPr>
        <w:tc>
          <w:tcPr>
            <w:tcW w:w="846" w:type="dxa"/>
            <w:vAlign w:val="center"/>
          </w:tcPr>
          <w:p w:rsidR="009B5076" w:rsidRDefault="008B72E5">
            <w:pPr>
              <w:jc w:val="center"/>
            </w:pPr>
            <w:r>
              <w:rPr>
                <w:color w:val="000000"/>
                <w:sz w:val="24"/>
                <w:szCs w:val="24"/>
              </w:rPr>
              <w:t>王少成</w:t>
            </w:r>
          </w:p>
        </w:tc>
        <w:tc>
          <w:tcPr>
            <w:tcW w:w="845" w:type="dxa"/>
            <w:vAlign w:val="center"/>
          </w:tcPr>
          <w:p w:rsidR="009B5076" w:rsidRDefault="008B72E5">
            <w:pPr>
              <w:jc w:val="center"/>
            </w:pPr>
            <w:r>
              <w:rPr>
                <w:color w:val="000000"/>
                <w:sz w:val="24"/>
                <w:szCs w:val="24"/>
              </w:rPr>
              <w:t>本基金、交银先锋股票、交银先进制造股票的基金经理</w:t>
            </w:r>
            <w:r w:rsidR="003768EE">
              <w:rPr>
                <w:rFonts w:hint="eastAsia"/>
                <w:color w:val="000000"/>
                <w:sz w:val="24"/>
                <w:szCs w:val="24"/>
              </w:rPr>
              <w:t>，</w:t>
            </w:r>
            <w:r w:rsidR="003768EE">
              <w:rPr>
                <w:color w:val="000000"/>
                <w:sz w:val="24"/>
                <w:szCs w:val="24"/>
              </w:rPr>
              <w:t>公司权益部副总经理</w:t>
            </w:r>
          </w:p>
        </w:tc>
        <w:tc>
          <w:tcPr>
            <w:tcW w:w="1549" w:type="dxa"/>
            <w:vAlign w:val="center"/>
          </w:tcPr>
          <w:p w:rsidR="009B5076" w:rsidRDefault="008B72E5">
            <w:pPr>
              <w:jc w:val="center"/>
            </w:pPr>
            <w:r>
              <w:rPr>
                <w:color w:val="000000"/>
                <w:sz w:val="24"/>
                <w:szCs w:val="24"/>
              </w:rPr>
              <w:t>2013-07-02</w:t>
            </w:r>
          </w:p>
        </w:tc>
        <w:tc>
          <w:tcPr>
            <w:tcW w:w="1548" w:type="dxa"/>
            <w:vAlign w:val="center"/>
          </w:tcPr>
          <w:p w:rsidR="009B5076" w:rsidRDefault="008B72E5">
            <w:pPr>
              <w:jc w:val="center"/>
            </w:pPr>
            <w:r>
              <w:rPr>
                <w:color w:val="000000"/>
                <w:sz w:val="24"/>
                <w:szCs w:val="24"/>
              </w:rPr>
              <w:t>-</w:t>
            </w:r>
          </w:p>
        </w:tc>
        <w:tc>
          <w:tcPr>
            <w:tcW w:w="1407" w:type="dxa"/>
            <w:vAlign w:val="center"/>
          </w:tcPr>
          <w:p w:rsidR="009B5076" w:rsidRDefault="008B72E5">
            <w:pPr>
              <w:jc w:val="center"/>
            </w:pPr>
            <w:r>
              <w:rPr>
                <w:color w:val="000000"/>
                <w:sz w:val="24"/>
                <w:szCs w:val="24"/>
              </w:rPr>
              <w:t>10</w:t>
            </w:r>
            <w:r>
              <w:rPr>
                <w:color w:val="000000"/>
                <w:sz w:val="24"/>
                <w:szCs w:val="24"/>
              </w:rPr>
              <w:t>年</w:t>
            </w:r>
          </w:p>
        </w:tc>
        <w:tc>
          <w:tcPr>
            <w:tcW w:w="2673" w:type="dxa"/>
            <w:vAlign w:val="center"/>
          </w:tcPr>
          <w:p w:rsidR="009B5076" w:rsidRDefault="008B72E5">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B5076" w:rsidRDefault="008B72E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B5076" w:rsidRDefault="008B72E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B5076" w:rsidRDefault="008B72E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B5076" w:rsidRDefault="008B72E5">
      <w:pPr>
        <w:spacing w:before="29" w:line="288" w:lineRule="auto"/>
        <w:ind w:firstLineChars="200" w:firstLine="480"/>
        <w:rPr>
          <w:color w:val="000000"/>
          <w:sz w:val="24"/>
          <w:szCs w:val="24"/>
        </w:rPr>
      </w:pPr>
      <w:r>
        <w:rPr>
          <w:color w:val="000000"/>
          <w:sz w:val="24"/>
          <w:szCs w:val="24"/>
        </w:rPr>
        <w:t>2014</w:t>
      </w:r>
      <w:r>
        <w:rPr>
          <w:color w:val="000000"/>
          <w:sz w:val="24"/>
          <w:szCs w:val="24"/>
        </w:rPr>
        <w:t>年二季度沪深</w:t>
      </w:r>
      <w:r>
        <w:rPr>
          <w:color w:val="000000"/>
          <w:sz w:val="24"/>
          <w:szCs w:val="24"/>
        </w:rPr>
        <w:t>300</w:t>
      </w:r>
      <w:r>
        <w:rPr>
          <w:color w:val="000000"/>
          <w:sz w:val="24"/>
          <w:szCs w:val="24"/>
        </w:rPr>
        <w:t>指数上涨</w:t>
      </w:r>
      <w:r>
        <w:rPr>
          <w:color w:val="000000"/>
          <w:sz w:val="24"/>
          <w:szCs w:val="24"/>
        </w:rPr>
        <w:t>0.88%</w:t>
      </w:r>
      <w:r>
        <w:rPr>
          <w:color w:val="000000"/>
          <w:sz w:val="24"/>
          <w:szCs w:val="24"/>
        </w:rPr>
        <w:t>，本基金的业绩比较基准上涨</w:t>
      </w:r>
      <w:r>
        <w:rPr>
          <w:color w:val="000000"/>
          <w:sz w:val="24"/>
          <w:szCs w:val="24"/>
        </w:rPr>
        <w:t>1.17%</w:t>
      </w:r>
      <w:r>
        <w:rPr>
          <w:color w:val="000000"/>
          <w:sz w:val="24"/>
          <w:szCs w:val="24"/>
        </w:rPr>
        <w:t>，本基金净值下跌</w:t>
      </w:r>
      <w:r>
        <w:rPr>
          <w:color w:val="000000"/>
          <w:sz w:val="24"/>
          <w:szCs w:val="24"/>
        </w:rPr>
        <w:t>1.31%</w:t>
      </w:r>
      <w:r>
        <w:rPr>
          <w:color w:val="000000"/>
          <w:sz w:val="24"/>
          <w:szCs w:val="24"/>
        </w:rPr>
        <w:t>，未有跑赢沪深</w:t>
      </w:r>
      <w:r>
        <w:rPr>
          <w:color w:val="000000"/>
          <w:sz w:val="24"/>
          <w:szCs w:val="24"/>
        </w:rPr>
        <w:t>300</w:t>
      </w:r>
      <w:r>
        <w:rPr>
          <w:color w:val="000000"/>
          <w:sz w:val="24"/>
          <w:szCs w:val="24"/>
        </w:rPr>
        <w:t>指数和业绩比较基准。</w:t>
      </w:r>
    </w:p>
    <w:p w:rsidR="009B5076" w:rsidRDefault="008B72E5">
      <w:pPr>
        <w:spacing w:before="29" w:line="288" w:lineRule="auto"/>
        <w:ind w:firstLineChars="200" w:firstLine="480"/>
        <w:rPr>
          <w:color w:val="000000"/>
          <w:sz w:val="24"/>
          <w:szCs w:val="24"/>
        </w:rPr>
      </w:pPr>
      <w:r>
        <w:rPr>
          <w:color w:val="000000"/>
          <w:sz w:val="24"/>
          <w:szCs w:val="24"/>
        </w:rPr>
        <w:t>2014</w:t>
      </w:r>
      <w:r>
        <w:rPr>
          <w:color w:val="000000"/>
          <w:sz w:val="24"/>
          <w:szCs w:val="24"/>
        </w:rPr>
        <w:t>年二季度</w:t>
      </w:r>
      <w:r>
        <w:rPr>
          <w:color w:val="000000"/>
          <w:sz w:val="24"/>
          <w:szCs w:val="24"/>
        </w:rPr>
        <w:t>A</w:t>
      </w:r>
      <w:r>
        <w:rPr>
          <w:color w:val="000000"/>
          <w:sz w:val="24"/>
          <w:szCs w:val="24"/>
        </w:rPr>
        <w:t>股市场先涨后跌。虽然短期中国宏观经济有企稳迹象，但长周期和中周期下行叠加，其潜在的负向力量无法忽视。经济转型可能是唯一的出路，而也确实应该从微观开始，但反映在</w:t>
      </w:r>
      <w:r>
        <w:rPr>
          <w:color w:val="000000"/>
          <w:sz w:val="24"/>
          <w:szCs w:val="24"/>
        </w:rPr>
        <w:t>A</w:t>
      </w:r>
      <w:r>
        <w:rPr>
          <w:color w:val="000000"/>
          <w:sz w:val="24"/>
          <w:szCs w:val="24"/>
        </w:rPr>
        <w:t>股市场，我们看到更多的是上市公司的市值管理意愿，而较少看到商业智慧和企业家精神的涌现。当通过市值管理赚钱较实体经营更为容易的时候，上市公司大股东和管理层的市值管理行为虽然在微观层面是非常理性的，但在中观作为群体行为观察却是非理性的。这样的群体行为，不仅影响企业精神以及中国企业微观转型的希望，长期来看对中小流通股东价值也会带来实质性的伤害。</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2014</w:t>
      </w:r>
      <w:r w:rsidRPr="00414345">
        <w:rPr>
          <w:color w:val="000000"/>
          <w:sz w:val="24"/>
          <w:szCs w:val="24"/>
        </w:rPr>
        <w:t>年下半年的Ａ股市场可能整体平淡，但结构性机会仍存。虽然上半年的</w:t>
      </w:r>
      <w:r w:rsidRPr="00414345">
        <w:rPr>
          <w:color w:val="000000"/>
          <w:sz w:val="24"/>
          <w:szCs w:val="24"/>
        </w:rPr>
        <w:t>A</w:t>
      </w:r>
      <w:r w:rsidRPr="00414345">
        <w:rPr>
          <w:color w:val="000000"/>
          <w:sz w:val="24"/>
          <w:szCs w:val="24"/>
        </w:rPr>
        <w:t>股市场中，主题炒作较为疯狂，但在转型和经济下行的背景下，预计风险偏好无法持续扩张，对于投资来说，守正的策略不失为一个更好的选择。从个股的选择来说，找到真正致力于互联网转型，回归商业模式本质的优质成长性企业，</w:t>
      </w:r>
      <w:r w:rsidR="008D1A7D">
        <w:rPr>
          <w:rFonts w:hint="eastAsia"/>
          <w:color w:val="000000"/>
          <w:sz w:val="24"/>
          <w:szCs w:val="24"/>
        </w:rPr>
        <w:t>才是有望</w:t>
      </w:r>
      <w:r w:rsidRPr="00414345">
        <w:rPr>
          <w:color w:val="000000"/>
          <w:sz w:val="24"/>
          <w:szCs w:val="24"/>
        </w:rPr>
        <w:t>获取长期超额回报的主要途径。</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0.979</w:t>
      </w:r>
      <w:r w:rsidRPr="00414345">
        <w:rPr>
          <w:color w:val="000000"/>
          <w:sz w:val="24"/>
          <w:szCs w:val="24"/>
        </w:rPr>
        <w:t>元，本报告期份额净值增长率为</w:t>
      </w:r>
      <w:r w:rsidRPr="00414345">
        <w:rPr>
          <w:color w:val="000000"/>
          <w:sz w:val="24"/>
          <w:szCs w:val="24"/>
        </w:rPr>
        <w:t>-1.31%</w:t>
      </w:r>
      <w:r w:rsidRPr="00414345">
        <w:rPr>
          <w:color w:val="000000"/>
          <w:sz w:val="24"/>
          <w:szCs w:val="24"/>
        </w:rPr>
        <w:t>，同期业绩比较基准增长率为</w:t>
      </w:r>
      <w:r w:rsidRPr="00414345">
        <w:rPr>
          <w:color w:val="000000"/>
          <w:sz w:val="24"/>
          <w:szCs w:val="24"/>
        </w:rPr>
        <w:t>1.17%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8B72E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753,931,204.06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89.38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753,931,204.06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89.38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50,010,000.00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5.93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50,010,000.00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5.93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37,587,375.65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4.46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2,007,884.78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843,536,464.49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8B72E5">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8B72E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616,164,283.88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36,043,832.42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42,689,362.72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8B72E5">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22,843,856.00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36,189,869.04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753,931,204.06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89.60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B5076">
        <w:trPr>
          <w:jc w:val="center"/>
        </w:trPr>
        <w:tc>
          <w:tcPr>
            <w:tcW w:w="855" w:type="dxa"/>
            <w:vAlign w:val="center"/>
          </w:tcPr>
          <w:p w:rsidR="009B5076" w:rsidRDefault="008B72E5">
            <w:pPr>
              <w:jc w:val="center"/>
            </w:pPr>
            <w:r>
              <w:rPr>
                <w:color w:val="000000"/>
                <w:sz w:val="24"/>
                <w:szCs w:val="24"/>
              </w:rPr>
              <w:t>1</w:t>
            </w:r>
          </w:p>
        </w:tc>
        <w:tc>
          <w:tcPr>
            <w:tcW w:w="1334" w:type="dxa"/>
            <w:vAlign w:val="center"/>
          </w:tcPr>
          <w:p w:rsidR="009B5076" w:rsidRDefault="008B72E5">
            <w:pPr>
              <w:jc w:val="center"/>
            </w:pPr>
            <w:r>
              <w:rPr>
                <w:color w:val="000000"/>
                <w:sz w:val="24"/>
                <w:szCs w:val="24"/>
              </w:rPr>
              <w:t>000100</w:t>
            </w:r>
          </w:p>
        </w:tc>
        <w:tc>
          <w:tcPr>
            <w:tcW w:w="1777" w:type="dxa"/>
            <w:vAlign w:val="center"/>
          </w:tcPr>
          <w:p w:rsidR="009B5076" w:rsidRDefault="008B72E5">
            <w:pPr>
              <w:jc w:val="center"/>
            </w:pPr>
            <w:r>
              <w:rPr>
                <w:color w:val="000000"/>
                <w:sz w:val="24"/>
                <w:szCs w:val="24"/>
              </w:rPr>
              <w:t xml:space="preserve">TCL </w:t>
            </w:r>
            <w:r>
              <w:rPr>
                <w:color w:val="000000"/>
                <w:sz w:val="24"/>
                <w:szCs w:val="24"/>
              </w:rPr>
              <w:t>集团</w:t>
            </w:r>
          </w:p>
        </w:tc>
        <w:tc>
          <w:tcPr>
            <w:tcW w:w="1334" w:type="dxa"/>
            <w:vAlign w:val="center"/>
          </w:tcPr>
          <w:p w:rsidR="009B5076" w:rsidRDefault="008B72E5">
            <w:pPr>
              <w:jc w:val="right"/>
            </w:pPr>
            <w:r>
              <w:rPr>
                <w:color w:val="000000"/>
                <w:sz w:val="24"/>
                <w:szCs w:val="24"/>
              </w:rPr>
              <w:t>35,668,571</w:t>
            </w:r>
          </w:p>
        </w:tc>
        <w:tc>
          <w:tcPr>
            <w:tcW w:w="1924" w:type="dxa"/>
            <w:vAlign w:val="center"/>
          </w:tcPr>
          <w:p w:rsidR="009B5076" w:rsidRDefault="008B72E5">
            <w:pPr>
              <w:jc w:val="right"/>
            </w:pPr>
            <w:r>
              <w:rPr>
                <w:color w:val="000000"/>
                <w:sz w:val="24"/>
                <w:szCs w:val="24"/>
              </w:rPr>
              <w:t>81,324,341.88</w:t>
            </w:r>
          </w:p>
        </w:tc>
        <w:tc>
          <w:tcPr>
            <w:tcW w:w="1644" w:type="dxa"/>
            <w:vAlign w:val="center"/>
          </w:tcPr>
          <w:p w:rsidR="009B5076" w:rsidRDefault="008B72E5">
            <w:pPr>
              <w:jc w:val="right"/>
            </w:pPr>
            <w:r>
              <w:rPr>
                <w:color w:val="000000"/>
                <w:sz w:val="24"/>
                <w:szCs w:val="24"/>
              </w:rPr>
              <w:t>9.67</w:t>
            </w:r>
          </w:p>
        </w:tc>
      </w:tr>
      <w:tr w:rsidR="009B5076">
        <w:trPr>
          <w:jc w:val="center"/>
        </w:trPr>
        <w:tc>
          <w:tcPr>
            <w:tcW w:w="855" w:type="dxa"/>
            <w:vAlign w:val="center"/>
          </w:tcPr>
          <w:p w:rsidR="009B5076" w:rsidRDefault="008B72E5">
            <w:pPr>
              <w:jc w:val="center"/>
            </w:pPr>
            <w:r>
              <w:rPr>
                <w:color w:val="000000"/>
                <w:sz w:val="24"/>
                <w:szCs w:val="24"/>
              </w:rPr>
              <w:t>2</w:t>
            </w:r>
          </w:p>
        </w:tc>
        <w:tc>
          <w:tcPr>
            <w:tcW w:w="1334" w:type="dxa"/>
            <w:vAlign w:val="center"/>
          </w:tcPr>
          <w:p w:rsidR="009B5076" w:rsidRDefault="008B72E5">
            <w:pPr>
              <w:jc w:val="center"/>
            </w:pPr>
            <w:r>
              <w:rPr>
                <w:color w:val="000000"/>
                <w:sz w:val="24"/>
                <w:szCs w:val="24"/>
              </w:rPr>
              <w:t>000423</w:t>
            </w:r>
          </w:p>
        </w:tc>
        <w:tc>
          <w:tcPr>
            <w:tcW w:w="1777" w:type="dxa"/>
            <w:vAlign w:val="center"/>
          </w:tcPr>
          <w:p w:rsidR="009B5076" w:rsidRDefault="008B72E5">
            <w:pPr>
              <w:jc w:val="center"/>
            </w:pPr>
            <w:r>
              <w:rPr>
                <w:color w:val="000000"/>
                <w:sz w:val="24"/>
                <w:szCs w:val="24"/>
              </w:rPr>
              <w:t>东阿阿胶</w:t>
            </w:r>
          </w:p>
        </w:tc>
        <w:tc>
          <w:tcPr>
            <w:tcW w:w="1334" w:type="dxa"/>
            <w:vAlign w:val="center"/>
          </w:tcPr>
          <w:p w:rsidR="009B5076" w:rsidRDefault="008B72E5">
            <w:pPr>
              <w:jc w:val="right"/>
            </w:pPr>
            <w:r>
              <w:rPr>
                <w:color w:val="000000"/>
                <w:sz w:val="24"/>
                <w:szCs w:val="24"/>
              </w:rPr>
              <w:t>2,361,015</w:t>
            </w:r>
          </w:p>
        </w:tc>
        <w:tc>
          <w:tcPr>
            <w:tcW w:w="1924" w:type="dxa"/>
            <w:vAlign w:val="center"/>
          </w:tcPr>
          <w:p w:rsidR="009B5076" w:rsidRDefault="008B72E5">
            <w:pPr>
              <w:jc w:val="right"/>
            </w:pPr>
            <w:r>
              <w:rPr>
                <w:color w:val="000000"/>
                <w:sz w:val="24"/>
                <w:szCs w:val="24"/>
              </w:rPr>
              <w:t>78,669,019.80</w:t>
            </w:r>
          </w:p>
        </w:tc>
        <w:tc>
          <w:tcPr>
            <w:tcW w:w="1644" w:type="dxa"/>
            <w:vAlign w:val="center"/>
          </w:tcPr>
          <w:p w:rsidR="009B5076" w:rsidRDefault="008B72E5">
            <w:pPr>
              <w:jc w:val="right"/>
            </w:pPr>
            <w:r>
              <w:rPr>
                <w:color w:val="000000"/>
                <w:sz w:val="24"/>
                <w:szCs w:val="24"/>
              </w:rPr>
              <w:t>9.35</w:t>
            </w:r>
          </w:p>
        </w:tc>
      </w:tr>
      <w:tr w:rsidR="009B5076">
        <w:trPr>
          <w:jc w:val="center"/>
        </w:trPr>
        <w:tc>
          <w:tcPr>
            <w:tcW w:w="855" w:type="dxa"/>
            <w:vAlign w:val="center"/>
          </w:tcPr>
          <w:p w:rsidR="009B5076" w:rsidRDefault="008B72E5">
            <w:pPr>
              <w:jc w:val="center"/>
            </w:pPr>
            <w:r>
              <w:rPr>
                <w:color w:val="000000"/>
                <w:sz w:val="24"/>
                <w:szCs w:val="24"/>
              </w:rPr>
              <w:t>3</w:t>
            </w:r>
          </w:p>
        </w:tc>
        <w:tc>
          <w:tcPr>
            <w:tcW w:w="1334" w:type="dxa"/>
            <w:vAlign w:val="center"/>
          </w:tcPr>
          <w:p w:rsidR="009B5076" w:rsidRDefault="008B72E5">
            <w:pPr>
              <w:jc w:val="center"/>
            </w:pPr>
            <w:r>
              <w:rPr>
                <w:color w:val="000000"/>
                <w:sz w:val="24"/>
                <w:szCs w:val="24"/>
              </w:rPr>
              <w:t>600389</w:t>
            </w:r>
          </w:p>
        </w:tc>
        <w:tc>
          <w:tcPr>
            <w:tcW w:w="1777" w:type="dxa"/>
            <w:vAlign w:val="center"/>
          </w:tcPr>
          <w:p w:rsidR="009B5076" w:rsidRDefault="008B72E5">
            <w:pPr>
              <w:jc w:val="center"/>
            </w:pPr>
            <w:r>
              <w:rPr>
                <w:color w:val="000000"/>
                <w:sz w:val="24"/>
                <w:szCs w:val="24"/>
              </w:rPr>
              <w:t>江山股份</w:t>
            </w:r>
          </w:p>
        </w:tc>
        <w:tc>
          <w:tcPr>
            <w:tcW w:w="1334" w:type="dxa"/>
            <w:vAlign w:val="center"/>
          </w:tcPr>
          <w:p w:rsidR="009B5076" w:rsidRDefault="008B72E5">
            <w:pPr>
              <w:jc w:val="right"/>
            </w:pPr>
            <w:r>
              <w:rPr>
                <w:color w:val="000000"/>
                <w:sz w:val="24"/>
                <w:szCs w:val="24"/>
              </w:rPr>
              <w:t>2,356,462</w:t>
            </w:r>
          </w:p>
        </w:tc>
        <w:tc>
          <w:tcPr>
            <w:tcW w:w="1924" w:type="dxa"/>
            <w:vAlign w:val="center"/>
          </w:tcPr>
          <w:p w:rsidR="009B5076" w:rsidRDefault="008B72E5">
            <w:pPr>
              <w:jc w:val="right"/>
            </w:pPr>
            <w:r>
              <w:rPr>
                <w:color w:val="000000"/>
                <w:sz w:val="24"/>
                <w:szCs w:val="24"/>
              </w:rPr>
              <w:t>76,844,225.82</w:t>
            </w:r>
          </w:p>
        </w:tc>
        <w:tc>
          <w:tcPr>
            <w:tcW w:w="1644" w:type="dxa"/>
            <w:vAlign w:val="center"/>
          </w:tcPr>
          <w:p w:rsidR="009B5076" w:rsidRDefault="008B72E5">
            <w:pPr>
              <w:jc w:val="right"/>
            </w:pPr>
            <w:r>
              <w:rPr>
                <w:color w:val="000000"/>
                <w:sz w:val="24"/>
                <w:szCs w:val="24"/>
              </w:rPr>
              <w:t>9.13</w:t>
            </w:r>
          </w:p>
        </w:tc>
      </w:tr>
      <w:tr w:rsidR="009B5076">
        <w:trPr>
          <w:jc w:val="center"/>
        </w:trPr>
        <w:tc>
          <w:tcPr>
            <w:tcW w:w="855" w:type="dxa"/>
            <w:vAlign w:val="center"/>
          </w:tcPr>
          <w:p w:rsidR="009B5076" w:rsidRDefault="008B72E5">
            <w:pPr>
              <w:jc w:val="center"/>
            </w:pPr>
            <w:r>
              <w:rPr>
                <w:color w:val="000000"/>
                <w:sz w:val="24"/>
                <w:szCs w:val="24"/>
              </w:rPr>
              <w:t>4</w:t>
            </w:r>
          </w:p>
        </w:tc>
        <w:tc>
          <w:tcPr>
            <w:tcW w:w="1334" w:type="dxa"/>
            <w:vAlign w:val="center"/>
          </w:tcPr>
          <w:p w:rsidR="009B5076" w:rsidRDefault="008B72E5">
            <w:pPr>
              <w:jc w:val="center"/>
            </w:pPr>
            <w:r>
              <w:rPr>
                <w:color w:val="000000"/>
                <w:sz w:val="24"/>
                <w:szCs w:val="24"/>
              </w:rPr>
              <w:t>300005</w:t>
            </w:r>
          </w:p>
        </w:tc>
        <w:tc>
          <w:tcPr>
            <w:tcW w:w="1777" w:type="dxa"/>
            <w:vAlign w:val="center"/>
          </w:tcPr>
          <w:p w:rsidR="009B5076" w:rsidRDefault="008B72E5">
            <w:pPr>
              <w:jc w:val="center"/>
            </w:pPr>
            <w:r>
              <w:rPr>
                <w:color w:val="000000"/>
                <w:sz w:val="24"/>
                <w:szCs w:val="24"/>
              </w:rPr>
              <w:t>探路者</w:t>
            </w:r>
          </w:p>
        </w:tc>
        <w:tc>
          <w:tcPr>
            <w:tcW w:w="1334" w:type="dxa"/>
            <w:vAlign w:val="center"/>
          </w:tcPr>
          <w:p w:rsidR="009B5076" w:rsidRDefault="008B72E5">
            <w:pPr>
              <w:jc w:val="right"/>
            </w:pPr>
            <w:r>
              <w:rPr>
                <w:color w:val="000000"/>
                <w:sz w:val="24"/>
                <w:szCs w:val="24"/>
              </w:rPr>
              <w:t>4,892,417</w:t>
            </w:r>
          </w:p>
        </w:tc>
        <w:tc>
          <w:tcPr>
            <w:tcW w:w="1924" w:type="dxa"/>
            <w:vAlign w:val="center"/>
          </w:tcPr>
          <w:p w:rsidR="009B5076" w:rsidRDefault="008B72E5">
            <w:pPr>
              <w:jc w:val="right"/>
            </w:pPr>
            <w:r>
              <w:rPr>
                <w:color w:val="000000"/>
                <w:sz w:val="24"/>
                <w:szCs w:val="24"/>
              </w:rPr>
              <w:t>75,538,918.48</w:t>
            </w:r>
          </w:p>
        </w:tc>
        <w:tc>
          <w:tcPr>
            <w:tcW w:w="1644" w:type="dxa"/>
            <w:vAlign w:val="center"/>
          </w:tcPr>
          <w:p w:rsidR="009B5076" w:rsidRDefault="008B72E5">
            <w:pPr>
              <w:jc w:val="right"/>
            </w:pPr>
            <w:r>
              <w:rPr>
                <w:color w:val="000000"/>
                <w:sz w:val="24"/>
                <w:szCs w:val="24"/>
              </w:rPr>
              <w:t>8.98</w:t>
            </w:r>
          </w:p>
        </w:tc>
      </w:tr>
      <w:tr w:rsidR="009B5076">
        <w:trPr>
          <w:jc w:val="center"/>
        </w:trPr>
        <w:tc>
          <w:tcPr>
            <w:tcW w:w="855" w:type="dxa"/>
            <w:vAlign w:val="center"/>
          </w:tcPr>
          <w:p w:rsidR="009B5076" w:rsidRDefault="008B72E5">
            <w:pPr>
              <w:jc w:val="center"/>
            </w:pPr>
            <w:r>
              <w:rPr>
                <w:color w:val="000000"/>
                <w:sz w:val="24"/>
                <w:szCs w:val="24"/>
              </w:rPr>
              <w:t>5</w:t>
            </w:r>
          </w:p>
        </w:tc>
        <w:tc>
          <w:tcPr>
            <w:tcW w:w="1334" w:type="dxa"/>
            <w:vAlign w:val="center"/>
          </w:tcPr>
          <w:p w:rsidR="009B5076" w:rsidRDefault="008B72E5">
            <w:pPr>
              <w:jc w:val="center"/>
            </w:pPr>
            <w:r>
              <w:rPr>
                <w:color w:val="000000"/>
                <w:sz w:val="24"/>
                <w:szCs w:val="24"/>
              </w:rPr>
              <w:t>600967</w:t>
            </w:r>
          </w:p>
        </w:tc>
        <w:tc>
          <w:tcPr>
            <w:tcW w:w="1777" w:type="dxa"/>
            <w:vAlign w:val="center"/>
          </w:tcPr>
          <w:p w:rsidR="009B5076" w:rsidRDefault="008B72E5">
            <w:pPr>
              <w:jc w:val="center"/>
            </w:pPr>
            <w:r>
              <w:rPr>
                <w:color w:val="000000"/>
                <w:sz w:val="24"/>
                <w:szCs w:val="24"/>
              </w:rPr>
              <w:t>北方创业</w:t>
            </w:r>
          </w:p>
        </w:tc>
        <w:tc>
          <w:tcPr>
            <w:tcW w:w="1334" w:type="dxa"/>
            <w:vAlign w:val="center"/>
          </w:tcPr>
          <w:p w:rsidR="009B5076" w:rsidRDefault="008B72E5">
            <w:pPr>
              <w:jc w:val="right"/>
            </w:pPr>
            <w:r>
              <w:rPr>
                <w:color w:val="000000"/>
                <w:sz w:val="24"/>
                <w:szCs w:val="24"/>
              </w:rPr>
              <w:t>5,279,166</w:t>
            </w:r>
          </w:p>
        </w:tc>
        <w:tc>
          <w:tcPr>
            <w:tcW w:w="1924" w:type="dxa"/>
            <w:vAlign w:val="center"/>
          </w:tcPr>
          <w:p w:rsidR="009B5076" w:rsidRDefault="008B72E5">
            <w:pPr>
              <w:jc w:val="right"/>
            </w:pPr>
            <w:r>
              <w:rPr>
                <w:color w:val="000000"/>
                <w:sz w:val="24"/>
                <w:szCs w:val="24"/>
              </w:rPr>
              <w:t>66,253,533.30</w:t>
            </w:r>
          </w:p>
        </w:tc>
        <w:tc>
          <w:tcPr>
            <w:tcW w:w="1644" w:type="dxa"/>
            <w:vAlign w:val="center"/>
          </w:tcPr>
          <w:p w:rsidR="009B5076" w:rsidRDefault="008B72E5">
            <w:pPr>
              <w:jc w:val="right"/>
            </w:pPr>
            <w:r>
              <w:rPr>
                <w:color w:val="000000"/>
                <w:sz w:val="24"/>
                <w:szCs w:val="24"/>
              </w:rPr>
              <w:t>7.87</w:t>
            </w:r>
          </w:p>
        </w:tc>
      </w:tr>
      <w:tr w:rsidR="009B5076">
        <w:trPr>
          <w:jc w:val="center"/>
        </w:trPr>
        <w:tc>
          <w:tcPr>
            <w:tcW w:w="855" w:type="dxa"/>
            <w:vAlign w:val="center"/>
          </w:tcPr>
          <w:p w:rsidR="009B5076" w:rsidRDefault="008B72E5">
            <w:pPr>
              <w:jc w:val="center"/>
            </w:pPr>
            <w:r>
              <w:rPr>
                <w:color w:val="000000"/>
                <w:sz w:val="24"/>
                <w:szCs w:val="24"/>
              </w:rPr>
              <w:t>6</w:t>
            </w:r>
          </w:p>
        </w:tc>
        <w:tc>
          <w:tcPr>
            <w:tcW w:w="1334" w:type="dxa"/>
            <w:vAlign w:val="center"/>
          </w:tcPr>
          <w:p w:rsidR="009B5076" w:rsidRDefault="008B72E5">
            <w:pPr>
              <w:jc w:val="center"/>
            </w:pPr>
            <w:r>
              <w:rPr>
                <w:color w:val="000000"/>
                <w:sz w:val="24"/>
                <w:szCs w:val="24"/>
              </w:rPr>
              <w:t>600315</w:t>
            </w:r>
          </w:p>
        </w:tc>
        <w:tc>
          <w:tcPr>
            <w:tcW w:w="1777" w:type="dxa"/>
            <w:vAlign w:val="center"/>
          </w:tcPr>
          <w:p w:rsidR="009B5076" w:rsidRDefault="008B72E5">
            <w:pPr>
              <w:jc w:val="center"/>
            </w:pPr>
            <w:r>
              <w:rPr>
                <w:color w:val="000000"/>
                <w:sz w:val="24"/>
                <w:szCs w:val="24"/>
              </w:rPr>
              <w:t>上海家化</w:t>
            </w:r>
          </w:p>
        </w:tc>
        <w:tc>
          <w:tcPr>
            <w:tcW w:w="1334" w:type="dxa"/>
            <w:vAlign w:val="center"/>
          </w:tcPr>
          <w:p w:rsidR="009B5076" w:rsidRDefault="008B72E5">
            <w:pPr>
              <w:jc w:val="right"/>
            </w:pPr>
            <w:r>
              <w:rPr>
                <w:color w:val="000000"/>
                <w:sz w:val="24"/>
                <w:szCs w:val="24"/>
              </w:rPr>
              <w:t>1,781,369</w:t>
            </w:r>
          </w:p>
        </w:tc>
        <w:tc>
          <w:tcPr>
            <w:tcW w:w="1924" w:type="dxa"/>
            <w:vAlign w:val="center"/>
          </w:tcPr>
          <w:p w:rsidR="009B5076" w:rsidRDefault="008B72E5">
            <w:pPr>
              <w:jc w:val="right"/>
            </w:pPr>
            <w:r>
              <w:rPr>
                <w:color w:val="000000"/>
                <w:sz w:val="24"/>
                <w:szCs w:val="24"/>
              </w:rPr>
              <w:t>65,287,173.85</w:t>
            </w:r>
          </w:p>
        </w:tc>
        <w:tc>
          <w:tcPr>
            <w:tcW w:w="1644" w:type="dxa"/>
            <w:vAlign w:val="center"/>
          </w:tcPr>
          <w:p w:rsidR="009B5076" w:rsidRDefault="008B72E5">
            <w:pPr>
              <w:jc w:val="right"/>
            </w:pPr>
            <w:r>
              <w:rPr>
                <w:color w:val="000000"/>
                <w:sz w:val="24"/>
                <w:szCs w:val="24"/>
              </w:rPr>
              <w:t>7.76</w:t>
            </w:r>
          </w:p>
        </w:tc>
      </w:tr>
      <w:tr w:rsidR="009B5076">
        <w:trPr>
          <w:jc w:val="center"/>
        </w:trPr>
        <w:tc>
          <w:tcPr>
            <w:tcW w:w="855" w:type="dxa"/>
            <w:vAlign w:val="center"/>
          </w:tcPr>
          <w:p w:rsidR="009B5076" w:rsidRDefault="008B72E5">
            <w:pPr>
              <w:jc w:val="center"/>
            </w:pPr>
            <w:r>
              <w:rPr>
                <w:color w:val="000000"/>
                <w:sz w:val="24"/>
                <w:szCs w:val="24"/>
              </w:rPr>
              <w:t>7</w:t>
            </w:r>
          </w:p>
        </w:tc>
        <w:tc>
          <w:tcPr>
            <w:tcW w:w="1334" w:type="dxa"/>
            <w:vAlign w:val="center"/>
          </w:tcPr>
          <w:p w:rsidR="009B5076" w:rsidRDefault="008B72E5">
            <w:pPr>
              <w:jc w:val="center"/>
            </w:pPr>
            <w:r>
              <w:rPr>
                <w:color w:val="000000"/>
                <w:sz w:val="24"/>
                <w:szCs w:val="24"/>
              </w:rPr>
              <w:t>600887</w:t>
            </w:r>
          </w:p>
        </w:tc>
        <w:tc>
          <w:tcPr>
            <w:tcW w:w="1777" w:type="dxa"/>
            <w:vAlign w:val="center"/>
          </w:tcPr>
          <w:p w:rsidR="009B5076" w:rsidRDefault="008B72E5">
            <w:pPr>
              <w:jc w:val="center"/>
            </w:pPr>
            <w:r>
              <w:rPr>
                <w:color w:val="000000"/>
                <w:sz w:val="24"/>
                <w:szCs w:val="24"/>
              </w:rPr>
              <w:t>伊利股份</w:t>
            </w:r>
          </w:p>
        </w:tc>
        <w:tc>
          <w:tcPr>
            <w:tcW w:w="1334" w:type="dxa"/>
            <w:vAlign w:val="center"/>
          </w:tcPr>
          <w:p w:rsidR="009B5076" w:rsidRDefault="008B72E5">
            <w:pPr>
              <w:jc w:val="right"/>
            </w:pPr>
            <w:r>
              <w:rPr>
                <w:color w:val="000000"/>
                <w:sz w:val="24"/>
                <w:szCs w:val="24"/>
              </w:rPr>
              <w:t>1,660,574</w:t>
            </w:r>
          </w:p>
        </w:tc>
        <w:tc>
          <w:tcPr>
            <w:tcW w:w="1924" w:type="dxa"/>
            <w:vAlign w:val="center"/>
          </w:tcPr>
          <w:p w:rsidR="009B5076" w:rsidRDefault="008B72E5">
            <w:pPr>
              <w:jc w:val="right"/>
            </w:pPr>
            <w:r>
              <w:rPr>
                <w:color w:val="000000"/>
                <w:sz w:val="24"/>
                <w:szCs w:val="24"/>
              </w:rPr>
              <w:t>54,998,210.88</w:t>
            </w:r>
          </w:p>
        </w:tc>
        <w:tc>
          <w:tcPr>
            <w:tcW w:w="1644" w:type="dxa"/>
            <w:vAlign w:val="center"/>
          </w:tcPr>
          <w:p w:rsidR="009B5076" w:rsidRDefault="008B72E5">
            <w:pPr>
              <w:jc w:val="right"/>
            </w:pPr>
            <w:r>
              <w:rPr>
                <w:color w:val="000000"/>
                <w:sz w:val="24"/>
                <w:szCs w:val="24"/>
              </w:rPr>
              <w:t>6.54</w:t>
            </w:r>
          </w:p>
        </w:tc>
      </w:tr>
      <w:tr w:rsidR="009B5076">
        <w:trPr>
          <w:jc w:val="center"/>
        </w:trPr>
        <w:tc>
          <w:tcPr>
            <w:tcW w:w="855" w:type="dxa"/>
            <w:vAlign w:val="center"/>
          </w:tcPr>
          <w:p w:rsidR="009B5076" w:rsidRDefault="008B72E5">
            <w:pPr>
              <w:jc w:val="center"/>
            </w:pPr>
            <w:r>
              <w:rPr>
                <w:color w:val="000000"/>
                <w:sz w:val="24"/>
                <w:szCs w:val="24"/>
              </w:rPr>
              <w:t>8</w:t>
            </w:r>
          </w:p>
        </w:tc>
        <w:tc>
          <w:tcPr>
            <w:tcW w:w="1334" w:type="dxa"/>
            <w:vAlign w:val="center"/>
          </w:tcPr>
          <w:p w:rsidR="009B5076" w:rsidRDefault="008B72E5">
            <w:pPr>
              <w:jc w:val="center"/>
            </w:pPr>
            <w:r>
              <w:rPr>
                <w:color w:val="000000"/>
                <w:sz w:val="24"/>
                <w:szCs w:val="24"/>
              </w:rPr>
              <w:t>601933</w:t>
            </w:r>
          </w:p>
        </w:tc>
        <w:tc>
          <w:tcPr>
            <w:tcW w:w="1777" w:type="dxa"/>
            <w:vAlign w:val="center"/>
          </w:tcPr>
          <w:p w:rsidR="009B5076" w:rsidRDefault="008B72E5">
            <w:pPr>
              <w:jc w:val="center"/>
            </w:pPr>
            <w:r>
              <w:rPr>
                <w:color w:val="000000"/>
                <w:sz w:val="24"/>
                <w:szCs w:val="24"/>
              </w:rPr>
              <w:t>永辉超市</w:t>
            </w:r>
          </w:p>
        </w:tc>
        <w:tc>
          <w:tcPr>
            <w:tcW w:w="1334" w:type="dxa"/>
            <w:vAlign w:val="center"/>
          </w:tcPr>
          <w:p w:rsidR="009B5076" w:rsidRDefault="008B72E5">
            <w:pPr>
              <w:jc w:val="right"/>
            </w:pPr>
            <w:r>
              <w:rPr>
                <w:color w:val="000000"/>
                <w:sz w:val="24"/>
                <w:szCs w:val="24"/>
              </w:rPr>
              <w:t>6,754,646</w:t>
            </w:r>
          </w:p>
        </w:tc>
        <w:tc>
          <w:tcPr>
            <w:tcW w:w="1924" w:type="dxa"/>
            <w:vAlign w:val="center"/>
          </w:tcPr>
          <w:p w:rsidR="009B5076" w:rsidRDefault="008B72E5">
            <w:pPr>
              <w:jc w:val="right"/>
            </w:pPr>
            <w:r>
              <w:rPr>
                <w:color w:val="000000"/>
                <w:sz w:val="24"/>
                <w:szCs w:val="24"/>
              </w:rPr>
              <w:t>42,689,362.72</w:t>
            </w:r>
          </w:p>
        </w:tc>
        <w:tc>
          <w:tcPr>
            <w:tcW w:w="1644" w:type="dxa"/>
            <w:vAlign w:val="center"/>
          </w:tcPr>
          <w:p w:rsidR="009B5076" w:rsidRDefault="008B72E5">
            <w:pPr>
              <w:jc w:val="right"/>
            </w:pPr>
            <w:r>
              <w:rPr>
                <w:color w:val="000000"/>
                <w:sz w:val="24"/>
                <w:szCs w:val="24"/>
              </w:rPr>
              <w:t>5.07</w:t>
            </w:r>
          </w:p>
        </w:tc>
      </w:tr>
      <w:tr w:rsidR="009B5076">
        <w:trPr>
          <w:jc w:val="center"/>
        </w:trPr>
        <w:tc>
          <w:tcPr>
            <w:tcW w:w="855" w:type="dxa"/>
            <w:vAlign w:val="center"/>
          </w:tcPr>
          <w:p w:rsidR="009B5076" w:rsidRDefault="008B72E5">
            <w:pPr>
              <w:jc w:val="center"/>
            </w:pPr>
            <w:r>
              <w:rPr>
                <w:color w:val="000000"/>
                <w:sz w:val="24"/>
                <w:szCs w:val="24"/>
              </w:rPr>
              <w:t>9</w:t>
            </w:r>
          </w:p>
        </w:tc>
        <w:tc>
          <w:tcPr>
            <w:tcW w:w="1334" w:type="dxa"/>
            <w:vAlign w:val="center"/>
          </w:tcPr>
          <w:p w:rsidR="009B5076" w:rsidRDefault="008B72E5">
            <w:pPr>
              <w:jc w:val="center"/>
            </w:pPr>
            <w:r>
              <w:rPr>
                <w:color w:val="000000"/>
                <w:sz w:val="24"/>
                <w:szCs w:val="24"/>
              </w:rPr>
              <w:t>600763</w:t>
            </w:r>
          </w:p>
        </w:tc>
        <w:tc>
          <w:tcPr>
            <w:tcW w:w="1777" w:type="dxa"/>
            <w:vAlign w:val="center"/>
          </w:tcPr>
          <w:p w:rsidR="009B5076" w:rsidRDefault="008B72E5">
            <w:pPr>
              <w:jc w:val="center"/>
            </w:pPr>
            <w:r>
              <w:rPr>
                <w:color w:val="000000"/>
                <w:sz w:val="24"/>
                <w:szCs w:val="24"/>
              </w:rPr>
              <w:t>通策医疗</w:t>
            </w:r>
          </w:p>
        </w:tc>
        <w:tc>
          <w:tcPr>
            <w:tcW w:w="1334" w:type="dxa"/>
            <w:vAlign w:val="center"/>
          </w:tcPr>
          <w:p w:rsidR="009B5076" w:rsidRDefault="008B72E5">
            <w:pPr>
              <w:jc w:val="right"/>
            </w:pPr>
            <w:r>
              <w:rPr>
                <w:color w:val="000000"/>
                <w:sz w:val="24"/>
                <w:szCs w:val="24"/>
              </w:rPr>
              <w:t>886,572</w:t>
            </w:r>
          </w:p>
        </w:tc>
        <w:tc>
          <w:tcPr>
            <w:tcW w:w="1924" w:type="dxa"/>
            <w:vAlign w:val="center"/>
          </w:tcPr>
          <w:p w:rsidR="009B5076" w:rsidRDefault="008B72E5">
            <w:pPr>
              <w:jc w:val="right"/>
            </w:pPr>
            <w:r>
              <w:rPr>
                <w:color w:val="000000"/>
                <w:sz w:val="24"/>
                <w:szCs w:val="24"/>
              </w:rPr>
              <w:t>36,189,869.04</w:t>
            </w:r>
          </w:p>
        </w:tc>
        <w:tc>
          <w:tcPr>
            <w:tcW w:w="1644" w:type="dxa"/>
            <w:vAlign w:val="center"/>
          </w:tcPr>
          <w:p w:rsidR="009B5076" w:rsidRDefault="008B72E5">
            <w:pPr>
              <w:jc w:val="right"/>
            </w:pPr>
            <w:r>
              <w:rPr>
                <w:color w:val="000000"/>
                <w:sz w:val="24"/>
                <w:szCs w:val="24"/>
              </w:rPr>
              <w:t>4.30</w:t>
            </w:r>
          </w:p>
        </w:tc>
      </w:tr>
      <w:tr w:rsidR="009B5076">
        <w:trPr>
          <w:jc w:val="center"/>
        </w:trPr>
        <w:tc>
          <w:tcPr>
            <w:tcW w:w="855" w:type="dxa"/>
            <w:vAlign w:val="center"/>
          </w:tcPr>
          <w:p w:rsidR="009B5076" w:rsidRDefault="008B72E5">
            <w:pPr>
              <w:jc w:val="center"/>
            </w:pPr>
            <w:r>
              <w:rPr>
                <w:color w:val="000000"/>
                <w:sz w:val="24"/>
                <w:szCs w:val="24"/>
              </w:rPr>
              <w:t>10</w:t>
            </w:r>
          </w:p>
        </w:tc>
        <w:tc>
          <w:tcPr>
            <w:tcW w:w="1334" w:type="dxa"/>
            <w:vAlign w:val="center"/>
          </w:tcPr>
          <w:p w:rsidR="009B5076" w:rsidRDefault="008B72E5">
            <w:pPr>
              <w:jc w:val="center"/>
            </w:pPr>
            <w:r>
              <w:rPr>
                <w:color w:val="000000"/>
                <w:sz w:val="24"/>
                <w:szCs w:val="24"/>
              </w:rPr>
              <w:t>601117</w:t>
            </w:r>
          </w:p>
        </w:tc>
        <w:tc>
          <w:tcPr>
            <w:tcW w:w="1777" w:type="dxa"/>
            <w:vAlign w:val="center"/>
          </w:tcPr>
          <w:p w:rsidR="009B5076" w:rsidRDefault="008B72E5">
            <w:pPr>
              <w:jc w:val="center"/>
            </w:pPr>
            <w:r>
              <w:rPr>
                <w:color w:val="000000"/>
                <w:sz w:val="24"/>
                <w:szCs w:val="24"/>
              </w:rPr>
              <w:t>中国化学</w:t>
            </w:r>
          </w:p>
        </w:tc>
        <w:tc>
          <w:tcPr>
            <w:tcW w:w="1334" w:type="dxa"/>
            <w:vAlign w:val="center"/>
          </w:tcPr>
          <w:p w:rsidR="009B5076" w:rsidRDefault="008B72E5">
            <w:pPr>
              <w:jc w:val="right"/>
            </w:pPr>
            <w:r>
              <w:rPr>
                <w:color w:val="000000"/>
                <w:sz w:val="24"/>
                <w:szCs w:val="24"/>
              </w:rPr>
              <w:t>6,918,202</w:t>
            </w:r>
          </w:p>
        </w:tc>
        <w:tc>
          <w:tcPr>
            <w:tcW w:w="1924" w:type="dxa"/>
            <w:vAlign w:val="center"/>
          </w:tcPr>
          <w:p w:rsidR="009B5076" w:rsidRDefault="008B72E5">
            <w:pPr>
              <w:jc w:val="right"/>
            </w:pPr>
            <w:r>
              <w:rPr>
                <w:color w:val="000000"/>
                <w:sz w:val="24"/>
                <w:szCs w:val="24"/>
              </w:rPr>
              <w:t>36,043,832.42</w:t>
            </w:r>
          </w:p>
        </w:tc>
        <w:tc>
          <w:tcPr>
            <w:tcW w:w="1644" w:type="dxa"/>
            <w:vAlign w:val="center"/>
          </w:tcPr>
          <w:p w:rsidR="009B5076" w:rsidRDefault="008B72E5">
            <w:pPr>
              <w:jc w:val="right"/>
            </w:pPr>
            <w:r>
              <w:rPr>
                <w:color w:val="000000"/>
                <w:sz w:val="24"/>
                <w:szCs w:val="24"/>
              </w:rPr>
              <w:t>4.28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50,010,000.00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5.94</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50,010,000.00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5.94</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50,010,000.00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B5076">
        <w:trPr>
          <w:jc w:val="center"/>
        </w:trPr>
        <w:tc>
          <w:tcPr>
            <w:tcW w:w="850" w:type="dxa"/>
            <w:vAlign w:val="center"/>
          </w:tcPr>
          <w:p w:rsidR="009B5076" w:rsidRDefault="008B72E5">
            <w:pPr>
              <w:jc w:val="center"/>
            </w:pPr>
            <w:r>
              <w:rPr>
                <w:color w:val="000000"/>
                <w:sz w:val="24"/>
                <w:szCs w:val="24"/>
              </w:rPr>
              <w:t>1</w:t>
            </w:r>
          </w:p>
        </w:tc>
        <w:tc>
          <w:tcPr>
            <w:tcW w:w="1475" w:type="dxa"/>
            <w:vAlign w:val="center"/>
          </w:tcPr>
          <w:p w:rsidR="009B5076" w:rsidRDefault="008B72E5">
            <w:pPr>
              <w:jc w:val="center"/>
            </w:pPr>
            <w:r>
              <w:rPr>
                <w:color w:val="000000"/>
                <w:sz w:val="24"/>
                <w:szCs w:val="24"/>
              </w:rPr>
              <w:t>130236</w:t>
            </w:r>
          </w:p>
        </w:tc>
        <w:tc>
          <w:tcPr>
            <w:tcW w:w="1769" w:type="dxa"/>
            <w:vAlign w:val="center"/>
          </w:tcPr>
          <w:p w:rsidR="009B5076" w:rsidRDefault="008B72E5">
            <w:pPr>
              <w:jc w:val="center"/>
            </w:pPr>
            <w:r>
              <w:rPr>
                <w:color w:val="000000"/>
                <w:sz w:val="24"/>
                <w:szCs w:val="24"/>
              </w:rPr>
              <w:t>13</w:t>
            </w:r>
            <w:r>
              <w:rPr>
                <w:color w:val="000000"/>
                <w:sz w:val="24"/>
                <w:szCs w:val="24"/>
              </w:rPr>
              <w:t>国开</w:t>
            </w:r>
            <w:r>
              <w:rPr>
                <w:color w:val="000000"/>
                <w:sz w:val="24"/>
                <w:szCs w:val="24"/>
              </w:rPr>
              <w:t>36</w:t>
            </w:r>
          </w:p>
        </w:tc>
        <w:tc>
          <w:tcPr>
            <w:tcW w:w="1387" w:type="dxa"/>
            <w:vAlign w:val="center"/>
          </w:tcPr>
          <w:p w:rsidR="009B5076" w:rsidRDefault="008B72E5">
            <w:pPr>
              <w:jc w:val="right"/>
            </w:pPr>
            <w:r>
              <w:rPr>
                <w:color w:val="000000"/>
                <w:sz w:val="24"/>
                <w:szCs w:val="24"/>
              </w:rPr>
              <w:t>500,000</w:t>
            </w:r>
          </w:p>
        </w:tc>
        <w:tc>
          <w:tcPr>
            <w:tcW w:w="2150" w:type="dxa"/>
            <w:vAlign w:val="center"/>
          </w:tcPr>
          <w:p w:rsidR="009B5076" w:rsidRDefault="008B72E5">
            <w:pPr>
              <w:jc w:val="right"/>
            </w:pPr>
            <w:r>
              <w:rPr>
                <w:color w:val="000000"/>
                <w:sz w:val="24"/>
                <w:szCs w:val="24"/>
              </w:rPr>
              <w:t>50,010,000.00</w:t>
            </w:r>
          </w:p>
        </w:tc>
        <w:tc>
          <w:tcPr>
            <w:tcW w:w="1237" w:type="dxa"/>
            <w:vAlign w:val="center"/>
          </w:tcPr>
          <w:p w:rsidR="009B5076" w:rsidRDefault="008B72E5">
            <w:pPr>
              <w:jc w:val="right"/>
            </w:pPr>
            <w:r>
              <w:rPr>
                <w:color w:val="000000"/>
                <w:sz w:val="24"/>
                <w:szCs w:val="24"/>
              </w:rPr>
              <w:t>5.94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D23EE2" w:rsidRPr="00D23EE2" w:rsidRDefault="00BE5388" w:rsidP="00D23EE2">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00D23EE2" w:rsidRPr="00D23EE2">
        <w:rPr>
          <w:rFonts w:hint="eastAsia"/>
          <w:bCs/>
          <w:color w:val="000000"/>
          <w:kern w:val="0"/>
          <w:sz w:val="24"/>
          <w:szCs w:val="24"/>
        </w:rPr>
        <w:t>报告期内本基金投资的前十名证券的发行主体除上海家化（证券代码：</w:t>
      </w:r>
      <w:r w:rsidR="00D23EE2" w:rsidRPr="00D23EE2">
        <w:rPr>
          <w:rFonts w:hint="eastAsia"/>
          <w:bCs/>
          <w:color w:val="000000"/>
          <w:kern w:val="0"/>
          <w:sz w:val="24"/>
          <w:szCs w:val="24"/>
        </w:rPr>
        <w:t>600315</w:t>
      </w:r>
      <w:r w:rsidR="00D23EE2" w:rsidRPr="00D23EE2">
        <w:rPr>
          <w:rFonts w:hint="eastAsia"/>
          <w:bCs/>
          <w:color w:val="000000"/>
          <w:kern w:val="0"/>
          <w:sz w:val="24"/>
          <w:szCs w:val="24"/>
        </w:rPr>
        <w:t>）外，未出现被监管部门立案调查，或在报告编制日前一年内受到公开谴责、处罚的情形。</w:t>
      </w:r>
    </w:p>
    <w:p w:rsidR="00D23EE2" w:rsidRPr="00D23EE2" w:rsidRDefault="00D23EE2" w:rsidP="00D23EE2">
      <w:pPr>
        <w:autoSpaceDE w:val="0"/>
        <w:autoSpaceDN w:val="0"/>
        <w:adjustRightInd w:val="0"/>
        <w:spacing w:before="29" w:line="288" w:lineRule="auto"/>
        <w:jc w:val="left"/>
        <w:rPr>
          <w:bCs/>
          <w:color w:val="000000"/>
          <w:kern w:val="0"/>
          <w:sz w:val="24"/>
          <w:szCs w:val="24"/>
        </w:rPr>
      </w:pPr>
      <w:r w:rsidRPr="00D23EE2">
        <w:rPr>
          <w:rFonts w:hint="eastAsia"/>
          <w:bCs/>
          <w:color w:val="000000"/>
          <w:kern w:val="0"/>
          <w:sz w:val="24"/>
          <w:szCs w:val="24"/>
        </w:rPr>
        <w:t>报告期内本基金投资的前十名证券之一上海家化（证券代码：</w:t>
      </w:r>
      <w:r w:rsidRPr="00D23EE2">
        <w:rPr>
          <w:rFonts w:hint="eastAsia"/>
          <w:bCs/>
          <w:color w:val="000000"/>
          <w:kern w:val="0"/>
          <w:sz w:val="24"/>
          <w:szCs w:val="24"/>
        </w:rPr>
        <w:t>600315</w:t>
      </w:r>
      <w:r w:rsidRPr="00D23EE2">
        <w:rPr>
          <w:rFonts w:hint="eastAsia"/>
          <w:bCs/>
          <w:color w:val="000000"/>
          <w:kern w:val="0"/>
          <w:sz w:val="24"/>
          <w:szCs w:val="24"/>
        </w:rPr>
        <w:t>）于</w:t>
      </w:r>
      <w:r w:rsidRPr="00D23EE2">
        <w:rPr>
          <w:rFonts w:hint="eastAsia"/>
          <w:bCs/>
          <w:color w:val="000000"/>
          <w:kern w:val="0"/>
          <w:sz w:val="24"/>
          <w:szCs w:val="24"/>
        </w:rPr>
        <w:t>2013</w:t>
      </w:r>
      <w:r w:rsidRPr="00D23EE2">
        <w:rPr>
          <w:rFonts w:hint="eastAsia"/>
          <w:bCs/>
          <w:color w:val="000000"/>
          <w:kern w:val="0"/>
          <w:sz w:val="24"/>
          <w:szCs w:val="24"/>
        </w:rPr>
        <w:t>年</w:t>
      </w:r>
      <w:r w:rsidRPr="00D23EE2">
        <w:rPr>
          <w:rFonts w:hint="eastAsia"/>
          <w:bCs/>
          <w:color w:val="000000"/>
          <w:kern w:val="0"/>
          <w:sz w:val="24"/>
          <w:szCs w:val="24"/>
        </w:rPr>
        <w:t>11</w:t>
      </w:r>
      <w:r w:rsidRPr="00D23EE2">
        <w:rPr>
          <w:rFonts w:hint="eastAsia"/>
          <w:bCs/>
          <w:color w:val="000000"/>
          <w:kern w:val="0"/>
          <w:sz w:val="24"/>
          <w:szCs w:val="24"/>
        </w:rPr>
        <w:t>月</w:t>
      </w:r>
      <w:r w:rsidRPr="00D23EE2">
        <w:rPr>
          <w:rFonts w:hint="eastAsia"/>
          <w:bCs/>
          <w:color w:val="000000"/>
          <w:kern w:val="0"/>
          <w:sz w:val="24"/>
          <w:szCs w:val="24"/>
        </w:rPr>
        <w:t>21</w:t>
      </w:r>
      <w:r w:rsidRPr="00D23EE2">
        <w:rPr>
          <w:rFonts w:hint="eastAsia"/>
          <w:bCs/>
          <w:color w:val="000000"/>
          <w:kern w:val="0"/>
          <w:sz w:val="24"/>
          <w:szCs w:val="24"/>
        </w:rPr>
        <w:t>日公告，公司于</w:t>
      </w:r>
      <w:r w:rsidRPr="00D23EE2">
        <w:rPr>
          <w:rFonts w:hint="eastAsia"/>
          <w:bCs/>
          <w:color w:val="000000"/>
          <w:kern w:val="0"/>
          <w:sz w:val="24"/>
          <w:szCs w:val="24"/>
        </w:rPr>
        <w:t>2013</w:t>
      </w:r>
      <w:r w:rsidRPr="00D23EE2">
        <w:rPr>
          <w:rFonts w:hint="eastAsia"/>
          <w:bCs/>
          <w:color w:val="000000"/>
          <w:kern w:val="0"/>
          <w:sz w:val="24"/>
          <w:szCs w:val="24"/>
        </w:rPr>
        <w:t>年</w:t>
      </w:r>
      <w:r w:rsidRPr="00D23EE2">
        <w:rPr>
          <w:rFonts w:hint="eastAsia"/>
          <w:bCs/>
          <w:color w:val="000000"/>
          <w:kern w:val="0"/>
          <w:sz w:val="24"/>
          <w:szCs w:val="24"/>
        </w:rPr>
        <w:t>11</w:t>
      </w:r>
      <w:r w:rsidRPr="00D23EE2">
        <w:rPr>
          <w:rFonts w:hint="eastAsia"/>
          <w:bCs/>
          <w:color w:val="000000"/>
          <w:kern w:val="0"/>
          <w:sz w:val="24"/>
          <w:szCs w:val="24"/>
        </w:rPr>
        <w:t>月</w:t>
      </w:r>
      <w:r w:rsidRPr="00D23EE2">
        <w:rPr>
          <w:rFonts w:hint="eastAsia"/>
          <w:bCs/>
          <w:color w:val="000000"/>
          <w:kern w:val="0"/>
          <w:sz w:val="24"/>
          <w:szCs w:val="24"/>
        </w:rPr>
        <w:t>20</w:t>
      </w:r>
      <w:r w:rsidRPr="00D23EE2">
        <w:rPr>
          <w:rFonts w:hint="eastAsia"/>
          <w:bCs/>
          <w:color w:val="000000"/>
          <w:kern w:val="0"/>
          <w:sz w:val="24"/>
          <w:szCs w:val="24"/>
        </w:rPr>
        <w:t>日收到中国证券监督管理委员会《调查通知书》及上海证监局《行政监管措施决定书》，据此上海家化已于</w:t>
      </w:r>
      <w:r w:rsidRPr="00D23EE2">
        <w:rPr>
          <w:rFonts w:hint="eastAsia"/>
          <w:bCs/>
          <w:color w:val="000000"/>
          <w:kern w:val="0"/>
          <w:sz w:val="24"/>
          <w:szCs w:val="24"/>
        </w:rPr>
        <w:t>2013</w:t>
      </w:r>
      <w:r w:rsidRPr="00D23EE2">
        <w:rPr>
          <w:rFonts w:hint="eastAsia"/>
          <w:bCs/>
          <w:color w:val="000000"/>
          <w:kern w:val="0"/>
          <w:sz w:val="24"/>
          <w:szCs w:val="24"/>
        </w:rPr>
        <w:t>年</w:t>
      </w:r>
      <w:r w:rsidRPr="00D23EE2">
        <w:rPr>
          <w:rFonts w:hint="eastAsia"/>
          <w:bCs/>
          <w:color w:val="000000"/>
          <w:kern w:val="0"/>
          <w:sz w:val="24"/>
          <w:szCs w:val="24"/>
        </w:rPr>
        <w:t>12</w:t>
      </w:r>
      <w:r w:rsidRPr="00D23EE2">
        <w:rPr>
          <w:rFonts w:hint="eastAsia"/>
          <w:bCs/>
          <w:color w:val="000000"/>
          <w:kern w:val="0"/>
          <w:sz w:val="24"/>
          <w:szCs w:val="24"/>
        </w:rPr>
        <w:t>月</w:t>
      </w:r>
      <w:r w:rsidRPr="00D23EE2">
        <w:rPr>
          <w:rFonts w:hint="eastAsia"/>
          <w:bCs/>
          <w:color w:val="000000"/>
          <w:kern w:val="0"/>
          <w:sz w:val="24"/>
          <w:szCs w:val="24"/>
        </w:rPr>
        <w:t>18</w:t>
      </w:r>
      <w:r w:rsidRPr="00D23EE2">
        <w:rPr>
          <w:rFonts w:hint="eastAsia"/>
          <w:bCs/>
          <w:color w:val="000000"/>
          <w:kern w:val="0"/>
          <w:sz w:val="24"/>
          <w:szCs w:val="24"/>
        </w:rPr>
        <w:t>日公告，按照上海证监局要求对关联交易进行了相关信息披露。证监会对于关联交易的调查还在进行中，截止</w:t>
      </w:r>
      <w:r w:rsidRPr="00D23EE2">
        <w:rPr>
          <w:rFonts w:hint="eastAsia"/>
          <w:bCs/>
          <w:color w:val="000000"/>
          <w:kern w:val="0"/>
          <w:sz w:val="24"/>
          <w:szCs w:val="24"/>
        </w:rPr>
        <w:t>2014</w:t>
      </w:r>
      <w:r w:rsidRPr="00D23EE2">
        <w:rPr>
          <w:rFonts w:hint="eastAsia"/>
          <w:bCs/>
          <w:color w:val="000000"/>
          <w:kern w:val="0"/>
          <w:sz w:val="24"/>
          <w:szCs w:val="24"/>
        </w:rPr>
        <w:t>年</w:t>
      </w:r>
      <w:r w:rsidRPr="00D23EE2">
        <w:rPr>
          <w:rFonts w:hint="eastAsia"/>
          <w:bCs/>
          <w:color w:val="000000"/>
          <w:kern w:val="0"/>
          <w:sz w:val="24"/>
          <w:szCs w:val="24"/>
        </w:rPr>
        <w:t>6</w:t>
      </w:r>
      <w:r w:rsidRPr="00D23EE2">
        <w:rPr>
          <w:rFonts w:hint="eastAsia"/>
          <w:bCs/>
          <w:color w:val="000000"/>
          <w:kern w:val="0"/>
          <w:sz w:val="24"/>
          <w:szCs w:val="24"/>
        </w:rPr>
        <w:t>月</w:t>
      </w:r>
      <w:r w:rsidRPr="00D23EE2">
        <w:rPr>
          <w:rFonts w:hint="eastAsia"/>
          <w:bCs/>
          <w:color w:val="000000"/>
          <w:kern w:val="0"/>
          <w:sz w:val="24"/>
          <w:szCs w:val="24"/>
        </w:rPr>
        <w:t>30</w:t>
      </w:r>
      <w:r w:rsidRPr="00D23EE2">
        <w:rPr>
          <w:rFonts w:hint="eastAsia"/>
          <w:bCs/>
          <w:color w:val="000000"/>
          <w:kern w:val="0"/>
          <w:sz w:val="24"/>
          <w:szCs w:val="24"/>
        </w:rPr>
        <w:t>日尚未作出任何决定。</w:t>
      </w:r>
    </w:p>
    <w:p w:rsidR="00BE5388" w:rsidRPr="00BE5388" w:rsidRDefault="00D23EE2" w:rsidP="00D23EE2">
      <w:pPr>
        <w:autoSpaceDE w:val="0"/>
        <w:autoSpaceDN w:val="0"/>
        <w:adjustRightInd w:val="0"/>
        <w:spacing w:before="29" w:line="288" w:lineRule="auto"/>
        <w:jc w:val="left"/>
        <w:rPr>
          <w:bCs/>
          <w:color w:val="000000"/>
          <w:kern w:val="0"/>
          <w:sz w:val="24"/>
          <w:szCs w:val="24"/>
        </w:rPr>
      </w:pPr>
      <w:r w:rsidRPr="00D23EE2">
        <w:rPr>
          <w:rFonts w:hint="eastAsia"/>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此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164,724.40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1,840,488.56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2,671.82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2,007,884.78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996,948,266.78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6,726,683.88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144,206,860.52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859,468,090.14</w:t>
            </w:r>
          </w:p>
        </w:tc>
      </w:tr>
    </w:tbl>
    <w:p w:rsidR="009B5076" w:rsidRDefault="008B72E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8B72E5">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320300" w:rsidRDefault="00410630" w:rsidP="00C15CAC">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8B72E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）基金行业股票估值指数的通知》的指导意见，经与基金托管人协商一致，本基金对其所持有的鱼跃医疗（证券代码：</w:t>
      </w:r>
      <w:r w:rsidRPr="00414345">
        <w:rPr>
          <w:color w:val="000000"/>
          <w:sz w:val="24"/>
          <w:szCs w:val="24"/>
        </w:rPr>
        <w:t>002223</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28</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24</w:t>
      </w:r>
      <w:r w:rsidRPr="00414345">
        <w:rPr>
          <w:color w:val="000000"/>
          <w:sz w:val="24"/>
          <w:szCs w:val="24"/>
        </w:rPr>
        <w:t>日起恢复按市场价格进行估值。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8B72E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9B5076" w:rsidRDefault="008B72E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w:t>
      </w:r>
      <w:r>
        <w:rPr>
          <w:color w:val="000000"/>
          <w:sz w:val="24"/>
          <w:szCs w:val="24"/>
        </w:rPr>
        <w:t>30</w:t>
      </w:r>
      <w:r>
        <w:rPr>
          <w:color w:val="000000"/>
          <w:sz w:val="24"/>
          <w:szCs w:val="24"/>
        </w:rPr>
        <w:t>股票型证券投资基金募集的文件；</w:t>
      </w:r>
      <w:r>
        <w:rPr>
          <w:color w:val="000000"/>
          <w:sz w:val="24"/>
          <w:szCs w:val="24"/>
        </w:rPr>
        <w:t xml:space="preserve"> </w:t>
      </w:r>
    </w:p>
    <w:p w:rsidR="009B5076" w:rsidRDefault="008B72E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w:t>
      </w:r>
      <w:r>
        <w:rPr>
          <w:color w:val="000000"/>
          <w:sz w:val="24"/>
          <w:szCs w:val="24"/>
        </w:rPr>
        <w:t>30</w:t>
      </w:r>
      <w:r>
        <w:rPr>
          <w:color w:val="000000"/>
          <w:sz w:val="24"/>
          <w:szCs w:val="24"/>
        </w:rPr>
        <w:t>股票型证券投资基金基金合同》；</w:t>
      </w:r>
      <w:r>
        <w:rPr>
          <w:color w:val="000000"/>
          <w:sz w:val="24"/>
          <w:szCs w:val="24"/>
        </w:rPr>
        <w:t xml:space="preserve"> </w:t>
      </w:r>
    </w:p>
    <w:p w:rsidR="009B5076" w:rsidRDefault="008B72E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w:t>
      </w:r>
      <w:r>
        <w:rPr>
          <w:color w:val="000000"/>
          <w:sz w:val="24"/>
          <w:szCs w:val="24"/>
        </w:rPr>
        <w:t>30</w:t>
      </w:r>
      <w:r>
        <w:rPr>
          <w:color w:val="000000"/>
          <w:sz w:val="24"/>
          <w:szCs w:val="24"/>
        </w:rPr>
        <w:t>股票型证券投资基金招募说明书》；</w:t>
      </w:r>
      <w:r>
        <w:rPr>
          <w:color w:val="000000"/>
          <w:sz w:val="24"/>
          <w:szCs w:val="24"/>
        </w:rPr>
        <w:t xml:space="preserve"> </w:t>
      </w:r>
    </w:p>
    <w:p w:rsidR="009B5076" w:rsidRDefault="008B72E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w:t>
      </w:r>
      <w:r>
        <w:rPr>
          <w:color w:val="000000"/>
          <w:sz w:val="24"/>
          <w:szCs w:val="24"/>
        </w:rPr>
        <w:t>30</w:t>
      </w:r>
      <w:r>
        <w:rPr>
          <w:color w:val="000000"/>
          <w:sz w:val="24"/>
          <w:szCs w:val="24"/>
        </w:rPr>
        <w:t>股票型证券投资基金托管协议》；</w:t>
      </w:r>
      <w:r>
        <w:rPr>
          <w:color w:val="000000"/>
          <w:sz w:val="24"/>
          <w:szCs w:val="24"/>
        </w:rPr>
        <w:t xml:space="preserve"> </w:t>
      </w:r>
    </w:p>
    <w:p w:rsidR="009B5076" w:rsidRDefault="008B72E5">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w:t>
      </w:r>
      <w:r>
        <w:rPr>
          <w:color w:val="000000"/>
          <w:sz w:val="24"/>
          <w:szCs w:val="24"/>
        </w:rPr>
        <w:t>30</w:t>
      </w:r>
      <w:r>
        <w:rPr>
          <w:color w:val="000000"/>
          <w:sz w:val="24"/>
          <w:szCs w:val="24"/>
        </w:rPr>
        <w:t>股票型证券投资基金之法律意见书；</w:t>
      </w:r>
      <w:r>
        <w:rPr>
          <w:color w:val="000000"/>
          <w:sz w:val="24"/>
          <w:szCs w:val="24"/>
        </w:rPr>
        <w:t xml:space="preserve"> </w:t>
      </w:r>
    </w:p>
    <w:p w:rsidR="009B5076" w:rsidRDefault="008B72E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9B5076" w:rsidRDefault="008B72E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w:t>
      </w:r>
      <w:r w:rsidRPr="00414345">
        <w:rPr>
          <w:color w:val="000000"/>
          <w:sz w:val="24"/>
          <w:szCs w:val="24"/>
        </w:rPr>
        <w:t>30</w:t>
      </w:r>
      <w:r w:rsidRPr="00414345">
        <w:rPr>
          <w:color w:val="000000"/>
          <w:sz w:val="24"/>
          <w:szCs w:val="24"/>
        </w:rPr>
        <w:t>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9B5076" w:rsidRDefault="008B72E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990" w:rsidRDefault="00136990" w:rsidP="00876D65">
      <w:r>
        <w:separator/>
      </w:r>
    </w:p>
  </w:endnote>
  <w:endnote w:type="continuationSeparator" w:id="0">
    <w:p w:rsidR="00136990" w:rsidRDefault="0013699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9B5076">
      <w:rPr>
        <w:kern w:val="0"/>
        <w:szCs w:val="21"/>
      </w:rPr>
      <w:fldChar w:fldCharType="begin"/>
    </w:r>
    <w:r>
      <w:rPr>
        <w:kern w:val="0"/>
        <w:szCs w:val="21"/>
      </w:rPr>
      <w:instrText xml:space="preserve"> PAGE </w:instrText>
    </w:r>
    <w:r w:rsidR="009B5076">
      <w:rPr>
        <w:kern w:val="0"/>
        <w:szCs w:val="21"/>
      </w:rPr>
      <w:fldChar w:fldCharType="separate"/>
    </w:r>
    <w:r w:rsidR="008C1B2B">
      <w:rPr>
        <w:noProof/>
        <w:kern w:val="0"/>
        <w:szCs w:val="21"/>
      </w:rPr>
      <w:t>1</w:t>
    </w:r>
    <w:r w:rsidR="009B5076">
      <w:rPr>
        <w:kern w:val="0"/>
        <w:szCs w:val="21"/>
      </w:rPr>
      <w:fldChar w:fldCharType="end"/>
    </w:r>
    <w:r>
      <w:rPr>
        <w:rFonts w:hint="eastAsia"/>
        <w:kern w:val="0"/>
        <w:szCs w:val="21"/>
      </w:rPr>
      <w:t>页共</w:t>
    </w:r>
    <w:r w:rsidR="009B5076">
      <w:rPr>
        <w:kern w:val="0"/>
        <w:szCs w:val="21"/>
      </w:rPr>
      <w:fldChar w:fldCharType="begin"/>
    </w:r>
    <w:r>
      <w:rPr>
        <w:kern w:val="0"/>
        <w:szCs w:val="21"/>
      </w:rPr>
      <w:instrText xml:space="preserve"> NUMPAGES </w:instrText>
    </w:r>
    <w:r w:rsidR="009B5076">
      <w:rPr>
        <w:kern w:val="0"/>
        <w:szCs w:val="21"/>
      </w:rPr>
      <w:fldChar w:fldCharType="separate"/>
    </w:r>
    <w:r w:rsidR="008C1B2B">
      <w:rPr>
        <w:noProof/>
        <w:kern w:val="0"/>
        <w:szCs w:val="21"/>
      </w:rPr>
      <w:t>12</w:t>
    </w:r>
    <w:r w:rsidR="009B507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990" w:rsidRDefault="00136990" w:rsidP="00876D65">
      <w:r>
        <w:separator/>
      </w:r>
    </w:p>
  </w:footnote>
  <w:footnote w:type="continuationSeparator" w:id="0">
    <w:p w:rsidR="00136990" w:rsidRDefault="0013699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25979"/>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E7E5E"/>
    <w:rsid w:val="000F6CC8"/>
    <w:rsid w:val="00111261"/>
    <w:rsid w:val="00133015"/>
    <w:rsid w:val="00136990"/>
    <w:rsid w:val="00137452"/>
    <w:rsid w:val="00137B31"/>
    <w:rsid w:val="00144F93"/>
    <w:rsid w:val="00147376"/>
    <w:rsid w:val="0015450B"/>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768EE"/>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1198"/>
    <w:rsid w:val="00713A1A"/>
    <w:rsid w:val="00713B5F"/>
    <w:rsid w:val="00720D28"/>
    <w:rsid w:val="0072126F"/>
    <w:rsid w:val="00722509"/>
    <w:rsid w:val="00723CB2"/>
    <w:rsid w:val="00727DD8"/>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72E5"/>
    <w:rsid w:val="008C1B2B"/>
    <w:rsid w:val="008C75E7"/>
    <w:rsid w:val="008C7CA8"/>
    <w:rsid w:val="008C7FFA"/>
    <w:rsid w:val="008D09EC"/>
    <w:rsid w:val="008D1A7D"/>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B5076"/>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3EE2"/>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36549"/>
    <w:rsid w:val="00E40D31"/>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5F6F717-110D-40AC-834F-CA7E063D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8A9D1-98AE-46D8-9BCF-E725DA90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1762</TotalTime>
  <Pages>12</Pages>
  <Words>1122</Words>
  <Characters>6400</Characters>
  <Application>Microsoft Office Word</Application>
  <DocSecurity>0</DocSecurity>
  <Lines>53</Lines>
  <Paragraphs>15</Paragraphs>
  <ScaleCrop>false</ScaleCrop>
  <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533</cp:revision>
  <dcterms:created xsi:type="dcterms:W3CDTF">2012-10-16T06:07:00Z</dcterms:created>
  <dcterms:modified xsi:type="dcterms:W3CDTF">2014-07-18T07:45:00Z</dcterms:modified>
</cp:coreProperties>
</file>