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交银施罗德纯债债券型发起式证券投资基金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2014</w:t>
      </w:r>
      <w:r w:rsidRPr="005858C2">
        <w:rPr>
          <w:rFonts w:eastAsiaTheme="minorEastAsia"/>
          <w:b/>
          <w:sz w:val="36"/>
          <w:szCs w:val="36"/>
        </w:rPr>
        <w:t>年第</w:t>
      </w:r>
      <w:r w:rsidRPr="005858C2">
        <w:rPr>
          <w:rFonts w:eastAsiaTheme="minorEastAsia"/>
          <w:b/>
          <w:sz w:val="36"/>
          <w:szCs w:val="36"/>
        </w:rPr>
        <w:t>2</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2014</w:t>
      </w:r>
      <w:r w:rsidRPr="005858C2">
        <w:rPr>
          <w:b/>
          <w:sz w:val="36"/>
          <w:szCs w:val="36"/>
        </w:rPr>
        <w:t>年</w:t>
      </w:r>
      <w:r w:rsidRPr="005858C2">
        <w:rPr>
          <w:b/>
          <w:sz w:val="36"/>
          <w:szCs w:val="36"/>
        </w:rPr>
        <w:t>6</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中国农业银行股份有限公司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二〇一四年七月十九日</w:t>
      </w:r>
    </w:p>
    <w:p w:rsidR="009238DB" w:rsidRPr="007F52FA" w:rsidRDefault="009238DB" w:rsidP="00C46ABF">
      <w:pPr>
        <w:pStyle w:val="1"/>
        <w:spacing w:beforeLines="100" w:after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基金托管人中国农业银行股份有限公司根据本基金合同规定，于</w:t>
      </w:r>
      <w:r>
        <w:rPr>
          <w:rFonts w:eastAsiaTheme="minorEastAsia"/>
          <w:color w:val="000000"/>
          <w:sz w:val="24"/>
        </w:rPr>
        <w:t>2014</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18</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2014</w:t>
      </w:r>
      <w:r w:rsidRPr="007F52FA">
        <w:rPr>
          <w:rFonts w:eastAsiaTheme="minorEastAsia"/>
          <w:color w:val="000000"/>
          <w:sz w:val="24"/>
        </w:rPr>
        <w:t>年</w:t>
      </w:r>
      <w:r w:rsidRPr="007F52FA">
        <w:rPr>
          <w:rFonts w:eastAsiaTheme="minorEastAsia"/>
          <w:color w:val="000000"/>
          <w:sz w:val="24"/>
        </w:rPr>
        <w:t>4</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6</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C46ABF">
      <w:pPr>
        <w:pStyle w:val="1"/>
        <w:spacing w:beforeLines="100" w:after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3"/>
        <w:gridCol w:w="2922"/>
        <w:gridCol w:w="2923"/>
      </w:tblGrid>
      <w:tr w:rsidR="00A6200E" w:rsidRPr="007F52FA" w:rsidTr="00F32579">
        <w:trPr>
          <w:jc w:val="center"/>
        </w:trPr>
        <w:tc>
          <w:tcPr>
            <w:tcW w:w="2835"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479"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交银纯债债券发起</w:t>
            </w:r>
          </w:p>
        </w:tc>
      </w:tr>
      <w:tr w:rsidR="00B95753" w:rsidRPr="007F52FA" w:rsidTr="00F32579">
        <w:trPr>
          <w:jc w:val="center"/>
        </w:trPr>
        <w:tc>
          <w:tcPr>
            <w:tcW w:w="2835"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479"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519718</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479"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479"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2012</w:t>
            </w:r>
            <w:r w:rsidRPr="007F52FA">
              <w:rPr>
                <w:color w:val="000000"/>
                <w:kern w:val="0"/>
                <w:sz w:val="24"/>
              </w:rPr>
              <w:t>年</w:t>
            </w:r>
            <w:r w:rsidRPr="007F52FA">
              <w:rPr>
                <w:color w:val="000000"/>
                <w:kern w:val="0"/>
                <w:sz w:val="24"/>
              </w:rPr>
              <w:t>12</w:t>
            </w:r>
            <w:r w:rsidRPr="007F52FA">
              <w:rPr>
                <w:color w:val="000000"/>
                <w:kern w:val="0"/>
                <w:sz w:val="24"/>
              </w:rPr>
              <w:t>月</w:t>
            </w:r>
            <w:r w:rsidRPr="007F52FA">
              <w:rPr>
                <w:color w:val="000000"/>
                <w:kern w:val="0"/>
                <w:sz w:val="24"/>
              </w:rPr>
              <w:t>19</w:t>
            </w:r>
            <w:r w:rsidRPr="007F52FA">
              <w:rPr>
                <w:color w:val="000000"/>
                <w:kern w:val="0"/>
                <w:sz w:val="24"/>
              </w:rPr>
              <w:t>日</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280,026,971.84</w:t>
            </w:r>
            <w:r w:rsidRPr="007F52FA">
              <w:rPr>
                <w:color w:val="000000"/>
                <w:kern w:val="0"/>
                <w:sz w:val="24"/>
              </w:rPr>
              <w:t>份</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本基金为纯债基金，在严格控制投资风险的基础上，追求稳定的当期收益和基金资产的稳健增值。</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自下而上地精选个券。</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本基金是一只债券型基金，属于证券投资基金中中等风险的品种，其长期平均的预期收益和风险高于货币市场基金，低于混合型基金和股票型基金。</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739" w:type="dxa"/>
            <w:vAlign w:val="center"/>
          </w:tcPr>
          <w:p w:rsidR="008532F3" w:rsidRPr="007F52FA" w:rsidRDefault="008532F3" w:rsidP="007C14DF">
            <w:pPr>
              <w:spacing w:before="29" w:line="288" w:lineRule="auto"/>
              <w:jc w:val="left"/>
              <w:rPr>
                <w:sz w:val="24"/>
              </w:rPr>
            </w:pPr>
            <w:r w:rsidRPr="007F52FA">
              <w:rPr>
                <w:sz w:val="24"/>
              </w:rPr>
              <w:t>交银纯债债券发起</w:t>
            </w:r>
            <w:r w:rsidRPr="007F52FA">
              <w:rPr>
                <w:sz w:val="24"/>
              </w:rPr>
              <w:t>A/B</w:t>
            </w:r>
          </w:p>
        </w:tc>
        <w:tc>
          <w:tcPr>
            <w:tcW w:w="2740" w:type="dxa"/>
            <w:vAlign w:val="center"/>
          </w:tcPr>
          <w:p w:rsidR="008532F3" w:rsidRPr="007F52FA" w:rsidRDefault="008532F3" w:rsidP="007C14DF">
            <w:pPr>
              <w:spacing w:before="29" w:line="288" w:lineRule="auto"/>
              <w:jc w:val="left"/>
              <w:rPr>
                <w:sz w:val="24"/>
              </w:rPr>
            </w:pPr>
            <w:r w:rsidRPr="007F52FA">
              <w:rPr>
                <w:sz w:val="24"/>
              </w:rPr>
              <w:t>交银纯债债券发起</w:t>
            </w:r>
            <w:r w:rsidRPr="007F52FA">
              <w:rPr>
                <w:sz w:val="24"/>
              </w:rPr>
              <w:t>C</w:t>
            </w:r>
          </w:p>
        </w:tc>
      </w:tr>
      <w:tr w:rsidR="00FD45FA" w:rsidRPr="007F52FA" w:rsidTr="00F32579">
        <w:trPr>
          <w:jc w:val="center"/>
        </w:trPr>
        <w:tc>
          <w:tcPr>
            <w:tcW w:w="2835" w:type="dxa"/>
            <w:vAlign w:val="center"/>
          </w:tcPr>
          <w:p w:rsidR="00FD45FA" w:rsidRPr="007F52FA" w:rsidRDefault="00FD45FA"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739" w:type="dxa"/>
            <w:vAlign w:val="center"/>
          </w:tcPr>
          <w:p w:rsidR="00FD45FA" w:rsidRPr="007F52FA" w:rsidRDefault="00FD45FA" w:rsidP="007C14DF">
            <w:pPr>
              <w:spacing w:before="29" w:line="288" w:lineRule="auto"/>
              <w:jc w:val="left"/>
              <w:rPr>
                <w:sz w:val="24"/>
              </w:rPr>
            </w:pPr>
            <w:r w:rsidRPr="007F52FA">
              <w:rPr>
                <w:color w:val="000000" w:themeColor="text1"/>
                <w:sz w:val="24"/>
              </w:rPr>
              <w:t>519718</w:t>
            </w:r>
            <w:r w:rsidRPr="007F52FA">
              <w:rPr>
                <w:color w:val="000000" w:themeColor="text1"/>
                <w:sz w:val="24"/>
              </w:rPr>
              <w:t>（前端）、</w:t>
            </w:r>
            <w:r w:rsidRPr="007F52FA">
              <w:rPr>
                <w:color w:val="000000" w:themeColor="text1"/>
                <w:sz w:val="24"/>
              </w:rPr>
              <w:t>519719</w:t>
            </w:r>
            <w:r w:rsidRPr="007F52FA">
              <w:rPr>
                <w:color w:val="000000" w:themeColor="text1"/>
                <w:sz w:val="24"/>
              </w:rPr>
              <w:t>（后端）</w:t>
            </w:r>
          </w:p>
        </w:tc>
        <w:tc>
          <w:tcPr>
            <w:tcW w:w="2740" w:type="dxa"/>
            <w:vAlign w:val="center"/>
          </w:tcPr>
          <w:p w:rsidR="00FD45FA" w:rsidRPr="007F52FA" w:rsidRDefault="00FD45FA" w:rsidP="007C14DF">
            <w:pPr>
              <w:spacing w:before="29" w:line="288" w:lineRule="auto"/>
              <w:jc w:val="left"/>
              <w:rPr>
                <w:color w:val="000000" w:themeColor="text1"/>
                <w:sz w:val="24"/>
              </w:rPr>
            </w:pPr>
            <w:r w:rsidRPr="007F52FA">
              <w:rPr>
                <w:color w:val="000000" w:themeColor="text1"/>
                <w:sz w:val="24"/>
              </w:rPr>
              <w:t>519720</w:t>
            </w:r>
          </w:p>
        </w:tc>
      </w:tr>
      <w:tr w:rsidR="00FD45FA" w:rsidRPr="007F52FA" w:rsidTr="00F32579">
        <w:trPr>
          <w:jc w:val="center"/>
        </w:trPr>
        <w:tc>
          <w:tcPr>
            <w:tcW w:w="2835" w:type="dxa"/>
            <w:vAlign w:val="center"/>
          </w:tcPr>
          <w:p w:rsidR="00FD45FA" w:rsidRPr="007F52FA" w:rsidRDefault="00FD45FA"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739" w:type="dxa"/>
            <w:vAlign w:val="center"/>
          </w:tcPr>
          <w:p w:rsidR="00FD45FA" w:rsidRPr="007F52FA" w:rsidRDefault="00FD45FA" w:rsidP="007C14DF">
            <w:pPr>
              <w:spacing w:before="29" w:line="288" w:lineRule="auto"/>
              <w:jc w:val="left"/>
              <w:rPr>
                <w:sz w:val="24"/>
              </w:rPr>
            </w:pPr>
            <w:r w:rsidRPr="007F52FA">
              <w:rPr>
                <w:sz w:val="24"/>
              </w:rPr>
              <w:t>164,569,385.40</w:t>
            </w:r>
            <w:r w:rsidRPr="007F52FA">
              <w:rPr>
                <w:color w:val="000000"/>
                <w:kern w:val="0"/>
                <w:sz w:val="24"/>
              </w:rPr>
              <w:t>份</w:t>
            </w:r>
          </w:p>
        </w:tc>
        <w:tc>
          <w:tcPr>
            <w:tcW w:w="2740" w:type="dxa"/>
            <w:vAlign w:val="center"/>
          </w:tcPr>
          <w:p w:rsidR="00FD45FA" w:rsidRPr="007F52FA" w:rsidRDefault="00FD45FA" w:rsidP="007C14DF">
            <w:pPr>
              <w:spacing w:before="29" w:line="288" w:lineRule="auto"/>
              <w:jc w:val="left"/>
              <w:rPr>
                <w:sz w:val="24"/>
              </w:rPr>
            </w:pPr>
            <w:r w:rsidRPr="007F52FA">
              <w:rPr>
                <w:sz w:val="24"/>
              </w:rPr>
              <w:t>115,457,586.44</w:t>
            </w:r>
            <w:r w:rsidR="00C13116" w:rsidRPr="007F52FA">
              <w:rPr>
                <w:color w:val="000000"/>
                <w:kern w:val="0"/>
                <w:sz w:val="24"/>
              </w:rPr>
              <w:t>份</w:t>
            </w:r>
          </w:p>
        </w:tc>
      </w:tr>
    </w:tbl>
    <w:p w:rsidR="00EB6B71" w:rsidRDefault="00AB266E">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w:t>
      </w:r>
      <w:r>
        <w:rPr>
          <w:rFonts w:eastAsiaTheme="minorEastAsia"/>
          <w:color w:val="000000"/>
          <w:sz w:val="24"/>
        </w:rPr>
        <w:t>类基金份额采用前端收费模式，</w:t>
      </w:r>
      <w:r>
        <w:rPr>
          <w:rFonts w:eastAsiaTheme="minorEastAsia"/>
          <w:color w:val="000000"/>
          <w:sz w:val="24"/>
        </w:rPr>
        <w:t>B</w:t>
      </w:r>
      <w:r>
        <w:rPr>
          <w:rFonts w:eastAsiaTheme="minorEastAsia"/>
          <w:color w:val="000000"/>
          <w:sz w:val="24"/>
        </w:rPr>
        <w:t>类基金份额采用后端收费模式，前端交易代码即为</w:t>
      </w:r>
      <w:r>
        <w:rPr>
          <w:rFonts w:eastAsiaTheme="minorEastAsia"/>
          <w:color w:val="000000"/>
          <w:sz w:val="24"/>
        </w:rPr>
        <w:t>A</w:t>
      </w:r>
      <w:r>
        <w:rPr>
          <w:rFonts w:eastAsiaTheme="minorEastAsia"/>
          <w:color w:val="000000"/>
          <w:sz w:val="24"/>
        </w:rPr>
        <w:t>类基金份额交易代码，后端交易代码即为</w:t>
      </w:r>
      <w:r>
        <w:rPr>
          <w:rFonts w:eastAsiaTheme="minorEastAsia"/>
          <w:color w:val="000000"/>
          <w:sz w:val="24"/>
        </w:rPr>
        <w:t>B</w:t>
      </w:r>
      <w:r>
        <w:rPr>
          <w:rFonts w:eastAsiaTheme="minorEastAsia"/>
          <w:color w:val="000000"/>
          <w:sz w:val="24"/>
        </w:rPr>
        <w:t>类基金份额交易代码。</w:t>
      </w:r>
    </w:p>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、本基金为发起式基金。</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C46ABF">
      <w:pPr>
        <w:pStyle w:val="1"/>
        <w:spacing w:beforeLines="100" w:after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2976E5" w:rsidRPr="007F52FA" w:rsidRDefault="009E549D" w:rsidP="007C14DF">
            <w:pPr>
              <w:adjustRightInd w:val="0"/>
              <w:spacing w:before="29" w:line="288" w:lineRule="auto"/>
              <w:ind w:left="17"/>
              <w:jc w:val="center"/>
              <w:rPr>
                <w:color w:val="000000"/>
                <w:sz w:val="24"/>
              </w:rPr>
            </w:pPr>
            <w:r w:rsidRPr="007F52FA">
              <w:rPr>
                <w:color w:val="000000"/>
                <w:sz w:val="24"/>
              </w:rPr>
              <w:t>报告期</w:t>
            </w:r>
          </w:p>
          <w:p w:rsidR="009E549D" w:rsidRPr="007F52FA" w:rsidRDefault="009E549D" w:rsidP="007C14DF">
            <w:pPr>
              <w:adjustRightInd w:val="0"/>
              <w:spacing w:before="29" w:line="288" w:lineRule="auto"/>
              <w:ind w:left="17"/>
              <w:jc w:val="center"/>
              <w:rPr>
                <w:color w:val="000000"/>
                <w:sz w:val="24"/>
              </w:rPr>
            </w:pPr>
            <w:r w:rsidRPr="007F52FA">
              <w:rPr>
                <w:color w:val="000000"/>
                <w:sz w:val="24"/>
              </w:rPr>
              <w:t>(2014</w:t>
            </w:r>
            <w:r w:rsidRPr="007F52FA">
              <w:rPr>
                <w:color w:val="000000"/>
                <w:sz w:val="24"/>
              </w:rPr>
              <w:t>年</w:t>
            </w:r>
            <w:r w:rsidRPr="007F52FA">
              <w:rPr>
                <w:color w:val="000000"/>
                <w:sz w:val="24"/>
              </w:rPr>
              <w:t>4</w:t>
            </w:r>
            <w:r w:rsidRPr="007F52FA">
              <w:rPr>
                <w:color w:val="000000"/>
                <w:sz w:val="24"/>
              </w:rPr>
              <w:t>月</w:t>
            </w:r>
            <w:r w:rsidRPr="007F52FA">
              <w:rPr>
                <w:color w:val="000000"/>
                <w:sz w:val="24"/>
              </w:rPr>
              <w:t>1</w:t>
            </w:r>
            <w:r w:rsidRPr="007F52FA">
              <w:rPr>
                <w:color w:val="000000"/>
                <w:sz w:val="24"/>
              </w:rPr>
              <w:t>日</w:t>
            </w:r>
            <w:r w:rsidRPr="007F52FA">
              <w:rPr>
                <w:color w:val="000000"/>
                <w:sz w:val="24"/>
              </w:rPr>
              <w:t>-2014</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w:t>
            </w:r>
            <w:r w:rsidRPr="007F52FA">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交银纯债债券发起</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交银纯债债券发起</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1,905,007.84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1,026,914.55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6,775,608.91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2,664,425.02</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0.0416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0.0391</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172,991,492.16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120,263,179.36</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1.051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1.042</w:t>
            </w:r>
          </w:p>
        </w:tc>
      </w:tr>
    </w:tbl>
    <w:p w:rsidR="00EB6B71" w:rsidRDefault="00AB266E">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交银纯债债券发起</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EB6B71">
        <w:trPr>
          <w:jc w:val="center"/>
        </w:trPr>
        <w:tc>
          <w:tcPr>
            <w:tcW w:w="1266" w:type="dxa"/>
            <w:vAlign w:val="center"/>
          </w:tcPr>
          <w:p w:rsidR="00EB6B71" w:rsidRDefault="00AB266E">
            <w:pPr>
              <w:jc w:val="left"/>
            </w:pPr>
            <w:r>
              <w:rPr>
                <w:color w:val="000000"/>
                <w:sz w:val="24"/>
              </w:rPr>
              <w:t>过去三个月</w:t>
            </w:r>
          </w:p>
        </w:tc>
        <w:tc>
          <w:tcPr>
            <w:tcW w:w="1267" w:type="dxa"/>
            <w:vAlign w:val="center"/>
          </w:tcPr>
          <w:p w:rsidR="00EB6B71" w:rsidRDefault="00AB266E">
            <w:pPr>
              <w:jc w:val="center"/>
            </w:pPr>
            <w:r>
              <w:rPr>
                <w:color w:val="000000"/>
                <w:sz w:val="24"/>
              </w:rPr>
              <w:t>4.16%</w:t>
            </w:r>
          </w:p>
        </w:tc>
        <w:tc>
          <w:tcPr>
            <w:tcW w:w="1267" w:type="dxa"/>
            <w:vAlign w:val="center"/>
          </w:tcPr>
          <w:p w:rsidR="00EB6B71" w:rsidRDefault="00AB266E">
            <w:pPr>
              <w:jc w:val="center"/>
            </w:pPr>
            <w:r>
              <w:rPr>
                <w:color w:val="000000"/>
                <w:sz w:val="24"/>
              </w:rPr>
              <w:t>0.13%</w:t>
            </w:r>
          </w:p>
        </w:tc>
        <w:tc>
          <w:tcPr>
            <w:tcW w:w="1267" w:type="dxa"/>
            <w:vAlign w:val="center"/>
          </w:tcPr>
          <w:p w:rsidR="00EB6B71" w:rsidRDefault="00AB266E">
            <w:pPr>
              <w:jc w:val="center"/>
            </w:pPr>
            <w:r>
              <w:rPr>
                <w:color w:val="000000"/>
                <w:sz w:val="24"/>
              </w:rPr>
              <w:t>2.42%</w:t>
            </w:r>
          </w:p>
        </w:tc>
        <w:tc>
          <w:tcPr>
            <w:tcW w:w="1267" w:type="dxa"/>
            <w:vAlign w:val="center"/>
          </w:tcPr>
          <w:p w:rsidR="00EB6B71" w:rsidRDefault="00AB266E">
            <w:pPr>
              <w:jc w:val="center"/>
            </w:pPr>
            <w:r>
              <w:rPr>
                <w:color w:val="000000"/>
                <w:sz w:val="24"/>
              </w:rPr>
              <w:t>0.09%</w:t>
            </w:r>
          </w:p>
        </w:tc>
        <w:tc>
          <w:tcPr>
            <w:tcW w:w="1267" w:type="dxa"/>
            <w:vAlign w:val="center"/>
          </w:tcPr>
          <w:p w:rsidR="00EB6B71" w:rsidRDefault="00AB266E">
            <w:pPr>
              <w:jc w:val="center"/>
            </w:pPr>
            <w:r>
              <w:rPr>
                <w:color w:val="000000"/>
                <w:sz w:val="24"/>
              </w:rPr>
              <w:t>1.74%</w:t>
            </w:r>
          </w:p>
        </w:tc>
        <w:tc>
          <w:tcPr>
            <w:tcW w:w="1267" w:type="dxa"/>
            <w:vAlign w:val="center"/>
          </w:tcPr>
          <w:p w:rsidR="00EB6B71" w:rsidRDefault="00AB266E">
            <w:pPr>
              <w:jc w:val="center"/>
            </w:pPr>
            <w:r>
              <w:rPr>
                <w:color w:val="000000"/>
                <w:sz w:val="24"/>
              </w:rPr>
              <w:t>0.04%</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交银纯债债券发起</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EB6B71">
        <w:trPr>
          <w:jc w:val="center"/>
        </w:trPr>
        <w:tc>
          <w:tcPr>
            <w:tcW w:w="1266" w:type="dxa"/>
            <w:vAlign w:val="center"/>
          </w:tcPr>
          <w:p w:rsidR="00EB6B71" w:rsidRDefault="00AB266E">
            <w:pPr>
              <w:jc w:val="left"/>
            </w:pPr>
            <w:r>
              <w:rPr>
                <w:color w:val="000000"/>
                <w:sz w:val="24"/>
              </w:rPr>
              <w:t>过去三个月</w:t>
            </w:r>
          </w:p>
        </w:tc>
        <w:tc>
          <w:tcPr>
            <w:tcW w:w="1267" w:type="dxa"/>
            <w:vAlign w:val="center"/>
          </w:tcPr>
          <w:p w:rsidR="00EB6B71" w:rsidRDefault="00AB266E">
            <w:pPr>
              <w:jc w:val="center"/>
            </w:pPr>
            <w:r>
              <w:rPr>
                <w:color w:val="000000"/>
                <w:sz w:val="24"/>
              </w:rPr>
              <w:t>3.99%</w:t>
            </w:r>
          </w:p>
        </w:tc>
        <w:tc>
          <w:tcPr>
            <w:tcW w:w="1267" w:type="dxa"/>
            <w:vAlign w:val="center"/>
          </w:tcPr>
          <w:p w:rsidR="00EB6B71" w:rsidRDefault="00AB266E">
            <w:pPr>
              <w:jc w:val="center"/>
            </w:pPr>
            <w:r>
              <w:rPr>
                <w:color w:val="000000"/>
                <w:sz w:val="24"/>
              </w:rPr>
              <w:t>0.11%</w:t>
            </w:r>
          </w:p>
        </w:tc>
        <w:tc>
          <w:tcPr>
            <w:tcW w:w="1267" w:type="dxa"/>
            <w:vAlign w:val="center"/>
          </w:tcPr>
          <w:p w:rsidR="00EB6B71" w:rsidRDefault="00AB266E">
            <w:pPr>
              <w:jc w:val="center"/>
            </w:pPr>
            <w:r>
              <w:rPr>
                <w:color w:val="000000"/>
                <w:sz w:val="24"/>
              </w:rPr>
              <w:t>2.42%</w:t>
            </w:r>
          </w:p>
        </w:tc>
        <w:tc>
          <w:tcPr>
            <w:tcW w:w="1267" w:type="dxa"/>
            <w:vAlign w:val="center"/>
          </w:tcPr>
          <w:p w:rsidR="00EB6B71" w:rsidRDefault="00AB266E">
            <w:pPr>
              <w:jc w:val="center"/>
            </w:pPr>
            <w:r>
              <w:rPr>
                <w:color w:val="000000"/>
                <w:sz w:val="24"/>
              </w:rPr>
              <w:t>0.09%</w:t>
            </w:r>
          </w:p>
        </w:tc>
        <w:tc>
          <w:tcPr>
            <w:tcW w:w="1267" w:type="dxa"/>
            <w:vAlign w:val="center"/>
          </w:tcPr>
          <w:p w:rsidR="00EB6B71" w:rsidRDefault="00AB266E">
            <w:pPr>
              <w:jc w:val="center"/>
            </w:pPr>
            <w:r>
              <w:rPr>
                <w:color w:val="000000"/>
                <w:sz w:val="24"/>
              </w:rPr>
              <w:t>1.57%</w:t>
            </w:r>
          </w:p>
        </w:tc>
        <w:tc>
          <w:tcPr>
            <w:tcW w:w="1267" w:type="dxa"/>
            <w:vAlign w:val="center"/>
          </w:tcPr>
          <w:p w:rsidR="00EB6B71" w:rsidRDefault="00AB266E">
            <w:pPr>
              <w:jc w:val="center"/>
            </w:pPr>
            <w:r>
              <w:rPr>
                <w:color w:val="000000"/>
                <w:sz w:val="24"/>
              </w:rPr>
              <w:t>0.02%</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BF57BE" w:rsidRPr="007F52FA">
        <w:rPr>
          <w:b/>
          <w:color w:val="000000"/>
          <w:sz w:val="24"/>
        </w:rPr>
        <w:t>自基金合同生效以来基金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交银施罗德纯债债券型发起式证券投资基金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2012</w:t>
      </w:r>
      <w:r w:rsidR="00D04410" w:rsidRPr="007F52FA">
        <w:rPr>
          <w:rFonts w:ascii="Times New Roman" w:hAnsi="Times New Roman"/>
          <w:sz w:val="24"/>
          <w:szCs w:val="24"/>
        </w:rPr>
        <w:t>年</w:t>
      </w:r>
      <w:r w:rsidR="00D04410" w:rsidRPr="007F52FA">
        <w:rPr>
          <w:rFonts w:ascii="Times New Roman" w:hAnsi="Times New Roman"/>
          <w:sz w:val="24"/>
          <w:szCs w:val="24"/>
        </w:rPr>
        <w:t>12</w:t>
      </w:r>
      <w:r w:rsidR="00D04410" w:rsidRPr="007F52FA">
        <w:rPr>
          <w:rFonts w:ascii="Times New Roman" w:hAnsi="Times New Roman"/>
          <w:sz w:val="24"/>
          <w:szCs w:val="24"/>
        </w:rPr>
        <w:t>月</w:t>
      </w:r>
      <w:r w:rsidR="00D04410" w:rsidRPr="007F52FA">
        <w:rPr>
          <w:rFonts w:ascii="Times New Roman" w:hAnsi="Times New Roman"/>
          <w:sz w:val="24"/>
          <w:szCs w:val="24"/>
        </w:rPr>
        <w:t>19</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2014</w:t>
      </w:r>
      <w:r w:rsidRPr="007F52FA">
        <w:rPr>
          <w:rFonts w:ascii="Times New Roman" w:hAnsi="Times New Roman"/>
          <w:sz w:val="24"/>
          <w:szCs w:val="24"/>
        </w:rPr>
        <w:t>年</w:t>
      </w:r>
      <w:r w:rsidRPr="007F52FA">
        <w:rPr>
          <w:rFonts w:ascii="Times New Roman" w:hAnsi="Times New Roman"/>
          <w:sz w:val="24"/>
          <w:szCs w:val="24"/>
        </w:rPr>
        <w:t>6</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交银纯债债券发起</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000000" w:rsidRDefault="0042785F">
      <w:pPr>
        <w:spacing w:before="29" w:line="288" w:lineRule="auto"/>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交银纯债债券发起</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000000" w:rsidRDefault="00FE7FBD">
      <w:pPr>
        <w:spacing w:before="29" w:line="288" w:lineRule="auto"/>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C46ABF">
      <w:pPr>
        <w:pStyle w:val="1"/>
        <w:spacing w:beforeLines="100" w:after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EB6B71">
        <w:trPr>
          <w:jc w:val="center"/>
        </w:trPr>
        <w:tc>
          <w:tcPr>
            <w:tcW w:w="946" w:type="dxa"/>
            <w:vAlign w:val="center"/>
          </w:tcPr>
          <w:p w:rsidR="00EB6B71" w:rsidRDefault="00AB266E">
            <w:pPr>
              <w:jc w:val="center"/>
            </w:pPr>
            <w:r>
              <w:rPr>
                <w:color w:val="000000"/>
                <w:sz w:val="24"/>
              </w:rPr>
              <w:t>林洪钧</w:t>
            </w:r>
          </w:p>
        </w:tc>
        <w:tc>
          <w:tcPr>
            <w:tcW w:w="924" w:type="dxa"/>
            <w:vAlign w:val="center"/>
          </w:tcPr>
          <w:p w:rsidR="00EB6B71" w:rsidRDefault="00AB266E">
            <w:pPr>
              <w:jc w:val="center"/>
            </w:pPr>
            <w:r>
              <w:rPr>
                <w:color w:val="000000"/>
                <w:sz w:val="24"/>
              </w:rPr>
              <w:t>本基金、交银货币、交银信用添利债券</w:t>
            </w:r>
            <w:r>
              <w:rPr>
                <w:color w:val="000000"/>
                <w:sz w:val="24"/>
              </w:rPr>
              <w:t>(LOF)</w:t>
            </w:r>
            <w:r>
              <w:rPr>
                <w:color w:val="000000"/>
                <w:sz w:val="24"/>
              </w:rPr>
              <w:t>、交银理财</w:t>
            </w:r>
            <w:r>
              <w:rPr>
                <w:color w:val="000000"/>
                <w:sz w:val="24"/>
              </w:rPr>
              <w:t>21</w:t>
            </w:r>
            <w:r>
              <w:rPr>
                <w:color w:val="000000"/>
                <w:sz w:val="24"/>
              </w:rPr>
              <w:t>天债券的基金经理，交银荣安保本混合、交银荣祥保本混合的基金经理助理，公司固定收益部助理总经理</w:t>
            </w:r>
          </w:p>
        </w:tc>
        <w:tc>
          <w:tcPr>
            <w:tcW w:w="1202" w:type="dxa"/>
            <w:vAlign w:val="center"/>
          </w:tcPr>
          <w:p w:rsidR="00EB6B71" w:rsidRDefault="00AB266E">
            <w:pPr>
              <w:jc w:val="center"/>
            </w:pPr>
            <w:r>
              <w:rPr>
                <w:color w:val="000000"/>
                <w:sz w:val="24"/>
              </w:rPr>
              <w:t>2014-03-31</w:t>
            </w:r>
          </w:p>
        </w:tc>
        <w:tc>
          <w:tcPr>
            <w:tcW w:w="1300" w:type="dxa"/>
            <w:vAlign w:val="center"/>
          </w:tcPr>
          <w:p w:rsidR="00EB6B71" w:rsidRDefault="00AB266E">
            <w:pPr>
              <w:jc w:val="center"/>
            </w:pPr>
            <w:r>
              <w:rPr>
                <w:color w:val="000000"/>
                <w:sz w:val="24"/>
              </w:rPr>
              <w:t>-</w:t>
            </w:r>
          </w:p>
        </w:tc>
        <w:tc>
          <w:tcPr>
            <w:tcW w:w="1245" w:type="dxa"/>
            <w:vAlign w:val="center"/>
          </w:tcPr>
          <w:p w:rsidR="00EB6B71" w:rsidRDefault="00AB266E">
            <w:pPr>
              <w:jc w:val="center"/>
            </w:pPr>
            <w:r>
              <w:rPr>
                <w:color w:val="000000"/>
                <w:sz w:val="24"/>
              </w:rPr>
              <w:t>10</w:t>
            </w:r>
            <w:r>
              <w:rPr>
                <w:color w:val="000000"/>
                <w:sz w:val="24"/>
              </w:rPr>
              <w:t>年</w:t>
            </w:r>
          </w:p>
        </w:tc>
        <w:tc>
          <w:tcPr>
            <w:tcW w:w="3251" w:type="dxa"/>
            <w:vAlign w:val="center"/>
          </w:tcPr>
          <w:p w:rsidR="00EB6B71" w:rsidRDefault="00AB266E" w:rsidP="00EA0AA5">
            <w:r>
              <w:rPr>
                <w:color w:val="000000"/>
                <w:sz w:val="24"/>
              </w:rPr>
              <w:t>林洪钧先生，复旦大学</w:t>
            </w:r>
            <w:r w:rsidR="00EA0AA5">
              <w:rPr>
                <w:rFonts w:hint="eastAsia"/>
                <w:color w:val="000000"/>
                <w:sz w:val="24"/>
              </w:rPr>
              <w:t>硕</w:t>
            </w:r>
            <w:r w:rsidR="00EA0AA5">
              <w:rPr>
                <w:color w:val="000000"/>
                <w:sz w:val="24"/>
              </w:rPr>
              <w:t>士</w:t>
            </w:r>
            <w:r>
              <w:rPr>
                <w:color w:val="000000"/>
                <w:sz w:val="24"/>
              </w:rPr>
              <w:t>。历任国泰君安证券股份有限公司上海分公司机构客户部客户经理，华安基金管理有限公司债券交易员，加拿大</w:t>
            </w:r>
            <w:r>
              <w:rPr>
                <w:color w:val="000000"/>
                <w:sz w:val="24"/>
              </w:rPr>
              <w:t>Financial Engineering Source Inc.</w:t>
            </w:r>
            <w:r>
              <w:rPr>
                <w:color w:val="000000"/>
                <w:sz w:val="24"/>
              </w:rPr>
              <w:t>金融研究员。</w:t>
            </w:r>
            <w:r>
              <w:rPr>
                <w:color w:val="000000"/>
                <w:sz w:val="24"/>
              </w:rPr>
              <w:t>2009</w:t>
            </w:r>
            <w:r>
              <w:rPr>
                <w:color w:val="000000"/>
                <w:sz w:val="24"/>
              </w:rPr>
              <w:t>年加入交银施罗德基金管理有限公司，历任专户投资部投资经理助理、专户投资经理。</w:t>
            </w:r>
          </w:p>
        </w:tc>
      </w:tr>
    </w:tbl>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EB6B71" w:rsidRDefault="00AB266E">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B6B71" w:rsidRDefault="00AB266E">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B6B71" w:rsidRDefault="00AB266E">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w:t>
      </w:r>
      <w:r w:rsidRPr="007F52FA">
        <w:rPr>
          <w:color w:val="000000"/>
          <w:sz w:val="24"/>
        </w:rPr>
        <w:t>,</w:t>
      </w:r>
      <w:r w:rsidRPr="007F52FA">
        <w:rPr>
          <w:color w:val="000000"/>
          <w:sz w:val="24"/>
        </w:rPr>
        <w:t>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EB6B71" w:rsidRDefault="00AB266E">
      <w:pPr>
        <w:spacing w:before="29" w:line="288" w:lineRule="auto"/>
        <w:ind w:firstLineChars="200" w:firstLine="480"/>
        <w:rPr>
          <w:color w:val="000000"/>
          <w:sz w:val="24"/>
        </w:rPr>
      </w:pPr>
      <w:r>
        <w:rPr>
          <w:color w:val="000000"/>
          <w:sz w:val="24"/>
        </w:rPr>
        <w:t>本报告期内，经济增长动能依旧趋弱。</w:t>
      </w:r>
      <w:r>
        <w:rPr>
          <w:color w:val="000000"/>
          <w:sz w:val="24"/>
        </w:rPr>
        <w:t>4</w:t>
      </w:r>
      <w:r>
        <w:rPr>
          <w:color w:val="000000"/>
          <w:sz w:val="24"/>
        </w:rPr>
        <w:t>、</w:t>
      </w:r>
      <w:r>
        <w:rPr>
          <w:color w:val="000000"/>
          <w:sz w:val="24"/>
        </w:rPr>
        <w:t>5</w:t>
      </w:r>
      <w:r>
        <w:rPr>
          <w:color w:val="000000"/>
          <w:sz w:val="24"/>
        </w:rPr>
        <w:t>月工业增加值为</w:t>
      </w:r>
      <w:r>
        <w:rPr>
          <w:color w:val="000000"/>
          <w:sz w:val="24"/>
        </w:rPr>
        <w:t>8.7%</w:t>
      </w:r>
      <w:r>
        <w:rPr>
          <w:color w:val="000000"/>
          <w:sz w:val="24"/>
        </w:rPr>
        <w:t>、</w:t>
      </w:r>
      <w:r>
        <w:rPr>
          <w:color w:val="000000"/>
          <w:sz w:val="24"/>
        </w:rPr>
        <w:t>8.8%</w:t>
      </w:r>
      <w:r>
        <w:rPr>
          <w:color w:val="000000"/>
          <w:sz w:val="24"/>
        </w:rPr>
        <w:t>，</w:t>
      </w:r>
      <w:r>
        <w:rPr>
          <w:color w:val="000000"/>
          <w:sz w:val="24"/>
        </w:rPr>
        <w:t>PPI</w:t>
      </w:r>
      <w:r>
        <w:rPr>
          <w:color w:val="000000"/>
          <w:sz w:val="24"/>
        </w:rPr>
        <w:t>今年以来连续</w:t>
      </w:r>
      <w:r>
        <w:rPr>
          <w:color w:val="000000"/>
          <w:sz w:val="24"/>
        </w:rPr>
        <w:t>5</w:t>
      </w:r>
      <w:r>
        <w:rPr>
          <w:color w:val="000000"/>
          <w:sz w:val="24"/>
        </w:rPr>
        <w:t>个月环比为负，这些都体现了经济下行的压力较一季度进一步加大。而二季度房地产销售、新开工面积同比不断下降，房价也在高位出现下跌迹象。房地产投资严重下滑使得今年保增长的压力显得尤为突出。与经济下行相对应的是，二季度各种结构性政策的频频出台。自</w:t>
      </w:r>
      <w:r>
        <w:rPr>
          <w:color w:val="000000"/>
          <w:sz w:val="24"/>
        </w:rPr>
        <w:t>4</w:t>
      </w:r>
      <w:r>
        <w:rPr>
          <w:color w:val="000000"/>
          <w:sz w:val="24"/>
        </w:rPr>
        <w:t>月</w:t>
      </w:r>
      <w:r>
        <w:rPr>
          <w:color w:val="000000"/>
          <w:sz w:val="24"/>
        </w:rPr>
        <w:t>16</w:t>
      </w:r>
      <w:r>
        <w:rPr>
          <w:color w:val="000000"/>
          <w:sz w:val="24"/>
        </w:rPr>
        <w:t>日起，央行降低了部分农信社、城商行、部分股份制银行的存款准备金率。政策的连续出台在下半年或将起到积极的作用。</w:t>
      </w:r>
    </w:p>
    <w:p w:rsidR="00EB6B71" w:rsidRDefault="00AB266E">
      <w:pPr>
        <w:spacing w:before="29" w:line="288" w:lineRule="auto"/>
        <w:ind w:firstLineChars="200" w:firstLine="480"/>
        <w:rPr>
          <w:color w:val="000000"/>
          <w:sz w:val="24"/>
        </w:rPr>
      </w:pPr>
      <w:r>
        <w:rPr>
          <w:color w:val="000000"/>
          <w:sz w:val="24"/>
        </w:rPr>
        <w:t>本报告期内，受经济下滑、货币政策加码、流动性充沛三方面影响，债券市场经历了较为明显的涨幅，中债总财富指数上涨</w:t>
      </w:r>
      <w:r>
        <w:rPr>
          <w:color w:val="000000"/>
          <w:sz w:val="24"/>
        </w:rPr>
        <w:t>3.51%</w:t>
      </w:r>
      <w:r>
        <w:rPr>
          <w:color w:val="000000"/>
          <w:sz w:val="24"/>
        </w:rPr>
        <w:t>。从产品类属上，长久期政策性金融债以及城投债在二季度的表现尤为突出。然而，在二季度末，由于稳增长的政策不断加码，债券市场的预期发生了微妙的变化。出于对下半年政策进一步加码的担忧，从宽货币到宽信用的路径似乎在二季度末正在政策指导下发生，债券市场在二季度末收益出现了一些震荡。</w:t>
      </w:r>
    </w:p>
    <w:p w:rsidR="00EB6B71" w:rsidRDefault="00AB266E">
      <w:pPr>
        <w:spacing w:before="29" w:line="288" w:lineRule="auto"/>
        <w:ind w:firstLineChars="200" w:firstLine="480"/>
        <w:rPr>
          <w:color w:val="000000"/>
          <w:sz w:val="24"/>
        </w:rPr>
      </w:pPr>
      <w:r>
        <w:rPr>
          <w:color w:val="000000"/>
          <w:sz w:val="24"/>
        </w:rPr>
        <w:t>本基金在本报告期内保持了较高的债券仓位，</w:t>
      </w:r>
      <w:r w:rsidR="00EA0AA5">
        <w:rPr>
          <w:rFonts w:hint="eastAsia"/>
          <w:color w:val="000000"/>
          <w:sz w:val="24"/>
        </w:rPr>
        <w:t>业绩</w:t>
      </w:r>
      <w:r>
        <w:rPr>
          <w:color w:val="000000"/>
          <w:sz w:val="24"/>
        </w:rPr>
        <w:t>贡献主要来自于债券在二季度的资本利得。</w:t>
      </w:r>
    </w:p>
    <w:p w:rsidR="00952A72" w:rsidRPr="007F52FA" w:rsidRDefault="00323F25" w:rsidP="007C14DF">
      <w:pPr>
        <w:spacing w:before="29" w:line="288" w:lineRule="auto"/>
        <w:ind w:firstLineChars="200" w:firstLine="480"/>
        <w:rPr>
          <w:color w:val="000000"/>
          <w:sz w:val="24"/>
        </w:rPr>
      </w:pPr>
      <w:r w:rsidRPr="007F52FA">
        <w:rPr>
          <w:color w:val="000000"/>
          <w:sz w:val="24"/>
        </w:rPr>
        <w:t>展望三季度，前期政策累加的效果可能逐步出现，同时稳增长的政策可能继续出台，在稳增长的背景下，宽信用出现的可能性在不断提高。因此，债券市场在下半年继续出现上半年较大资本利得的可能性在降低，债券收益率可能出现波动。而另一方面，由于房地产下滑严重，中国经济结构性问题也无法在短期内解决。从市场出清到经济恢复内生增长动力仍需较长时间。所以债券市场收益率大幅上行的可能性也不高。总体说来，本基金对三季度债券市场持较谨慎观点。组合管理方面，计划同时降低债券仓位和久期，以持有票息为主。</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2014</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日，交银纯债债券发起</w:t>
      </w:r>
      <w:r w:rsidRPr="007F52FA">
        <w:rPr>
          <w:color w:val="000000"/>
          <w:sz w:val="24"/>
        </w:rPr>
        <w:t>A/B</w:t>
      </w:r>
      <w:r w:rsidRPr="007F52FA">
        <w:rPr>
          <w:color w:val="000000"/>
          <w:sz w:val="24"/>
        </w:rPr>
        <w:t>份额净值为</w:t>
      </w:r>
      <w:r w:rsidRPr="007F52FA">
        <w:rPr>
          <w:color w:val="000000"/>
          <w:sz w:val="24"/>
        </w:rPr>
        <w:t>1.051</w:t>
      </w:r>
      <w:r w:rsidRPr="007F52FA">
        <w:rPr>
          <w:color w:val="000000"/>
          <w:sz w:val="24"/>
        </w:rPr>
        <w:t>元，本报告期份额净值增长率为</w:t>
      </w:r>
      <w:r w:rsidRPr="007F52FA">
        <w:rPr>
          <w:color w:val="000000"/>
          <w:sz w:val="24"/>
        </w:rPr>
        <w:t>4.16%</w:t>
      </w:r>
      <w:r w:rsidRPr="007F52FA">
        <w:rPr>
          <w:color w:val="000000"/>
          <w:sz w:val="24"/>
        </w:rPr>
        <w:t>，同期业绩比较基准增长率为</w:t>
      </w:r>
      <w:r w:rsidRPr="007F52FA">
        <w:rPr>
          <w:color w:val="000000"/>
          <w:sz w:val="24"/>
        </w:rPr>
        <w:t>2.42%</w:t>
      </w:r>
      <w:r w:rsidRPr="007F52FA">
        <w:rPr>
          <w:color w:val="000000"/>
          <w:sz w:val="24"/>
        </w:rPr>
        <w:t>；交银纯债债券发起</w:t>
      </w:r>
      <w:r w:rsidRPr="007F52FA">
        <w:rPr>
          <w:color w:val="000000"/>
          <w:sz w:val="24"/>
        </w:rPr>
        <w:t>C</w:t>
      </w:r>
      <w:r w:rsidRPr="007F52FA">
        <w:rPr>
          <w:color w:val="000000"/>
          <w:sz w:val="24"/>
        </w:rPr>
        <w:t>份额净值为</w:t>
      </w:r>
      <w:r w:rsidRPr="007F52FA">
        <w:rPr>
          <w:color w:val="000000"/>
          <w:sz w:val="24"/>
        </w:rPr>
        <w:t>1.042</w:t>
      </w:r>
      <w:r w:rsidRPr="007F52FA">
        <w:rPr>
          <w:color w:val="000000"/>
          <w:sz w:val="24"/>
        </w:rPr>
        <w:t>元，本报告期份额净值增长率为</w:t>
      </w:r>
      <w:r w:rsidRPr="007F52FA">
        <w:rPr>
          <w:color w:val="000000"/>
          <w:sz w:val="24"/>
        </w:rPr>
        <w:t>3.99%</w:t>
      </w:r>
      <w:r w:rsidRPr="007F52FA">
        <w:rPr>
          <w:color w:val="000000"/>
          <w:sz w:val="24"/>
        </w:rPr>
        <w:t>，同期业绩比较基准增长率为</w:t>
      </w:r>
      <w:r w:rsidRPr="007F52FA">
        <w:rPr>
          <w:color w:val="000000"/>
          <w:sz w:val="24"/>
        </w:rPr>
        <w:t>2.42%</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9238DB" w:rsidRPr="007F52FA" w:rsidRDefault="00FF5FC7" w:rsidP="00C46ABF">
      <w:pPr>
        <w:pStyle w:val="1"/>
        <w:tabs>
          <w:tab w:val="center" w:pos="4410"/>
        </w:tabs>
        <w:spacing w:beforeLines="100" w:afterLines="100"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529,894,945.76</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92.72</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519,845,945.76</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90.96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10,049,000.00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1.76</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10,919,025.97</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1.91</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30,670,928.05</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5.37</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571,484,899.78</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87,696,000.00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29.90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26,455,912.00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9.02</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26,455,912.00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9.02</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264,223,033.76</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90.10</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141,471,000.00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48.24</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可转债</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8</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519,845,945.76</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177.27</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Ind w:w="15" w:type="dxa"/>
        <w:tblLayout w:type="fixed"/>
        <w:tblCellMar>
          <w:top w:w="57" w:type="dxa"/>
          <w:bottom w:w="57" w:type="dxa"/>
        </w:tblCellMar>
        <w:tblLook w:val="04A0"/>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EB6B71">
        <w:trPr>
          <w:jc w:val="center"/>
        </w:trPr>
        <w:tc>
          <w:tcPr>
            <w:tcW w:w="1075" w:type="dxa"/>
            <w:vAlign w:val="center"/>
          </w:tcPr>
          <w:p w:rsidR="00EB6B71" w:rsidRDefault="00AB266E">
            <w:pPr>
              <w:jc w:val="center"/>
            </w:pPr>
            <w:r>
              <w:rPr>
                <w:color w:val="000000"/>
                <w:sz w:val="24"/>
              </w:rPr>
              <w:t>1</w:t>
            </w:r>
          </w:p>
        </w:tc>
        <w:tc>
          <w:tcPr>
            <w:tcW w:w="1533" w:type="dxa"/>
            <w:vAlign w:val="center"/>
          </w:tcPr>
          <w:p w:rsidR="00EB6B71" w:rsidRDefault="00AB266E">
            <w:pPr>
              <w:jc w:val="center"/>
            </w:pPr>
            <w:r>
              <w:rPr>
                <w:color w:val="000000"/>
                <w:sz w:val="24"/>
              </w:rPr>
              <w:t>010107</w:t>
            </w:r>
          </w:p>
        </w:tc>
        <w:tc>
          <w:tcPr>
            <w:tcW w:w="1533" w:type="dxa"/>
            <w:vAlign w:val="center"/>
          </w:tcPr>
          <w:p w:rsidR="00EB6B71" w:rsidRDefault="00AB266E">
            <w:pPr>
              <w:jc w:val="center"/>
            </w:pPr>
            <w:r>
              <w:rPr>
                <w:color w:val="000000"/>
                <w:sz w:val="24"/>
              </w:rPr>
              <w:t>21</w:t>
            </w:r>
            <w:r>
              <w:rPr>
                <w:color w:val="000000"/>
                <w:sz w:val="24"/>
              </w:rPr>
              <w:t>国债</w:t>
            </w:r>
            <w:r>
              <w:rPr>
                <w:color w:val="000000"/>
                <w:sz w:val="24"/>
              </w:rPr>
              <w:t>⑺</w:t>
            </w:r>
          </w:p>
        </w:tc>
        <w:tc>
          <w:tcPr>
            <w:tcW w:w="1394" w:type="dxa"/>
            <w:vAlign w:val="center"/>
          </w:tcPr>
          <w:p w:rsidR="00EB6B71" w:rsidRDefault="00AB266E">
            <w:pPr>
              <w:jc w:val="right"/>
            </w:pPr>
            <w:r>
              <w:rPr>
                <w:color w:val="000000"/>
                <w:sz w:val="24"/>
              </w:rPr>
              <w:t>870,000</w:t>
            </w:r>
          </w:p>
        </w:tc>
        <w:tc>
          <w:tcPr>
            <w:tcW w:w="1944" w:type="dxa"/>
            <w:vAlign w:val="center"/>
          </w:tcPr>
          <w:p w:rsidR="00EB6B71" w:rsidRDefault="00AB266E">
            <w:pPr>
              <w:jc w:val="right"/>
            </w:pPr>
            <w:r>
              <w:rPr>
                <w:color w:val="000000"/>
                <w:sz w:val="24"/>
              </w:rPr>
              <w:t>87,696,000.00</w:t>
            </w:r>
          </w:p>
        </w:tc>
        <w:tc>
          <w:tcPr>
            <w:tcW w:w="1389" w:type="dxa"/>
            <w:vAlign w:val="center"/>
          </w:tcPr>
          <w:p w:rsidR="00EB6B71" w:rsidRDefault="00AB266E">
            <w:pPr>
              <w:jc w:val="right"/>
            </w:pPr>
            <w:r>
              <w:rPr>
                <w:color w:val="000000"/>
                <w:sz w:val="24"/>
              </w:rPr>
              <w:t>29.90</w:t>
            </w:r>
          </w:p>
        </w:tc>
      </w:tr>
      <w:tr w:rsidR="00EB6B71">
        <w:trPr>
          <w:jc w:val="center"/>
        </w:trPr>
        <w:tc>
          <w:tcPr>
            <w:tcW w:w="1075" w:type="dxa"/>
            <w:vAlign w:val="center"/>
          </w:tcPr>
          <w:p w:rsidR="00EB6B71" w:rsidRDefault="00AB266E">
            <w:pPr>
              <w:jc w:val="center"/>
            </w:pPr>
            <w:r>
              <w:rPr>
                <w:color w:val="000000"/>
                <w:sz w:val="24"/>
              </w:rPr>
              <w:t>2</w:t>
            </w:r>
          </w:p>
        </w:tc>
        <w:tc>
          <w:tcPr>
            <w:tcW w:w="1533" w:type="dxa"/>
            <w:vAlign w:val="center"/>
          </w:tcPr>
          <w:p w:rsidR="00EB6B71" w:rsidRDefault="00AB266E">
            <w:pPr>
              <w:jc w:val="center"/>
            </w:pPr>
            <w:r>
              <w:rPr>
                <w:color w:val="000000"/>
                <w:sz w:val="24"/>
              </w:rPr>
              <w:t>122527</w:t>
            </w:r>
          </w:p>
        </w:tc>
        <w:tc>
          <w:tcPr>
            <w:tcW w:w="1533" w:type="dxa"/>
            <w:vAlign w:val="center"/>
          </w:tcPr>
          <w:p w:rsidR="00EB6B71" w:rsidRDefault="00AB266E">
            <w:pPr>
              <w:jc w:val="center"/>
            </w:pPr>
            <w:r>
              <w:rPr>
                <w:color w:val="000000"/>
                <w:sz w:val="24"/>
              </w:rPr>
              <w:t>12</w:t>
            </w:r>
            <w:r>
              <w:rPr>
                <w:color w:val="000000"/>
                <w:sz w:val="24"/>
              </w:rPr>
              <w:t>温国投</w:t>
            </w:r>
          </w:p>
        </w:tc>
        <w:tc>
          <w:tcPr>
            <w:tcW w:w="1394" w:type="dxa"/>
            <w:vAlign w:val="center"/>
          </w:tcPr>
          <w:p w:rsidR="00EB6B71" w:rsidRDefault="00AB266E">
            <w:pPr>
              <w:jc w:val="right"/>
            </w:pPr>
            <w:r>
              <w:rPr>
                <w:color w:val="000000"/>
                <w:sz w:val="24"/>
              </w:rPr>
              <w:t>200,000</w:t>
            </w:r>
          </w:p>
        </w:tc>
        <w:tc>
          <w:tcPr>
            <w:tcW w:w="1944" w:type="dxa"/>
            <w:vAlign w:val="center"/>
          </w:tcPr>
          <w:p w:rsidR="00EB6B71" w:rsidRDefault="00AB266E">
            <w:pPr>
              <w:jc w:val="right"/>
            </w:pPr>
            <w:r>
              <w:rPr>
                <w:color w:val="000000"/>
                <w:sz w:val="24"/>
              </w:rPr>
              <w:t>21,356,000.00</w:t>
            </w:r>
          </w:p>
        </w:tc>
        <w:tc>
          <w:tcPr>
            <w:tcW w:w="1389" w:type="dxa"/>
            <w:vAlign w:val="center"/>
          </w:tcPr>
          <w:p w:rsidR="00EB6B71" w:rsidRDefault="00AB266E">
            <w:pPr>
              <w:jc w:val="right"/>
            </w:pPr>
            <w:r>
              <w:rPr>
                <w:color w:val="000000"/>
                <w:sz w:val="24"/>
              </w:rPr>
              <w:t>7.28</w:t>
            </w:r>
          </w:p>
        </w:tc>
      </w:tr>
      <w:tr w:rsidR="00EB6B71">
        <w:trPr>
          <w:jc w:val="center"/>
        </w:trPr>
        <w:tc>
          <w:tcPr>
            <w:tcW w:w="1075" w:type="dxa"/>
            <w:vAlign w:val="center"/>
          </w:tcPr>
          <w:p w:rsidR="00EB6B71" w:rsidRDefault="00AB266E">
            <w:pPr>
              <w:jc w:val="center"/>
            </w:pPr>
            <w:r>
              <w:rPr>
                <w:color w:val="000000"/>
                <w:sz w:val="24"/>
              </w:rPr>
              <w:t>3</w:t>
            </w:r>
          </w:p>
        </w:tc>
        <w:tc>
          <w:tcPr>
            <w:tcW w:w="1533" w:type="dxa"/>
            <w:vAlign w:val="center"/>
          </w:tcPr>
          <w:p w:rsidR="00EB6B71" w:rsidRDefault="00AB266E">
            <w:pPr>
              <w:jc w:val="center"/>
            </w:pPr>
            <w:r>
              <w:rPr>
                <w:color w:val="000000"/>
                <w:sz w:val="24"/>
              </w:rPr>
              <w:t>101456011</w:t>
            </w:r>
          </w:p>
        </w:tc>
        <w:tc>
          <w:tcPr>
            <w:tcW w:w="1533" w:type="dxa"/>
            <w:vAlign w:val="center"/>
          </w:tcPr>
          <w:p w:rsidR="00EB6B71" w:rsidRDefault="00AB266E">
            <w:pPr>
              <w:jc w:val="center"/>
            </w:pPr>
            <w:r>
              <w:rPr>
                <w:color w:val="000000"/>
                <w:sz w:val="24"/>
              </w:rPr>
              <w:t>14</w:t>
            </w:r>
            <w:r>
              <w:rPr>
                <w:color w:val="000000"/>
                <w:sz w:val="24"/>
              </w:rPr>
              <w:t>长沙城投</w:t>
            </w:r>
            <w:r>
              <w:rPr>
                <w:color w:val="000000"/>
                <w:sz w:val="24"/>
              </w:rPr>
              <w:t>MTN001</w:t>
            </w:r>
          </w:p>
        </w:tc>
        <w:tc>
          <w:tcPr>
            <w:tcW w:w="1394" w:type="dxa"/>
            <w:vAlign w:val="center"/>
          </w:tcPr>
          <w:p w:rsidR="00EB6B71" w:rsidRDefault="00AB266E">
            <w:pPr>
              <w:jc w:val="right"/>
            </w:pPr>
            <w:r>
              <w:rPr>
                <w:color w:val="000000"/>
                <w:sz w:val="24"/>
              </w:rPr>
              <w:t>200,000</w:t>
            </w:r>
          </w:p>
        </w:tc>
        <w:tc>
          <w:tcPr>
            <w:tcW w:w="1944" w:type="dxa"/>
            <w:vAlign w:val="center"/>
          </w:tcPr>
          <w:p w:rsidR="00EB6B71" w:rsidRDefault="00AB266E">
            <w:pPr>
              <w:jc w:val="right"/>
            </w:pPr>
            <w:r>
              <w:rPr>
                <w:color w:val="000000"/>
                <w:sz w:val="24"/>
              </w:rPr>
              <w:t>21,000,000.00</w:t>
            </w:r>
          </w:p>
        </w:tc>
        <w:tc>
          <w:tcPr>
            <w:tcW w:w="1389" w:type="dxa"/>
            <w:vAlign w:val="center"/>
          </w:tcPr>
          <w:p w:rsidR="00EB6B71" w:rsidRDefault="00AB266E">
            <w:pPr>
              <w:jc w:val="right"/>
            </w:pPr>
            <w:r>
              <w:rPr>
                <w:color w:val="000000"/>
                <w:sz w:val="24"/>
              </w:rPr>
              <w:t>7.16</w:t>
            </w:r>
          </w:p>
        </w:tc>
      </w:tr>
      <w:tr w:rsidR="00EB6B71">
        <w:trPr>
          <w:jc w:val="center"/>
        </w:trPr>
        <w:tc>
          <w:tcPr>
            <w:tcW w:w="1075" w:type="dxa"/>
            <w:vAlign w:val="center"/>
          </w:tcPr>
          <w:p w:rsidR="00EB6B71" w:rsidRDefault="00AB266E">
            <w:pPr>
              <w:jc w:val="center"/>
            </w:pPr>
            <w:r>
              <w:rPr>
                <w:color w:val="000000"/>
                <w:sz w:val="24"/>
              </w:rPr>
              <w:t>4</w:t>
            </w:r>
          </w:p>
        </w:tc>
        <w:tc>
          <w:tcPr>
            <w:tcW w:w="1533" w:type="dxa"/>
            <w:vAlign w:val="center"/>
          </w:tcPr>
          <w:p w:rsidR="00EB6B71" w:rsidRDefault="00AB266E">
            <w:pPr>
              <w:jc w:val="center"/>
            </w:pPr>
            <w:r>
              <w:rPr>
                <w:color w:val="000000"/>
                <w:sz w:val="24"/>
              </w:rPr>
              <w:t>101354022</w:t>
            </w:r>
          </w:p>
        </w:tc>
        <w:tc>
          <w:tcPr>
            <w:tcW w:w="1533" w:type="dxa"/>
            <w:vAlign w:val="center"/>
          </w:tcPr>
          <w:p w:rsidR="00EB6B71" w:rsidRDefault="00AB266E">
            <w:pPr>
              <w:jc w:val="center"/>
            </w:pPr>
            <w:r>
              <w:rPr>
                <w:color w:val="000000"/>
                <w:sz w:val="24"/>
              </w:rPr>
              <w:t>13</w:t>
            </w:r>
            <w:r>
              <w:rPr>
                <w:color w:val="000000"/>
                <w:sz w:val="24"/>
              </w:rPr>
              <w:t>兴泸</w:t>
            </w:r>
            <w:r>
              <w:rPr>
                <w:color w:val="000000"/>
                <w:sz w:val="24"/>
              </w:rPr>
              <w:t>MTN001</w:t>
            </w:r>
          </w:p>
        </w:tc>
        <w:tc>
          <w:tcPr>
            <w:tcW w:w="1394" w:type="dxa"/>
            <w:vAlign w:val="center"/>
          </w:tcPr>
          <w:p w:rsidR="00EB6B71" w:rsidRDefault="00AB266E">
            <w:pPr>
              <w:jc w:val="right"/>
            </w:pPr>
            <w:r>
              <w:rPr>
                <w:color w:val="000000"/>
                <w:sz w:val="24"/>
              </w:rPr>
              <w:t>200,000</w:t>
            </w:r>
          </w:p>
        </w:tc>
        <w:tc>
          <w:tcPr>
            <w:tcW w:w="1944" w:type="dxa"/>
            <w:vAlign w:val="center"/>
          </w:tcPr>
          <w:p w:rsidR="00EB6B71" w:rsidRDefault="00AB266E">
            <w:pPr>
              <w:jc w:val="right"/>
            </w:pPr>
            <w:r>
              <w:rPr>
                <w:color w:val="000000"/>
                <w:sz w:val="24"/>
              </w:rPr>
              <w:t>20,582,000.00</w:t>
            </w:r>
          </w:p>
        </w:tc>
        <w:tc>
          <w:tcPr>
            <w:tcW w:w="1389" w:type="dxa"/>
            <w:vAlign w:val="center"/>
          </w:tcPr>
          <w:p w:rsidR="00EB6B71" w:rsidRDefault="00AB266E">
            <w:pPr>
              <w:jc w:val="right"/>
            </w:pPr>
            <w:r>
              <w:rPr>
                <w:color w:val="000000"/>
                <w:sz w:val="24"/>
              </w:rPr>
              <w:t>7.02</w:t>
            </w:r>
          </w:p>
        </w:tc>
      </w:tr>
      <w:tr w:rsidR="00EB6B71">
        <w:trPr>
          <w:jc w:val="center"/>
        </w:trPr>
        <w:tc>
          <w:tcPr>
            <w:tcW w:w="1075" w:type="dxa"/>
            <w:vAlign w:val="center"/>
          </w:tcPr>
          <w:p w:rsidR="00EB6B71" w:rsidRDefault="00AB266E">
            <w:pPr>
              <w:jc w:val="center"/>
            </w:pPr>
            <w:r>
              <w:rPr>
                <w:color w:val="000000"/>
                <w:sz w:val="24"/>
              </w:rPr>
              <w:t>5</w:t>
            </w:r>
          </w:p>
        </w:tc>
        <w:tc>
          <w:tcPr>
            <w:tcW w:w="1533" w:type="dxa"/>
            <w:vAlign w:val="center"/>
          </w:tcPr>
          <w:p w:rsidR="00EB6B71" w:rsidRDefault="00AB266E">
            <w:pPr>
              <w:jc w:val="center"/>
            </w:pPr>
            <w:r>
              <w:rPr>
                <w:color w:val="000000"/>
                <w:sz w:val="24"/>
              </w:rPr>
              <w:t>124440</w:t>
            </w:r>
          </w:p>
        </w:tc>
        <w:tc>
          <w:tcPr>
            <w:tcW w:w="1533" w:type="dxa"/>
            <w:vAlign w:val="center"/>
          </w:tcPr>
          <w:p w:rsidR="00EB6B71" w:rsidRDefault="00AB266E">
            <w:pPr>
              <w:jc w:val="center"/>
            </w:pPr>
            <w:r>
              <w:rPr>
                <w:color w:val="000000"/>
                <w:sz w:val="24"/>
              </w:rPr>
              <w:t>13</w:t>
            </w:r>
            <w:r>
              <w:rPr>
                <w:color w:val="000000"/>
                <w:sz w:val="24"/>
              </w:rPr>
              <w:t>宁德投</w:t>
            </w:r>
          </w:p>
        </w:tc>
        <w:tc>
          <w:tcPr>
            <w:tcW w:w="1394" w:type="dxa"/>
            <w:vAlign w:val="center"/>
          </w:tcPr>
          <w:p w:rsidR="00EB6B71" w:rsidRDefault="00AB266E">
            <w:pPr>
              <w:jc w:val="right"/>
            </w:pPr>
            <w:r>
              <w:rPr>
                <w:color w:val="000000"/>
                <w:sz w:val="24"/>
              </w:rPr>
              <w:t>200,000</w:t>
            </w:r>
          </w:p>
        </w:tc>
        <w:tc>
          <w:tcPr>
            <w:tcW w:w="1944" w:type="dxa"/>
            <w:vAlign w:val="center"/>
          </w:tcPr>
          <w:p w:rsidR="00EB6B71" w:rsidRDefault="00AB266E">
            <w:pPr>
              <w:jc w:val="right"/>
            </w:pPr>
            <w:r>
              <w:rPr>
                <w:color w:val="000000"/>
                <w:sz w:val="24"/>
              </w:rPr>
              <w:t>20,404,000.00</w:t>
            </w:r>
          </w:p>
        </w:tc>
        <w:tc>
          <w:tcPr>
            <w:tcW w:w="1389" w:type="dxa"/>
            <w:vAlign w:val="center"/>
          </w:tcPr>
          <w:p w:rsidR="00EB6B71" w:rsidRDefault="00AB266E">
            <w:pPr>
              <w:jc w:val="right"/>
            </w:pPr>
            <w:r>
              <w:rPr>
                <w:color w:val="000000"/>
                <w:sz w:val="24"/>
              </w:rPr>
              <w:t>6.96</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Ind w:w="15" w:type="dxa"/>
        <w:tblCellMar>
          <w:top w:w="57" w:type="dxa"/>
          <w:bottom w:w="57" w:type="dxa"/>
        </w:tblCellMar>
        <w:tblLook w:val="04A0"/>
      </w:tblPr>
      <w:tblGrid>
        <w:gridCol w:w="1431"/>
        <w:gridCol w:w="1473"/>
        <w:gridCol w:w="1435"/>
        <w:gridCol w:w="1468"/>
        <w:gridCol w:w="1596"/>
        <w:gridCol w:w="1465"/>
      </w:tblGrid>
      <w:tr w:rsidR="009A0513" w:rsidRPr="007F52FA" w:rsidTr="00B236A5">
        <w:trPr>
          <w:jc w:val="center"/>
        </w:trPr>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EB6B71">
        <w:trPr>
          <w:jc w:val="center"/>
        </w:trPr>
        <w:tc>
          <w:tcPr>
            <w:tcW w:w="0" w:type="auto"/>
            <w:vAlign w:val="center"/>
          </w:tcPr>
          <w:p w:rsidR="00EB6B71" w:rsidRDefault="00AB266E">
            <w:pPr>
              <w:jc w:val="center"/>
            </w:pPr>
            <w:r>
              <w:rPr>
                <w:color w:val="000000"/>
                <w:sz w:val="24"/>
              </w:rPr>
              <w:t>1</w:t>
            </w:r>
          </w:p>
        </w:tc>
        <w:tc>
          <w:tcPr>
            <w:tcW w:w="0" w:type="auto"/>
            <w:vAlign w:val="center"/>
          </w:tcPr>
          <w:p w:rsidR="00EB6B71" w:rsidRDefault="00AB266E">
            <w:pPr>
              <w:jc w:val="center"/>
            </w:pPr>
            <w:r>
              <w:rPr>
                <w:color w:val="000000"/>
                <w:sz w:val="24"/>
              </w:rPr>
              <w:t>1489029</w:t>
            </w:r>
          </w:p>
        </w:tc>
        <w:tc>
          <w:tcPr>
            <w:tcW w:w="0" w:type="auto"/>
            <w:vAlign w:val="center"/>
          </w:tcPr>
          <w:p w:rsidR="00EB6B71" w:rsidRDefault="00AB266E">
            <w:pPr>
              <w:jc w:val="center"/>
            </w:pPr>
            <w:r>
              <w:rPr>
                <w:color w:val="000000"/>
                <w:sz w:val="24"/>
              </w:rPr>
              <w:t>14</w:t>
            </w:r>
            <w:r>
              <w:rPr>
                <w:color w:val="000000"/>
                <w:sz w:val="24"/>
              </w:rPr>
              <w:t>东元</w:t>
            </w:r>
            <w:r>
              <w:rPr>
                <w:color w:val="000000"/>
                <w:sz w:val="24"/>
              </w:rPr>
              <w:t>1A</w:t>
            </w:r>
          </w:p>
        </w:tc>
        <w:tc>
          <w:tcPr>
            <w:tcW w:w="0" w:type="auto"/>
            <w:vAlign w:val="center"/>
          </w:tcPr>
          <w:p w:rsidR="00EB6B71" w:rsidRDefault="00AB266E">
            <w:pPr>
              <w:jc w:val="right"/>
            </w:pPr>
            <w:r>
              <w:rPr>
                <w:color w:val="000000"/>
                <w:sz w:val="24"/>
              </w:rPr>
              <w:t>100,000</w:t>
            </w:r>
          </w:p>
        </w:tc>
        <w:tc>
          <w:tcPr>
            <w:tcW w:w="0" w:type="auto"/>
            <w:vAlign w:val="center"/>
          </w:tcPr>
          <w:p w:rsidR="00EB6B71" w:rsidRDefault="00AB266E">
            <w:pPr>
              <w:jc w:val="right"/>
            </w:pPr>
            <w:r>
              <w:rPr>
                <w:color w:val="000000"/>
                <w:sz w:val="24"/>
              </w:rPr>
              <w:t>10,049,000.00</w:t>
            </w:r>
          </w:p>
        </w:tc>
        <w:tc>
          <w:tcPr>
            <w:tcW w:w="0" w:type="auto"/>
            <w:vAlign w:val="center"/>
          </w:tcPr>
          <w:p w:rsidR="00EB6B71" w:rsidRDefault="00AB266E">
            <w:pPr>
              <w:jc w:val="right"/>
            </w:pPr>
            <w:r>
              <w:rPr>
                <w:color w:val="000000"/>
                <w:sz w:val="24"/>
              </w:rPr>
              <w:t>3.43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Ind w:w="15" w:type="dxa"/>
        <w:tblLook w:val="04A0"/>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12,290.04</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19,971,213.70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10,557,589.09</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129,835.22</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30,670,928.05</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C46ABF">
      <w:pPr>
        <w:pStyle w:val="1"/>
        <w:spacing w:beforeLines="100" w:after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tblPr>
      <w:tblGrid>
        <w:gridCol w:w="3749"/>
        <w:gridCol w:w="2688"/>
        <w:gridCol w:w="2431"/>
      </w:tblGrid>
      <w:tr w:rsidR="00936D40" w:rsidRPr="007F52FA" w:rsidTr="00C71DA2">
        <w:trPr>
          <w:jc w:val="center"/>
        </w:trPr>
        <w:tc>
          <w:tcPr>
            <w:tcW w:w="3749"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688"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C71DA2">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交银纯债债券发起</w:t>
            </w:r>
            <w:r w:rsidRPr="007F52FA">
              <w:rPr>
                <w:rFonts w:eastAsiaTheme="minorEastAsia"/>
                <w:sz w:val="24"/>
              </w:rPr>
              <w:t>A/B</w:t>
            </w:r>
          </w:p>
        </w:tc>
        <w:tc>
          <w:tcPr>
            <w:tcW w:w="2431"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交银纯债债券发起</w:t>
            </w:r>
            <w:r w:rsidRPr="007F52FA">
              <w:rPr>
                <w:rFonts w:eastAsiaTheme="minorEastAsia"/>
                <w:sz w:val="24"/>
              </w:rPr>
              <w:t>C</w:t>
            </w:r>
          </w:p>
        </w:tc>
      </w:tr>
      <w:tr w:rsidR="00936D40" w:rsidRPr="007F52FA" w:rsidTr="00C71DA2">
        <w:trPr>
          <w:jc w:val="center"/>
        </w:trPr>
        <w:tc>
          <w:tcPr>
            <w:tcW w:w="3749"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本报告期期初基金份额总额</w:t>
            </w:r>
          </w:p>
        </w:tc>
        <w:tc>
          <w:tcPr>
            <w:tcW w:w="2688"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170,008,855.48</w:t>
            </w:r>
          </w:p>
        </w:tc>
        <w:tc>
          <w:tcPr>
            <w:tcW w:w="2431"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11,391,747.47</w:t>
            </w:r>
          </w:p>
        </w:tc>
      </w:tr>
      <w:tr w:rsidR="00936D40" w:rsidRPr="007F52FA" w:rsidTr="00C71DA2">
        <w:trPr>
          <w:jc w:val="center"/>
        </w:trPr>
        <w:tc>
          <w:tcPr>
            <w:tcW w:w="3749"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936D40" w:rsidRPr="007F52FA">
              <w:rPr>
                <w:rFonts w:eastAsiaTheme="minorEastAsia"/>
                <w:color w:val="000000"/>
                <w:kern w:val="0"/>
                <w:sz w:val="24"/>
              </w:rPr>
              <w:t>基金总申购份额</w:t>
            </w:r>
          </w:p>
        </w:tc>
        <w:tc>
          <w:tcPr>
            <w:tcW w:w="2688"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11,459,235.06</w:t>
            </w:r>
          </w:p>
        </w:tc>
        <w:tc>
          <w:tcPr>
            <w:tcW w:w="2431"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112,512,121.89</w:t>
            </w:r>
          </w:p>
        </w:tc>
      </w:tr>
      <w:tr w:rsidR="00936D40" w:rsidRPr="007F52FA" w:rsidTr="00C71DA2">
        <w:trPr>
          <w:jc w:val="center"/>
        </w:trPr>
        <w:tc>
          <w:tcPr>
            <w:tcW w:w="3749"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Pr="007F52FA">
              <w:rPr>
                <w:rFonts w:eastAsiaTheme="minorEastAsia"/>
                <w:color w:val="000000"/>
                <w:kern w:val="0"/>
                <w:sz w:val="24"/>
              </w:rPr>
              <w:t>基金总赎回份额</w:t>
            </w:r>
          </w:p>
        </w:tc>
        <w:tc>
          <w:tcPr>
            <w:tcW w:w="2688"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16,898,705.14</w:t>
            </w:r>
          </w:p>
        </w:tc>
        <w:tc>
          <w:tcPr>
            <w:tcW w:w="2431"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8,446,282.92</w:t>
            </w:r>
          </w:p>
        </w:tc>
      </w:tr>
      <w:tr w:rsidR="00936D40" w:rsidRPr="007F52FA" w:rsidTr="00C71DA2">
        <w:trPr>
          <w:jc w:val="center"/>
        </w:trPr>
        <w:tc>
          <w:tcPr>
            <w:tcW w:w="3749"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936D40" w:rsidRPr="007F52FA">
              <w:rPr>
                <w:rFonts w:eastAsiaTheme="minorEastAsia"/>
                <w:color w:val="000000"/>
                <w:kern w:val="0"/>
                <w:sz w:val="24"/>
              </w:rPr>
              <w:t>基金拆分变动份额</w:t>
            </w:r>
          </w:p>
        </w:tc>
        <w:tc>
          <w:tcPr>
            <w:tcW w:w="2688"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C71DA2">
        <w:trPr>
          <w:jc w:val="center"/>
        </w:trPr>
        <w:tc>
          <w:tcPr>
            <w:tcW w:w="3749"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本报告期期末基金份额总额</w:t>
            </w:r>
          </w:p>
        </w:tc>
        <w:tc>
          <w:tcPr>
            <w:tcW w:w="2688"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164,569,385.40</w:t>
            </w:r>
          </w:p>
        </w:tc>
        <w:tc>
          <w:tcPr>
            <w:tcW w:w="2431"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115,457,586.44</w:t>
            </w:r>
          </w:p>
        </w:tc>
      </w:tr>
    </w:tbl>
    <w:p w:rsidR="00EB6B71" w:rsidRDefault="00AB266E">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C46ABF">
      <w:pPr>
        <w:pStyle w:val="1"/>
        <w:tabs>
          <w:tab w:val="center" w:pos="4156"/>
          <w:tab w:val="right" w:pos="8312"/>
        </w:tabs>
        <w:spacing w:beforeLines="100" w:afterLines="100"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AE55CC" w:rsidRDefault="00AE55CC" w:rsidP="00AE55CC">
      <w:pPr>
        <w:autoSpaceDE w:val="0"/>
        <w:autoSpaceDN w:val="0"/>
        <w:adjustRightInd w:val="0"/>
        <w:spacing w:before="29" w:line="360" w:lineRule="auto"/>
        <w:ind w:left="15"/>
        <w:jc w:val="right"/>
        <w:rPr>
          <w:color w:val="000000"/>
          <w:kern w:val="0"/>
          <w:sz w:val="24"/>
        </w:rPr>
      </w:pPr>
      <w:r w:rsidRPr="00AE55CC">
        <w:rPr>
          <w:color w:val="000000"/>
          <w:kern w:val="0"/>
          <w:sz w:val="24"/>
        </w:rPr>
        <w:t>单位：份</w:t>
      </w:r>
    </w:p>
    <w:tbl>
      <w:tblPr>
        <w:tblW w:w="8868" w:type="dxa"/>
        <w:jc w:val="center"/>
        <w:tblLayout w:type="fixed"/>
        <w:tblLook w:val="0000"/>
      </w:tblPr>
      <w:tblGrid>
        <w:gridCol w:w="5450"/>
        <w:gridCol w:w="3418"/>
      </w:tblGrid>
      <w:tr w:rsidR="00C71DA2" w:rsidRPr="000673DA" w:rsidTr="007B3FB3">
        <w:trPr>
          <w:jc w:val="center"/>
        </w:trPr>
        <w:tc>
          <w:tcPr>
            <w:tcW w:w="5450"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pStyle w:val="ac"/>
              <w:adjustRightInd w:val="0"/>
              <w:snapToGrid w:val="0"/>
              <w:spacing w:line="360" w:lineRule="exact"/>
              <w:rPr>
                <w:color w:val="000000"/>
                <w:szCs w:val="24"/>
              </w:rPr>
            </w:pPr>
            <w:r w:rsidRPr="000673DA">
              <w:rPr>
                <w:rFonts w:hAnsi="宋体"/>
                <w:color w:val="000000"/>
                <w:szCs w:val="24"/>
              </w:rPr>
              <w:t>报告期期初管理人持有的本基金份额</w:t>
            </w:r>
          </w:p>
        </w:tc>
        <w:tc>
          <w:tcPr>
            <w:tcW w:w="3418"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jc w:val="right"/>
              <w:rPr>
                <w:sz w:val="24"/>
              </w:rPr>
            </w:pPr>
            <w:r w:rsidRPr="000673DA">
              <w:rPr>
                <w:color w:val="000000"/>
                <w:sz w:val="24"/>
              </w:rPr>
              <w:t>10,072,734.64</w:t>
            </w:r>
          </w:p>
        </w:tc>
      </w:tr>
      <w:tr w:rsidR="00C71DA2" w:rsidRPr="000673DA" w:rsidTr="007B3FB3">
        <w:trPr>
          <w:jc w:val="center"/>
        </w:trPr>
        <w:tc>
          <w:tcPr>
            <w:tcW w:w="5450"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adjustRightInd w:val="0"/>
              <w:snapToGrid w:val="0"/>
              <w:spacing w:line="360" w:lineRule="exact"/>
              <w:rPr>
                <w:color w:val="000000"/>
                <w:sz w:val="24"/>
              </w:rPr>
            </w:pPr>
            <w:r w:rsidRPr="000673DA">
              <w:rPr>
                <w:color w:val="000000"/>
                <w:kern w:val="0"/>
                <w:sz w:val="24"/>
              </w:rPr>
              <w:t>本报告期</w:t>
            </w:r>
            <w:r w:rsidRPr="000673DA">
              <w:rPr>
                <w:rFonts w:hAnsi="宋体"/>
                <w:color w:val="000000"/>
                <w:sz w:val="24"/>
              </w:rPr>
              <w:t>买入</w:t>
            </w:r>
            <w:r w:rsidRPr="000673DA">
              <w:rPr>
                <w:color w:val="000000"/>
                <w:sz w:val="24"/>
              </w:rPr>
              <w:t>/</w:t>
            </w:r>
            <w:r w:rsidRPr="000673DA">
              <w:rPr>
                <w:rFonts w:hAnsi="宋体"/>
                <w:color w:val="000000"/>
                <w:sz w:val="24"/>
              </w:rPr>
              <w:t>申购总份额</w:t>
            </w:r>
          </w:p>
        </w:tc>
        <w:tc>
          <w:tcPr>
            <w:tcW w:w="3418"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jc w:val="right"/>
              <w:rPr>
                <w:color w:val="000000"/>
                <w:kern w:val="0"/>
                <w:sz w:val="24"/>
              </w:rPr>
            </w:pPr>
            <w:r w:rsidRPr="000673DA">
              <w:rPr>
                <w:color w:val="000000"/>
                <w:sz w:val="24"/>
              </w:rPr>
              <w:t>-</w:t>
            </w:r>
          </w:p>
        </w:tc>
      </w:tr>
      <w:tr w:rsidR="00C71DA2" w:rsidRPr="000673DA" w:rsidTr="007B3FB3">
        <w:trPr>
          <w:jc w:val="center"/>
        </w:trPr>
        <w:tc>
          <w:tcPr>
            <w:tcW w:w="5450"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adjustRightInd w:val="0"/>
              <w:snapToGrid w:val="0"/>
              <w:spacing w:line="360" w:lineRule="exact"/>
              <w:rPr>
                <w:color w:val="000000"/>
                <w:sz w:val="24"/>
              </w:rPr>
            </w:pPr>
            <w:r w:rsidRPr="000673DA">
              <w:rPr>
                <w:color w:val="000000"/>
                <w:kern w:val="0"/>
                <w:sz w:val="24"/>
              </w:rPr>
              <w:t>本报告期</w:t>
            </w:r>
            <w:r w:rsidRPr="000673DA">
              <w:rPr>
                <w:rFonts w:hAnsi="宋体"/>
                <w:color w:val="000000"/>
                <w:sz w:val="24"/>
              </w:rPr>
              <w:t>卖出</w:t>
            </w:r>
            <w:r w:rsidRPr="000673DA">
              <w:rPr>
                <w:color w:val="000000"/>
                <w:sz w:val="24"/>
              </w:rPr>
              <w:t>/</w:t>
            </w:r>
            <w:r w:rsidRPr="000673DA">
              <w:rPr>
                <w:rFonts w:hAnsi="宋体"/>
                <w:color w:val="000000"/>
                <w:sz w:val="24"/>
              </w:rPr>
              <w:t>赎回总份额</w:t>
            </w:r>
          </w:p>
        </w:tc>
        <w:tc>
          <w:tcPr>
            <w:tcW w:w="3418"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jc w:val="right"/>
              <w:rPr>
                <w:color w:val="000000"/>
                <w:kern w:val="0"/>
                <w:sz w:val="24"/>
              </w:rPr>
            </w:pPr>
            <w:r w:rsidRPr="000673DA">
              <w:rPr>
                <w:color w:val="000000"/>
                <w:sz w:val="24"/>
              </w:rPr>
              <w:t>-</w:t>
            </w:r>
          </w:p>
        </w:tc>
      </w:tr>
      <w:tr w:rsidR="00C71DA2" w:rsidRPr="000673DA" w:rsidTr="007B3FB3">
        <w:trPr>
          <w:jc w:val="center"/>
        </w:trPr>
        <w:tc>
          <w:tcPr>
            <w:tcW w:w="5450"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adjustRightInd w:val="0"/>
              <w:snapToGrid w:val="0"/>
              <w:spacing w:line="360" w:lineRule="exact"/>
              <w:rPr>
                <w:color w:val="000000"/>
                <w:sz w:val="24"/>
              </w:rPr>
            </w:pPr>
            <w:r w:rsidRPr="000673DA">
              <w:rPr>
                <w:rFonts w:hAnsi="宋体"/>
                <w:color w:val="000000"/>
                <w:sz w:val="24"/>
              </w:rPr>
              <w:t>报告期期末管理人持有的本基金份额</w:t>
            </w:r>
          </w:p>
        </w:tc>
        <w:tc>
          <w:tcPr>
            <w:tcW w:w="3418"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jc w:val="right"/>
              <w:rPr>
                <w:sz w:val="24"/>
              </w:rPr>
            </w:pPr>
            <w:r w:rsidRPr="000673DA">
              <w:rPr>
                <w:color w:val="000000"/>
                <w:sz w:val="24"/>
              </w:rPr>
              <w:t>10,072,734.64</w:t>
            </w:r>
          </w:p>
        </w:tc>
      </w:tr>
      <w:tr w:rsidR="00C71DA2" w:rsidRPr="000673DA" w:rsidTr="007B3FB3">
        <w:trPr>
          <w:jc w:val="center"/>
        </w:trPr>
        <w:tc>
          <w:tcPr>
            <w:tcW w:w="5450"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adjustRightInd w:val="0"/>
              <w:snapToGrid w:val="0"/>
              <w:spacing w:line="360" w:lineRule="exact"/>
              <w:rPr>
                <w:color w:val="000000"/>
                <w:sz w:val="24"/>
              </w:rPr>
            </w:pPr>
            <w:r w:rsidRPr="000673DA">
              <w:rPr>
                <w:rFonts w:hAnsi="宋体"/>
                <w:color w:val="000000"/>
                <w:sz w:val="24"/>
              </w:rPr>
              <w:t>报告期期末持有的本基金份额占基金总份额比例（</w:t>
            </w:r>
            <w:r w:rsidRPr="000673DA">
              <w:rPr>
                <w:color w:val="000000"/>
                <w:sz w:val="24"/>
              </w:rPr>
              <w:t>%</w:t>
            </w:r>
            <w:r w:rsidRPr="000673DA">
              <w:rPr>
                <w:rFonts w:hAnsi="宋体"/>
                <w:color w:val="000000"/>
                <w:sz w:val="24"/>
              </w:rPr>
              <w:t>）</w:t>
            </w:r>
          </w:p>
        </w:tc>
        <w:tc>
          <w:tcPr>
            <w:tcW w:w="3418" w:type="dxa"/>
            <w:tcBorders>
              <w:top w:val="single" w:sz="8" w:space="0" w:color="000000"/>
              <w:left w:val="single" w:sz="8" w:space="0" w:color="000000"/>
              <w:bottom w:val="single" w:sz="8" w:space="0" w:color="000000"/>
              <w:right w:val="single" w:sz="8" w:space="0" w:color="000000"/>
            </w:tcBorders>
            <w:vAlign w:val="center"/>
          </w:tcPr>
          <w:p w:rsidR="00C71DA2" w:rsidRPr="000673DA" w:rsidRDefault="00C71DA2" w:rsidP="007B3FB3">
            <w:pPr>
              <w:jc w:val="right"/>
              <w:rPr>
                <w:color w:val="000000"/>
                <w:kern w:val="0"/>
                <w:sz w:val="24"/>
              </w:rPr>
            </w:pPr>
            <w:r w:rsidRPr="00AE55CC">
              <w:rPr>
                <w:color w:val="000000"/>
                <w:sz w:val="24"/>
              </w:rPr>
              <w:t>3.60</w:t>
            </w:r>
          </w:p>
        </w:tc>
      </w:tr>
    </w:tbl>
    <w:p w:rsidR="00EB6B71" w:rsidRDefault="00AB266E">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 xml:space="preserve">    2</w:t>
      </w:r>
      <w:r w:rsidRPr="00AE55CC">
        <w:rPr>
          <w:color w:val="000000"/>
          <w:sz w:val="24"/>
        </w:rPr>
        <w:t>、如果本报告期间发生转换出业务，则总赎回份额中包含该业务。</w:t>
      </w:r>
    </w:p>
    <w:p w:rsidR="008A3BCC" w:rsidRDefault="008A3BCC" w:rsidP="007C14DF">
      <w:pPr>
        <w:autoSpaceDE w:val="0"/>
        <w:autoSpaceDN w:val="0"/>
        <w:adjustRightInd w:val="0"/>
        <w:spacing w:before="29" w:line="288" w:lineRule="auto"/>
        <w:jc w:val="left"/>
        <w:rPr>
          <w:color w:val="000000"/>
          <w:sz w:val="24"/>
        </w:rPr>
      </w:pPr>
    </w:p>
    <w:p w:rsidR="00285618" w:rsidRDefault="000673DA" w:rsidP="007C14DF">
      <w:pPr>
        <w:autoSpaceDE w:val="0"/>
        <w:autoSpaceDN w:val="0"/>
        <w:adjustRightInd w:val="0"/>
        <w:spacing w:before="29" w:line="288" w:lineRule="auto"/>
        <w:jc w:val="left"/>
        <w:rPr>
          <w:b/>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B47574" w:rsidRPr="007F52FA" w:rsidRDefault="00B47574" w:rsidP="00C46ABF">
      <w:pPr>
        <w:pStyle w:val="1"/>
        <w:spacing w:beforeLines="100" w:afterLines="100" w:line="288" w:lineRule="auto"/>
        <w:jc w:val="center"/>
        <w:rPr>
          <w:rFonts w:eastAsiaTheme="minorEastAsia"/>
          <w:b w:val="0"/>
          <w:color w:val="000000"/>
          <w:sz w:val="24"/>
          <w:szCs w:val="24"/>
        </w:rPr>
      </w:pPr>
      <w:r w:rsidRPr="007F52FA">
        <w:rPr>
          <w:rFonts w:eastAsiaTheme="minorEastAsia"/>
          <w:color w:val="000000"/>
          <w:kern w:val="0"/>
          <w:sz w:val="24"/>
          <w:szCs w:val="24"/>
        </w:rPr>
        <w:t xml:space="preserve">§8  </w:t>
      </w:r>
      <w:r w:rsidR="00EA7533" w:rsidRPr="007F52FA">
        <w:rPr>
          <w:rFonts w:eastAsiaTheme="minorEastAsia"/>
          <w:color w:val="000000"/>
          <w:kern w:val="0"/>
          <w:sz w:val="24"/>
          <w:szCs w:val="24"/>
        </w:rPr>
        <w:t>报告期末</w:t>
      </w:r>
      <w:r w:rsidRPr="007F52FA">
        <w:rPr>
          <w:rFonts w:eastAsiaTheme="minor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1619"/>
        <w:gridCol w:w="1687"/>
        <w:gridCol w:w="1619"/>
        <w:gridCol w:w="1687"/>
        <w:gridCol w:w="1270"/>
      </w:tblGrid>
      <w:tr w:rsidR="00B47574" w:rsidRPr="007F52FA" w:rsidTr="00C71DA2">
        <w:trPr>
          <w:trHeight w:val="5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widowControl/>
              <w:spacing w:before="29" w:line="288" w:lineRule="auto"/>
              <w:jc w:val="left"/>
              <w:rPr>
                <w:rFonts w:eastAsiaTheme="minorEastAsia"/>
                <w:color w:val="000000"/>
                <w:sz w:val="24"/>
              </w:rPr>
            </w:pPr>
            <w:r w:rsidRPr="007F52FA">
              <w:rPr>
                <w:rFonts w:eastAsiaTheme="minorEastAsia"/>
                <w:color w:val="000000"/>
                <w:sz w:val="24"/>
              </w:rPr>
              <w:t>项目</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持有份额总数</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持有份额占基金总份额比例</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发起份额总数</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发起份额占基金总份额比例</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widowControl/>
              <w:spacing w:before="29" w:line="288" w:lineRule="auto"/>
              <w:jc w:val="left"/>
              <w:rPr>
                <w:rFonts w:eastAsiaTheme="minorEastAsia"/>
                <w:color w:val="000000"/>
                <w:sz w:val="24"/>
              </w:rPr>
            </w:pPr>
            <w:r w:rsidRPr="007F52FA">
              <w:rPr>
                <w:rFonts w:eastAsiaTheme="minorEastAsia"/>
                <w:color w:val="000000"/>
                <w:sz w:val="24"/>
              </w:rPr>
              <w:t>发起份额承诺持有期限</w:t>
            </w:r>
          </w:p>
        </w:tc>
      </w:tr>
      <w:tr w:rsidR="00B47574" w:rsidRPr="007F52FA" w:rsidTr="00C71DA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基金管理人固有资金</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10,072,734.64</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3.60%</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10,003,472.22</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3.57%</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不低于三年</w:t>
            </w:r>
          </w:p>
        </w:tc>
      </w:tr>
      <w:tr w:rsidR="00B47574" w:rsidRPr="007F52FA" w:rsidTr="00C71DA2">
        <w:trPr>
          <w:trHeight w:val="7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rPr>
                <w:rFonts w:eastAsiaTheme="minorEastAsia"/>
                <w:color w:val="000000"/>
                <w:sz w:val="24"/>
              </w:rPr>
            </w:pPr>
            <w:r w:rsidRPr="007F52FA">
              <w:rPr>
                <w:rFonts w:eastAsiaTheme="minorEastAsia"/>
                <w:color w:val="000000"/>
                <w:sz w:val="24"/>
              </w:rPr>
              <w:t>基金管理人高级管理人员</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C71DA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基金经理等人员</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C71DA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基金管理人股东</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C71DA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其他</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r w:rsidR="00B47574" w:rsidRPr="007F52FA" w:rsidTr="00C71DA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left"/>
              <w:rPr>
                <w:rFonts w:eastAsiaTheme="minorEastAsia"/>
                <w:color w:val="000000"/>
                <w:sz w:val="24"/>
              </w:rPr>
            </w:pPr>
            <w:r w:rsidRPr="007F52FA">
              <w:rPr>
                <w:rFonts w:eastAsiaTheme="minorEastAsia"/>
                <w:color w:val="000000"/>
                <w:sz w:val="24"/>
              </w:rPr>
              <w:t>合计</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10,072,734.64</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3.60%</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10,003,472.22</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3.57%</w:t>
            </w:r>
          </w:p>
        </w:tc>
        <w:tc>
          <w:tcPr>
            <w:tcW w:w="0" w:type="auto"/>
            <w:tcBorders>
              <w:top w:val="single" w:sz="4" w:space="0" w:color="auto"/>
              <w:left w:val="single" w:sz="4" w:space="0" w:color="auto"/>
              <w:bottom w:val="single" w:sz="4" w:space="0" w:color="auto"/>
              <w:right w:val="single" w:sz="4" w:space="0" w:color="auto"/>
            </w:tcBorders>
            <w:vAlign w:val="center"/>
            <w:hideMark/>
          </w:tcPr>
          <w:p w:rsidR="00B47574" w:rsidRPr="007F52FA" w:rsidRDefault="00B47574" w:rsidP="007C14DF">
            <w:pPr>
              <w:adjustRightInd w:val="0"/>
              <w:snapToGrid w:val="0"/>
              <w:spacing w:before="29" w:line="288" w:lineRule="auto"/>
              <w:jc w:val="right"/>
              <w:rPr>
                <w:rFonts w:eastAsiaTheme="minorEastAsia"/>
                <w:kern w:val="0"/>
                <w:sz w:val="24"/>
              </w:rPr>
            </w:pPr>
            <w:r w:rsidRPr="007F52FA">
              <w:rPr>
                <w:rFonts w:eastAsiaTheme="minorEastAsia"/>
                <w:kern w:val="0"/>
                <w:sz w:val="24"/>
              </w:rPr>
              <w:t>-</w:t>
            </w:r>
          </w:p>
        </w:tc>
      </w:tr>
    </w:tbl>
    <w:p w:rsidR="00B47574" w:rsidRPr="007F52FA" w:rsidRDefault="00B4757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注：本报告期末持有份额总数为发起份额总数和截至本报告期末红利再投份额数的合计。</w:t>
      </w:r>
    </w:p>
    <w:p w:rsidR="00574FC7" w:rsidRPr="007F52FA" w:rsidRDefault="00574FC7"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C46ABF">
      <w:pPr>
        <w:pStyle w:val="1"/>
        <w:spacing w:beforeLines="100" w:afterLines="100"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、中国证监会批准交银施罗德纯债债券型发起式证券投资基金募集的文件；</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、《交银施罗德纯债债券型发起式证券投资基金基金合同》；</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、《交银施罗德纯债债券型发起式证券投资基金招募说明书》；</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、《交银施罗德纯债债券型发起式证券投资基金托管协议》；</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、关于募集交银施罗德纯债债券型发起式证券投资基金之法律意见书；</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、报告期内交银施罗德纯债债券型发起式证券投资基金在指定报刊上各项公告的原稿。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EB6B71" w:rsidRDefault="00AB266E">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435" w:rsidRDefault="00563435">
      <w:r>
        <w:separator/>
      </w:r>
    </w:p>
  </w:endnote>
  <w:endnote w:type="continuationSeparator" w:id="1">
    <w:p w:rsidR="00563435" w:rsidRDefault="00563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22" w:rsidRPr="001D0DB0" w:rsidRDefault="007C1122" w:rsidP="00F7094A">
    <w:pPr>
      <w:pStyle w:val="a6"/>
      <w:jc w:val="center"/>
    </w:pPr>
    <w:r>
      <w:rPr>
        <w:rFonts w:hint="eastAsia"/>
        <w:kern w:val="0"/>
        <w:szCs w:val="21"/>
      </w:rPr>
      <w:t>第</w:t>
    </w:r>
    <w:r w:rsidR="00525471">
      <w:rPr>
        <w:kern w:val="0"/>
        <w:szCs w:val="21"/>
      </w:rPr>
      <w:fldChar w:fldCharType="begin"/>
    </w:r>
    <w:r>
      <w:rPr>
        <w:kern w:val="0"/>
        <w:szCs w:val="21"/>
      </w:rPr>
      <w:instrText xml:space="preserve"> PAGE </w:instrText>
    </w:r>
    <w:r w:rsidR="00525471">
      <w:rPr>
        <w:kern w:val="0"/>
        <w:szCs w:val="21"/>
      </w:rPr>
      <w:fldChar w:fldCharType="separate"/>
    </w:r>
    <w:r w:rsidR="00C46ABF">
      <w:rPr>
        <w:noProof/>
        <w:kern w:val="0"/>
        <w:szCs w:val="21"/>
      </w:rPr>
      <w:t>1</w:t>
    </w:r>
    <w:r w:rsidR="00525471">
      <w:rPr>
        <w:kern w:val="0"/>
        <w:szCs w:val="21"/>
      </w:rPr>
      <w:fldChar w:fldCharType="end"/>
    </w:r>
    <w:r>
      <w:rPr>
        <w:rFonts w:hint="eastAsia"/>
        <w:kern w:val="0"/>
        <w:szCs w:val="21"/>
      </w:rPr>
      <w:t>页共</w:t>
    </w:r>
    <w:r w:rsidR="00525471">
      <w:rPr>
        <w:kern w:val="0"/>
        <w:szCs w:val="21"/>
      </w:rPr>
      <w:fldChar w:fldCharType="begin"/>
    </w:r>
    <w:r>
      <w:rPr>
        <w:kern w:val="0"/>
        <w:szCs w:val="21"/>
      </w:rPr>
      <w:instrText xml:space="preserve"> NUMPAGES </w:instrText>
    </w:r>
    <w:r w:rsidR="00525471">
      <w:rPr>
        <w:kern w:val="0"/>
        <w:szCs w:val="21"/>
      </w:rPr>
      <w:fldChar w:fldCharType="separate"/>
    </w:r>
    <w:r w:rsidR="00C46ABF">
      <w:rPr>
        <w:noProof/>
        <w:kern w:val="0"/>
        <w:szCs w:val="21"/>
      </w:rPr>
      <w:t>1</w:t>
    </w:r>
    <w:r w:rsidR="00525471">
      <w:rPr>
        <w:kern w:val="0"/>
        <w:szCs w:val="21"/>
      </w:rPr>
      <w:fldChar w:fldCharType="end"/>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22" w:rsidRDefault="00525471">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435" w:rsidRDefault="00563435">
      <w:r>
        <w:separator/>
      </w:r>
    </w:p>
  </w:footnote>
  <w:footnote w:type="continuationSeparator" w:id="1">
    <w:p w:rsidR="00563435" w:rsidRDefault="005634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22" w:rsidRPr="002567DB" w:rsidRDefault="00525471"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stylePaneFormatFilter w:val="3F01"/>
  <w:trackRevisions/>
  <w:defaultTabStop w:val="420"/>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4155"/>
    <w:rsid w:val="00195AFC"/>
    <w:rsid w:val="001A0417"/>
    <w:rsid w:val="001A0B71"/>
    <w:rsid w:val="001A1389"/>
    <w:rsid w:val="001A3016"/>
    <w:rsid w:val="001A3914"/>
    <w:rsid w:val="001A5FA6"/>
    <w:rsid w:val="001B053A"/>
    <w:rsid w:val="001B0691"/>
    <w:rsid w:val="001B0C78"/>
    <w:rsid w:val="001B1A13"/>
    <w:rsid w:val="001B22BA"/>
    <w:rsid w:val="001B4CD1"/>
    <w:rsid w:val="001B5C86"/>
    <w:rsid w:val="001C06C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1740"/>
    <w:rsid w:val="002424E4"/>
    <w:rsid w:val="00243122"/>
    <w:rsid w:val="002437F5"/>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3106"/>
    <w:rsid w:val="002642F2"/>
    <w:rsid w:val="00264AE1"/>
    <w:rsid w:val="00266645"/>
    <w:rsid w:val="00266E94"/>
    <w:rsid w:val="00267386"/>
    <w:rsid w:val="00267C2E"/>
    <w:rsid w:val="00267DA9"/>
    <w:rsid w:val="0027117B"/>
    <w:rsid w:val="0027191A"/>
    <w:rsid w:val="00273E5C"/>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1704"/>
    <w:rsid w:val="003570C8"/>
    <w:rsid w:val="003662CD"/>
    <w:rsid w:val="00367770"/>
    <w:rsid w:val="00370FE2"/>
    <w:rsid w:val="00371424"/>
    <w:rsid w:val="00371FF4"/>
    <w:rsid w:val="00372209"/>
    <w:rsid w:val="00374A87"/>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20A"/>
    <w:rsid w:val="00413B96"/>
    <w:rsid w:val="00413C2C"/>
    <w:rsid w:val="00415168"/>
    <w:rsid w:val="00415B04"/>
    <w:rsid w:val="00416A6B"/>
    <w:rsid w:val="004170FA"/>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FE9"/>
    <w:rsid w:val="004C0541"/>
    <w:rsid w:val="004C241F"/>
    <w:rsid w:val="004C3FE6"/>
    <w:rsid w:val="004C634A"/>
    <w:rsid w:val="004C660B"/>
    <w:rsid w:val="004D050C"/>
    <w:rsid w:val="004D23D9"/>
    <w:rsid w:val="004D3537"/>
    <w:rsid w:val="004D36DF"/>
    <w:rsid w:val="004D4D4E"/>
    <w:rsid w:val="004D614E"/>
    <w:rsid w:val="004D650F"/>
    <w:rsid w:val="004D7E11"/>
    <w:rsid w:val="004E2133"/>
    <w:rsid w:val="004E4E04"/>
    <w:rsid w:val="004F2EB4"/>
    <w:rsid w:val="004F521C"/>
    <w:rsid w:val="004F5DD3"/>
    <w:rsid w:val="00502CD8"/>
    <w:rsid w:val="0050361C"/>
    <w:rsid w:val="00506A40"/>
    <w:rsid w:val="0051064F"/>
    <w:rsid w:val="00513A0E"/>
    <w:rsid w:val="00515D7B"/>
    <w:rsid w:val="00515F29"/>
    <w:rsid w:val="0052009E"/>
    <w:rsid w:val="005207B3"/>
    <w:rsid w:val="005218EE"/>
    <w:rsid w:val="00525471"/>
    <w:rsid w:val="00530161"/>
    <w:rsid w:val="005405A3"/>
    <w:rsid w:val="005450F7"/>
    <w:rsid w:val="00545A0B"/>
    <w:rsid w:val="0054672F"/>
    <w:rsid w:val="00546E0C"/>
    <w:rsid w:val="00547FA4"/>
    <w:rsid w:val="005536D4"/>
    <w:rsid w:val="00553EC8"/>
    <w:rsid w:val="005547A9"/>
    <w:rsid w:val="005564EE"/>
    <w:rsid w:val="00556718"/>
    <w:rsid w:val="00557D4A"/>
    <w:rsid w:val="0056176B"/>
    <w:rsid w:val="00561889"/>
    <w:rsid w:val="005621F6"/>
    <w:rsid w:val="00562709"/>
    <w:rsid w:val="0056291C"/>
    <w:rsid w:val="00563435"/>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5427"/>
    <w:rsid w:val="006160BD"/>
    <w:rsid w:val="00620EDB"/>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A31"/>
    <w:rsid w:val="006911CE"/>
    <w:rsid w:val="00691393"/>
    <w:rsid w:val="00691F3B"/>
    <w:rsid w:val="0069371D"/>
    <w:rsid w:val="00695251"/>
    <w:rsid w:val="00695B58"/>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63A5"/>
    <w:rsid w:val="0078105B"/>
    <w:rsid w:val="00782B50"/>
    <w:rsid w:val="00784FE0"/>
    <w:rsid w:val="007852D1"/>
    <w:rsid w:val="007858B1"/>
    <w:rsid w:val="0078648E"/>
    <w:rsid w:val="00791A3A"/>
    <w:rsid w:val="00791D9C"/>
    <w:rsid w:val="007936F3"/>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5359"/>
    <w:rsid w:val="007C6701"/>
    <w:rsid w:val="007D16ED"/>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1642"/>
    <w:rsid w:val="0099260C"/>
    <w:rsid w:val="00993DA2"/>
    <w:rsid w:val="009942F4"/>
    <w:rsid w:val="00995B3C"/>
    <w:rsid w:val="00996BCA"/>
    <w:rsid w:val="009A045B"/>
    <w:rsid w:val="009A0513"/>
    <w:rsid w:val="009A2283"/>
    <w:rsid w:val="009A31AF"/>
    <w:rsid w:val="009A3507"/>
    <w:rsid w:val="009A3DC6"/>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A95"/>
    <w:rsid w:val="009E0D47"/>
    <w:rsid w:val="009E549D"/>
    <w:rsid w:val="009E54AF"/>
    <w:rsid w:val="009E5C59"/>
    <w:rsid w:val="009E64CD"/>
    <w:rsid w:val="009E6BB8"/>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454D"/>
    <w:rsid w:val="00A26437"/>
    <w:rsid w:val="00A32410"/>
    <w:rsid w:val="00A32B48"/>
    <w:rsid w:val="00A36D00"/>
    <w:rsid w:val="00A43389"/>
    <w:rsid w:val="00A4642E"/>
    <w:rsid w:val="00A47AF8"/>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266E"/>
    <w:rsid w:val="00AB69EF"/>
    <w:rsid w:val="00AC06D3"/>
    <w:rsid w:val="00AC11DC"/>
    <w:rsid w:val="00AC3E87"/>
    <w:rsid w:val="00AC469F"/>
    <w:rsid w:val="00AC4761"/>
    <w:rsid w:val="00AD0611"/>
    <w:rsid w:val="00AD0E4F"/>
    <w:rsid w:val="00AD26D7"/>
    <w:rsid w:val="00AD3905"/>
    <w:rsid w:val="00AD4555"/>
    <w:rsid w:val="00AD4A31"/>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317F2"/>
    <w:rsid w:val="00B32530"/>
    <w:rsid w:val="00B32AE1"/>
    <w:rsid w:val="00B343C2"/>
    <w:rsid w:val="00B37780"/>
    <w:rsid w:val="00B37813"/>
    <w:rsid w:val="00B37EEF"/>
    <w:rsid w:val="00B40553"/>
    <w:rsid w:val="00B4167B"/>
    <w:rsid w:val="00B41C1D"/>
    <w:rsid w:val="00B43917"/>
    <w:rsid w:val="00B44260"/>
    <w:rsid w:val="00B4515C"/>
    <w:rsid w:val="00B46220"/>
    <w:rsid w:val="00B464EA"/>
    <w:rsid w:val="00B47574"/>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1A02"/>
    <w:rsid w:val="00BD43BB"/>
    <w:rsid w:val="00BD7ADE"/>
    <w:rsid w:val="00BD7B4A"/>
    <w:rsid w:val="00BE1A85"/>
    <w:rsid w:val="00BE46ED"/>
    <w:rsid w:val="00BE4FD1"/>
    <w:rsid w:val="00BE642D"/>
    <w:rsid w:val="00BE6D7A"/>
    <w:rsid w:val="00BF2080"/>
    <w:rsid w:val="00BF2511"/>
    <w:rsid w:val="00BF377F"/>
    <w:rsid w:val="00BF3F88"/>
    <w:rsid w:val="00BF57BE"/>
    <w:rsid w:val="00C0042B"/>
    <w:rsid w:val="00C02E58"/>
    <w:rsid w:val="00C030B6"/>
    <w:rsid w:val="00C04B38"/>
    <w:rsid w:val="00C067B7"/>
    <w:rsid w:val="00C10A09"/>
    <w:rsid w:val="00C121BC"/>
    <w:rsid w:val="00C13116"/>
    <w:rsid w:val="00C14D92"/>
    <w:rsid w:val="00C158BC"/>
    <w:rsid w:val="00C16739"/>
    <w:rsid w:val="00C17F3F"/>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46ABF"/>
    <w:rsid w:val="00C50D87"/>
    <w:rsid w:val="00C52D18"/>
    <w:rsid w:val="00C559CE"/>
    <w:rsid w:val="00C55E19"/>
    <w:rsid w:val="00C563BF"/>
    <w:rsid w:val="00C56EF8"/>
    <w:rsid w:val="00C57512"/>
    <w:rsid w:val="00C57607"/>
    <w:rsid w:val="00C61133"/>
    <w:rsid w:val="00C64009"/>
    <w:rsid w:val="00C7016D"/>
    <w:rsid w:val="00C71DA2"/>
    <w:rsid w:val="00C74ABE"/>
    <w:rsid w:val="00C767B3"/>
    <w:rsid w:val="00C76C07"/>
    <w:rsid w:val="00C80F23"/>
    <w:rsid w:val="00C850A3"/>
    <w:rsid w:val="00C87568"/>
    <w:rsid w:val="00C92451"/>
    <w:rsid w:val="00C9272C"/>
    <w:rsid w:val="00C97764"/>
    <w:rsid w:val="00C97C9B"/>
    <w:rsid w:val="00CA344C"/>
    <w:rsid w:val="00CA59F6"/>
    <w:rsid w:val="00CB046E"/>
    <w:rsid w:val="00CB142D"/>
    <w:rsid w:val="00CB29F6"/>
    <w:rsid w:val="00CB2BBF"/>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44C8"/>
    <w:rsid w:val="00DE64CC"/>
    <w:rsid w:val="00DE6AA9"/>
    <w:rsid w:val="00DE6E5C"/>
    <w:rsid w:val="00DE778B"/>
    <w:rsid w:val="00DE7B30"/>
    <w:rsid w:val="00DF0A34"/>
    <w:rsid w:val="00DF20C7"/>
    <w:rsid w:val="00DF4D0C"/>
    <w:rsid w:val="00DF53FA"/>
    <w:rsid w:val="00DF5C20"/>
    <w:rsid w:val="00DF7D81"/>
    <w:rsid w:val="00E02DEB"/>
    <w:rsid w:val="00E042A1"/>
    <w:rsid w:val="00E0476C"/>
    <w:rsid w:val="00E0576B"/>
    <w:rsid w:val="00E067EA"/>
    <w:rsid w:val="00E06D18"/>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0AA5"/>
    <w:rsid w:val="00EA1D33"/>
    <w:rsid w:val="00EA1F5A"/>
    <w:rsid w:val="00EA375F"/>
    <w:rsid w:val="00EA3AD1"/>
    <w:rsid w:val="00EA3C4A"/>
    <w:rsid w:val="00EA5143"/>
    <w:rsid w:val="00EA7104"/>
    <w:rsid w:val="00EA7533"/>
    <w:rsid w:val="00EB067F"/>
    <w:rsid w:val="00EB2419"/>
    <w:rsid w:val="00EB27DE"/>
    <w:rsid w:val="00EB58F5"/>
    <w:rsid w:val="00EB6B71"/>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ind w:firstLineChars="200" w:firstLine="420"/>
    </w:pPr>
  </w:style>
  <w:style w:type="paragraph" w:styleId="a4">
    <w:name w:val="Body Text Inden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Pr>
      <w:rFonts w:ascii="宋体" w:hAnsi="Courier New"/>
      <w:szCs w:val="21"/>
    </w:rPr>
  </w:style>
  <w:style w:type="paragraph" w:styleId="20">
    <w:name w:val="Body Text Indent 2"/>
    <w:basedOn w:val="a"/>
    <w:pPr>
      <w:spacing w:line="560" w:lineRule="exact"/>
      <w:ind w:firstLineChars="200" w:firstLine="480"/>
    </w:pPr>
    <w:rPr>
      <w:rFonts w:ascii="宋体" w:hAnsi="宋体"/>
      <w:color w:val="FF0000"/>
      <w:sz w:val="24"/>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1"/>
  </w:style>
  <w:style w:type="character" w:styleId="a8">
    <w:name w:val="Hyperlink"/>
    <w:basedOn w:val="a1"/>
    <w:rPr>
      <w:color w:val="0000FF"/>
      <w:u w:val="single"/>
    </w:rPr>
  </w:style>
  <w:style w:type="paragraph" w:styleId="3">
    <w:name w:val="Body Text Indent 3"/>
    <w:basedOn w:val="a"/>
    <w:pPr>
      <w:spacing w:line="560" w:lineRule="exact"/>
      <w:ind w:firstLineChars="200" w:firstLine="420"/>
    </w:pPr>
    <w:rPr>
      <w:rFonts w:ascii="Arial" w:hAnsi="Arial" w:cs="Arial"/>
      <w:color w:val="FF0000"/>
    </w:rPr>
  </w:style>
  <w:style w:type="paragraph" w:styleId="a9">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10">
    <w:name w:val="已访问的超链接"/>
    <w:basedOn w:val="a1"/>
    <w:rPr>
      <w:color w:val="800080"/>
      <w:u w:val="single"/>
    </w:rPr>
  </w:style>
  <w:style w:type="paragraph" w:styleId="aa">
    <w:name w:val="List"/>
    <w:basedOn w:val="ab"/>
    <w:pPr>
      <w:spacing w:after="220" w:line="220" w:lineRule="atLeast"/>
      <w:ind w:left="1440" w:hanging="360"/>
    </w:pPr>
    <w:rPr>
      <w:szCs w:val="20"/>
    </w:rPr>
  </w:style>
  <w:style w:type="paragraph" w:styleId="ab">
    <w:name w:val="Body Text"/>
    <w:basedOn w:val="a"/>
    <w:pPr>
      <w:spacing w:after="120"/>
    </w:pPr>
  </w:style>
  <w:style w:type="paragraph" w:styleId="ac">
    <w:name w:val="Date"/>
    <w:basedOn w:val="a"/>
    <w:next w:val="a"/>
    <w:link w:val="Char1"/>
    <w:rPr>
      <w:sz w:val="24"/>
      <w:szCs w:val="20"/>
    </w:rPr>
  </w:style>
  <w:style w:type="character" w:customStyle="1" w:styleId="c1">
    <w:name w:val="c1"/>
    <w:basedOn w:val="a1"/>
    <w:rPr>
      <w:color w:val="000000"/>
      <w:sz w:val="18"/>
      <w:szCs w:val="18"/>
    </w:rPr>
  </w:style>
  <w:style w:type="paragraph" w:styleId="11">
    <w:name w:val="index 1"/>
    <w:basedOn w:val="a"/>
    <w:next w:val="a"/>
    <w:autoRedefine/>
    <w:semiHidden/>
    <w:pPr>
      <w:jc w:val="right"/>
    </w:pPr>
    <w:rPr>
      <w:color w:val="008000"/>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Pr>
      <w:sz w:val="18"/>
      <w:szCs w:val="18"/>
    </w:rPr>
  </w:style>
  <w:style w:type="character" w:styleId="ae">
    <w:name w:val="annotation reference"/>
    <w:basedOn w:val="a1"/>
    <w:semiHidden/>
    <w:rPr>
      <w:sz w:val="21"/>
      <w:szCs w:val="21"/>
    </w:rPr>
  </w:style>
  <w:style w:type="paragraph" w:styleId="af">
    <w:name w:val="annotation text"/>
    <w:basedOn w:val="a"/>
    <w:semiHidden/>
    <w:pPr>
      <w:jc w:val="left"/>
    </w:pPr>
  </w:style>
  <w:style w:type="paragraph" w:styleId="af0">
    <w:name w:val="annotation subject"/>
    <w:basedOn w:val="af"/>
    <w:next w:val="af"/>
    <w:semiHidden/>
    <w:rPr>
      <w:b/>
      <w:bCs/>
    </w:rPr>
  </w:style>
  <w:style w:type="paragraph" w:customStyle="1" w:styleId="Char2">
    <w:name w:val="Char"/>
    <w:basedOn w:val="a"/>
  </w:style>
  <w:style w:type="paragraph" w:styleId="af1">
    <w:name w:val="Document Map"/>
    <w:basedOn w:val="a"/>
    <w:semiHidden/>
    <w:rsid w:val="000A549A"/>
    <w:pPr>
      <w:shd w:val="clear" w:color="auto" w:fill="000080"/>
    </w:pPr>
  </w:style>
  <w:style w:type="table" w:styleId="af2">
    <w:name w:val="Table Grid"/>
    <w:basedOn w:val="a2"/>
    <w:uiPriority w:val="99"/>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s>
</file>

<file path=word/webSettings.xml><?xml version="1.0" encoding="utf-8"?>
<w:webSettings xmlns:r="http://schemas.openxmlformats.org/officeDocument/2006/relationships" xmlns:w="http://schemas.openxmlformats.org/wordprocessingml/2006/main">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5F2F-6CE7-4F98-A53A-EEB04F08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1</TotalTime>
  <Pages>13</Pages>
  <Words>5451</Words>
  <Characters>1811</Characters>
  <Application>Microsoft Office Word</Application>
  <DocSecurity>0</DocSecurity>
  <Lines>15</Lines>
  <Paragraphs>14</Paragraphs>
  <ScaleCrop>false</ScaleCrop>
  <Company>TRT. Ltd. Co.</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2</cp:revision>
  <cp:lastPrinted>2007-07-19T00:46:00Z</cp:lastPrinted>
  <dcterms:created xsi:type="dcterms:W3CDTF">2014-07-15T08:55:00Z</dcterms:created>
  <dcterms:modified xsi:type="dcterms:W3CDTF">2014-07-15T08:55:00Z</dcterms:modified>
</cp:coreProperties>
</file>