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交银施罗德阿尔法核心股票型证券投</w:t>
      </w:r>
      <w:bookmarkStart w:id="0" w:name="_GoBack"/>
      <w:bookmarkEnd w:id="0"/>
      <w:r w:rsidRPr="0081286B">
        <w:rPr>
          <w:b/>
          <w:sz w:val="36"/>
          <w:szCs w:val="36"/>
        </w:rPr>
        <w:t>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DD2B9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64892" w:rsidRDefault="00DD2B9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64892" w:rsidRDefault="00DD2B9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64892" w:rsidRDefault="00DD2B9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64892" w:rsidRDefault="00DD2B9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64892" w:rsidRDefault="00DD2B9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DD2B9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33,332,065.78</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中信标普全债指数收益率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本基金为一只主动股票型基金，风险与预期收益高于混合基金、债券基金和货币市场基金。属于承担较高</w:t>
            </w:r>
            <w:r w:rsidRPr="00414345">
              <w:rPr>
                <w:color w:val="000000"/>
                <w:kern w:val="0"/>
                <w:sz w:val="24"/>
                <w:szCs w:val="24"/>
              </w:rPr>
              <w:lastRenderedPageBreak/>
              <w:t>风险、预期收益较高的证券投资基金品种。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DD2B9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D2B99" w:rsidRPr="00414345" w:rsidTr="00DD2B9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D2B99" w:rsidRPr="00414345" w:rsidTr="00DD2B9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-683,272.67</w:t>
            </w:r>
          </w:p>
        </w:tc>
      </w:tr>
      <w:tr w:rsidR="00DD2B99" w:rsidRPr="00414345" w:rsidTr="00DD2B9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10,279.52</w:t>
            </w:r>
          </w:p>
        </w:tc>
      </w:tr>
      <w:tr w:rsidR="00DD2B99" w:rsidRPr="00414345" w:rsidTr="00DD2B9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0.0003</w:t>
            </w:r>
          </w:p>
        </w:tc>
      </w:tr>
      <w:tr w:rsidR="00DD2B99" w:rsidRPr="00414345" w:rsidTr="00DD2B9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32,774,407.22</w:t>
            </w:r>
          </w:p>
        </w:tc>
      </w:tr>
      <w:tr w:rsidR="00DD2B99" w:rsidRPr="00414345" w:rsidTr="00DD2B9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0.983</w:t>
            </w:r>
          </w:p>
        </w:tc>
      </w:tr>
    </w:tbl>
    <w:p w:rsidR="00564892" w:rsidRDefault="00DD2B9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64892">
        <w:trPr>
          <w:jc w:val="center"/>
        </w:trPr>
        <w:tc>
          <w:tcPr>
            <w:tcW w:w="1701" w:type="dxa"/>
            <w:vAlign w:val="center"/>
          </w:tcPr>
          <w:p w:rsidR="00564892" w:rsidRDefault="00DD2B99">
            <w:pPr>
              <w:jc w:val="left"/>
            </w:pPr>
            <w:r>
              <w:rPr>
                <w:color w:val="000000"/>
                <w:sz w:val="24"/>
                <w:szCs w:val="24"/>
              </w:rPr>
              <w:t>过去三个月</w:t>
            </w:r>
          </w:p>
        </w:tc>
        <w:tc>
          <w:tcPr>
            <w:tcW w:w="1045" w:type="dxa"/>
            <w:vAlign w:val="center"/>
          </w:tcPr>
          <w:p w:rsidR="00564892" w:rsidRDefault="00DD2B99">
            <w:pPr>
              <w:jc w:val="center"/>
            </w:pPr>
            <w:r>
              <w:rPr>
                <w:color w:val="000000"/>
                <w:sz w:val="24"/>
                <w:szCs w:val="24"/>
              </w:rPr>
              <w:t>0.00%</w:t>
            </w:r>
          </w:p>
        </w:tc>
        <w:tc>
          <w:tcPr>
            <w:tcW w:w="1344" w:type="dxa"/>
            <w:vAlign w:val="center"/>
          </w:tcPr>
          <w:p w:rsidR="00564892" w:rsidRDefault="00DD2B99">
            <w:pPr>
              <w:jc w:val="center"/>
            </w:pPr>
            <w:r>
              <w:rPr>
                <w:color w:val="000000"/>
                <w:sz w:val="24"/>
                <w:szCs w:val="24"/>
              </w:rPr>
              <w:t>0.82%</w:t>
            </w:r>
          </w:p>
        </w:tc>
        <w:tc>
          <w:tcPr>
            <w:tcW w:w="1194" w:type="dxa"/>
            <w:vAlign w:val="center"/>
          </w:tcPr>
          <w:p w:rsidR="00564892" w:rsidRDefault="00DD2B99">
            <w:pPr>
              <w:jc w:val="center"/>
            </w:pPr>
            <w:r>
              <w:rPr>
                <w:color w:val="000000"/>
                <w:sz w:val="24"/>
                <w:szCs w:val="24"/>
              </w:rPr>
              <w:t>1.30%</w:t>
            </w:r>
          </w:p>
        </w:tc>
        <w:tc>
          <w:tcPr>
            <w:tcW w:w="1492" w:type="dxa"/>
            <w:vAlign w:val="center"/>
          </w:tcPr>
          <w:p w:rsidR="00564892" w:rsidRDefault="00DD2B99">
            <w:pPr>
              <w:jc w:val="center"/>
            </w:pPr>
            <w:r>
              <w:rPr>
                <w:color w:val="000000"/>
                <w:sz w:val="24"/>
                <w:szCs w:val="24"/>
              </w:rPr>
              <w:t>0.66%</w:t>
            </w:r>
          </w:p>
        </w:tc>
        <w:tc>
          <w:tcPr>
            <w:tcW w:w="1194" w:type="dxa"/>
            <w:vAlign w:val="center"/>
          </w:tcPr>
          <w:p w:rsidR="00564892" w:rsidRDefault="00DD2B99">
            <w:pPr>
              <w:jc w:val="center"/>
            </w:pPr>
            <w:r>
              <w:rPr>
                <w:color w:val="000000"/>
                <w:sz w:val="24"/>
                <w:szCs w:val="24"/>
              </w:rPr>
              <w:t>-1.30%</w:t>
            </w:r>
          </w:p>
        </w:tc>
        <w:tc>
          <w:tcPr>
            <w:tcW w:w="898" w:type="dxa"/>
            <w:vAlign w:val="center"/>
          </w:tcPr>
          <w:p w:rsidR="00564892" w:rsidRDefault="00DD2B99">
            <w:pPr>
              <w:jc w:val="center"/>
            </w:pPr>
            <w:r>
              <w:rPr>
                <w:color w:val="000000"/>
                <w:sz w:val="24"/>
                <w:szCs w:val="24"/>
              </w:rPr>
              <w:t>0.16%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交银施罗德阿尔法核心股票型证券投资基金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DD2B9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64892">
        <w:trPr>
          <w:jc w:val="center"/>
        </w:trPr>
        <w:tc>
          <w:tcPr>
            <w:tcW w:w="846" w:type="dxa"/>
            <w:vAlign w:val="center"/>
          </w:tcPr>
          <w:p w:rsidR="00564892" w:rsidRDefault="00DD2B99">
            <w:pPr>
              <w:jc w:val="center"/>
            </w:pPr>
            <w:r>
              <w:rPr>
                <w:color w:val="000000"/>
                <w:sz w:val="24"/>
                <w:szCs w:val="24"/>
              </w:rPr>
              <w:t>龙向东</w:t>
            </w:r>
          </w:p>
        </w:tc>
        <w:tc>
          <w:tcPr>
            <w:tcW w:w="845" w:type="dxa"/>
            <w:vAlign w:val="center"/>
          </w:tcPr>
          <w:p w:rsidR="00564892" w:rsidRDefault="00DD2B99">
            <w:pPr>
              <w:jc w:val="center"/>
            </w:pPr>
            <w:r>
              <w:rPr>
                <w:color w:val="000000"/>
                <w:sz w:val="24"/>
                <w:szCs w:val="24"/>
              </w:rPr>
              <w:t>本基金的基金经理，公司量化投资部总经理</w:t>
            </w:r>
          </w:p>
        </w:tc>
        <w:tc>
          <w:tcPr>
            <w:tcW w:w="1549" w:type="dxa"/>
            <w:vAlign w:val="center"/>
          </w:tcPr>
          <w:p w:rsidR="00564892" w:rsidRDefault="00DD2B99">
            <w:pPr>
              <w:jc w:val="center"/>
            </w:pPr>
            <w:r>
              <w:rPr>
                <w:color w:val="000000"/>
                <w:sz w:val="24"/>
                <w:szCs w:val="24"/>
              </w:rPr>
              <w:t>2012-08-03</w:t>
            </w:r>
          </w:p>
        </w:tc>
        <w:tc>
          <w:tcPr>
            <w:tcW w:w="1548" w:type="dxa"/>
            <w:vAlign w:val="center"/>
          </w:tcPr>
          <w:p w:rsidR="00564892" w:rsidRDefault="00DD2B99">
            <w:pPr>
              <w:jc w:val="center"/>
            </w:pPr>
            <w:r>
              <w:rPr>
                <w:color w:val="000000"/>
                <w:sz w:val="24"/>
                <w:szCs w:val="24"/>
              </w:rPr>
              <w:t>-</w:t>
            </w:r>
          </w:p>
        </w:tc>
        <w:tc>
          <w:tcPr>
            <w:tcW w:w="1407" w:type="dxa"/>
            <w:vAlign w:val="center"/>
          </w:tcPr>
          <w:p w:rsidR="00564892" w:rsidRDefault="00DD2B99">
            <w:pPr>
              <w:jc w:val="center"/>
            </w:pPr>
            <w:r>
              <w:rPr>
                <w:color w:val="000000"/>
                <w:sz w:val="24"/>
                <w:szCs w:val="24"/>
              </w:rPr>
              <w:t>5</w:t>
            </w:r>
            <w:r>
              <w:rPr>
                <w:color w:val="000000"/>
                <w:sz w:val="24"/>
                <w:szCs w:val="24"/>
              </w:rPr>
              <w:t>年</w:t>
            </w:r>
          </w:p>
        </w:tc>
        <w:tc>
          <w:tcPr>
            <w:tcW w:w="2673" w:type="dxa"/>
            <w:vAlign w:val="center"/>
          </w:tcPr>
          <w:p w:rsidR="00564892" w:rsidRDefault="00DD2B99">
            <w:r>
              <w:rPr>
                <w:color w:val="000000"/>
                <w:sz w:val="24"/>
                <w:szCs w:val="24"/>
              </w:rPr>
              <w:t>龙向东先生，中国人民大学经济学学士、经济学硕士，美国加州大学河滨分校经济学博士。历任英国剑桥大学商学院金融分析和政策中心研究员，美国雷曼兄弟公司（欧洲）量化分析师，日本野村国际</w:t>
            </w:r>
            <w:r>
              <w:rPr>
                <w:color w:val="000000"/>
                <w:sz w:val="24"/>
                <w:szCs w:val="24"/>
              </w:rPr>
              <w:t xml:space="preserve"> </w:t>
            </w:r>
            <w:r>
              <w:rPr>
                <w:color w:val="000000"/>
                <w:sz w:val="24"/>
                <w:szCs w:val="24"/>
              </w:rPr>
              <w:t>（欧洲）</w:t>
            </w:r>
            <w:r>
              <w:rPr>
                <w:color w:val="000000"/>
                <w:sz w:val="24"/>
                <w:szCs w:val="24"/>
              </w:rPr>
              <w:t xml:space="preserve"> </w:t>
            </w:r>
            <w:r>
              <w:rPr>
                <w:color w:val="000000"/>
                <w:sz w:val="24"/>
                <w:szCs w:val="24"/>
              </w:rPr>
              <w:t>量化分析师，北京健坤和创投资公司量化投资总监。</w:t>
            </w:r>
            <w:r>
              <w:rPr>
                <w:color w:val="000000"/>
                <w:sz w:val="24"/>
                <w:szCs w:val="24"/>
              </w:rPr>
              <w:t>2010</w:t>
            </w:r>
            <w:r>
              <w:rPr>
                <w:color w:val="000000"/>
                <w:sz w:val="24"/>
                <w:szCs w:val="24"/>
              </w:rPr>
              <w:t>年加入交银施罗德基金管理有限公司，历任量化投资部副总经理。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64892" w:rsidRDefault="00DD2B9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64892" w:rsidRDefault="00DD2B9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64892" w:rsidRDefault="00DD2B9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64892" w:rsidRDefault="00DD2B99">
      <w:pPr>
        <w:spacing w:before="29" w:line="288" w:lineRule="auto"/>
        <w:ind w:firstLineChars="200" w:firstLine="480"/>
        <w:rPr>
          <w:color w:val="000000"/>
          <w:sz w:val="24"/>
          <w:szCs w:val="24"/>
        </w:rPr>
      </w:pPr>
      <w:r>
        <w:rPr>
          <w:color w:val="000000"/>
          <w:sz w:val="24"/>
          <w:szCs w:val="24"/>
        </w:rPr>
        <w:t>4</w:t>
      </w:r>
      <w:r>
        <w:rPr>
          <w:color w:val="000000"/>
          <w:sz w:val="24"/>
          <w:szCs w:val="24"/>
        </w:rPr>
        <w:t>月至</w:t>
      </w:r>
      <w:r>
        <w:rPr>
          <w:color w:val="000000"/>
          <w:sz w:val="24"/>
          <w:szCs w:val="24"/>
        </w:rPr>
        <w:t>6</w:t>
      </w:r>
      <w:r>
        <w:rPr>
          <w:color w:val="000000"/>
          <w:sz w:val="24"/>
          <w:szCs w:val="24"/>
        </w:rPr>
        <w:t>月各月，沪深</w:t>
      </w:r>
      <w:r>
        <w:rPr>
          <w:color w:val="000000"/>
          <w:sz w:val="24"/>
          <w:szCs w:val="24"/>
        </w:rPr>
        <w:t>300</w:t>
      </w:r>
      <w:r>
        <w:rPr>
          <w:color w:val="000000"/>
          <w:sz w:val="24"/>
          <w:szCs w:val="24"/>
        </w:rPr>
        <w:t>指数的月度收益率分别是</w:t>
      </w:r>
      <w:r>
        <w:rPr>
          <w:color w:val="000000"/>
          <w:sz w:val="24"/>
          <w:szCs w:val="24"/>
        </w:rPr>
        <w:t>0.58%</w:t>
      </w:r>
      <w:r>
        <w:rPr>
          <w:color w:val="000000"/>
          <w:sz w:val="24"/>
          <w:szCs w:val="24"/>
        </w:rPr>
        <w:t>、</w:t>
      </w:r>
      <w:r>
        <w:rPr>
          <w:color w:val="000000"/>
          <w:sz w:val="24"/>
          <w:szCs w:val="24"/>
        </w:rPr>
        <w:t>-0.10%</w:t>
      </w:r>
      <w:r>
        <w:rPr>
          <w:color w:val="000000"/>
          <w:sz w:val="24"/>
          <w:szCs w:val="24"/>
        </w:rPr>
        <w:t>和</w:t>
      </w:r>
      <w:r>
        <w:rPr>
          <w:color w:val="000000"/>
          <w:sz w:val="24"/>
          <w:szCs w:val="24"/>
        </w:rPr>
        <w:t>0.40%</w:t>
      </w:r>
      <w:r>
        <w:rPr>
          <w:color w:val="000000"/>
          <w:sz w:val="24"/>
          <w:szCs w:val="24"/>
        </w:rPr>
        <w:t>，中证</w:t>
      </w:r>
      <w:r>
        <w:rPr>
          <w:color w:val="000000"/>
          <w:sz w:val="24"/>
          <w:szCs w:val="24"/>
        </w:rPr>
        <w:t>500</w:t>
      </w:r>
      <w:r>
        <w:rPr>
          <w:color w:val="000000"/>
          <w:sz w:val="24"/>
          <w:szCs w:val="24"/>
        </w:rPr>
        <w:t>指数的月度收益率分别是</w:t>
      </w:r>
      <w:r>
        <w:rPr>
          <w:color w:val="000000"/>
          <w:sz w:val="24"/>
          <w:szCs w:val="24"/>
        </w:rPr>
        <w:t>-1.94%</w:t>
      </w:r>
      <w:r>
        <w:rPr>
          <w:color w:val="000000"/>
          <w:sz w:val="24"/>
          <w:szCs w:val="24"/>
        </w:rPr>
        <w:t>、</w:t>
      </w:r>
      <w:r>
        <w:rPr>
          <w:color w:val="000000"/>
          <w:sz w:val="24"/>
          <w:szCs w:val="24"/>
        </w:rPr>
        <w:t>1.67%</w:t>
      </w:r>
      <w:r>
        <w:rPr>
          <w:color w:val="000000"/>
          <w:sz w:val="24"/>
          <w:szCs w:val="24"/>
        </w:rPr>
        <w:t>和</w:t>
      </w:r>
      <w:r>
        <w:rPr>
          <w:color w:val="000000"/>
          <w:sz w:val="24"/>
          <w:szCs w:val="24"/>
        </w:rPr>
        <w:t>2.50%</w:t>
      </w:r>
      <w:r>
        <w:rPr>
          <w:color w:val="000000"/>
          <w:sz w:val="24"/>
          <w:szCs w:val="24"/>
        </w:rPr>
        <w:t>，而同期创业板指数的月度收益率分别是</w:t>
      </w:r>
      <w:r>
        <w:rPr>
          <w:color w:val="000000"/>
          <w:sz w:val="24"/>
          <w:szCs w:val="24"/>
        </w:rPr>
        <w:t>-3.36%</w:t>
      </w:r>
      <w:r>
        <w:rPr>
          <w:color w:val="000000"/>
          <w:sz w:val="24"/>
          <w:szCs w:val="24"/>
        </w:rPr>
        <w:t>，</w:t>
      </w:r>
      <w:r>
        <w:rPr>
          <w:color w:val="000000"/>
          <w:sz w:val="24"/>
          <w:szCs w:val="24"/>
        </w:rPr>
        <w:t>2.72%</w:t>
      </w:r>
      <w:r>
        <w:rPr>
          <w:color w:val="000000"/>
          <w:sz w:val="24"/>
          <w:szCs w:val="24"/>
        </w:rPr>
        <w:t>和</w:t>
      </w:r>
      <w:r>
        <w:rPr>
          <w:color w:val="000000"/>
          <w:sz w:val="24"/>
          <w:szCs w:val="24"/>
        </w:rPr>
        <w:t>6.57%</w:t>
      </w:r>
      <w:r>
        <w:rPr>
          <w:color w:val="000000"/>
          <w:sz w:val="24"/>
          <w:szCs w:val="24"/>
        </w:rPr>
        <w:t>。本季度本基金净值收益率为</w:t>
      </w:r>
      <w:r>
        <w:rPr>
          <w:color w:val="000000"/>
          <w:sz w:val="24"/>
          <w:szCs w:val="24"/>
        </w:rPr>
        <w:t>0.00%</w:t>
      </w:r>
      <w:r>
        <w:rPr>
          <w:color w:val="000000"/>
          <w:sz w:val="24"/>
          <w:szCs w:val="24"/>
        </w:rPr>
        <w:t>，业绩比较基准收益率为</w:t>
      </w:r>
      <w:r>
        <w:rPr>
          <w:color w:val="000000"/>
          <w:sz w:val="24"/>
          <w:szCs w:val="24"/>
        </w:rPr>
        <w:t>1.30%</w:t>
      </w:r>
      <w:r>
        <w:rPr>
          <w:color w:val="000000"/>
          <w:sz w:val="24"/>
          <w:szCs w:val="24"/>
        </w:rPr>
        <w:t>。</w:t>
      </w:r>
    </w:p>
    <w:p w:rsidR="00564892" w:rsidRDefault="00DD2B99">
      <w:pPr>
        <w:spacing w:before="29" w:line="288" w:lineRule="auto"/>
        <w:ind w:firstLineChars="200" w:firstLine="480"/>
        <w:rPr>
          <w:color w:val="000000"/>
          <w:sz w:val="24"/>
          <w:szCs w:val="24"/>
        </w:rPr>
      </w:pPr>
      <w:r>
        <w:rPr>
          <w:color w:val="000000"/>
          <w:sz w:val="24"/>
          <w:szCs w:val="24"/>
        </w:rPr>
        <w:t>虽然面对经济下行压力，但央行放松的力度却始终不大，这反映了央行对经济的理解：长期结构问题和短期周期波动叠加导致经济下行；单期的逆周期宽松性政策操作未必是多期目标的最优选择；调控政策的定向发力、力度拿捏充分体现了其长短兼顾的目标意愿。</w:t>
      </w:r>
    </w:p>
    <w:p w:rsidR="00564892" w:rsidRDefault="00DD2B99">
      <w:pPr>
        <w:spacing w:before="29" w:line="288" w:lineRule="auto"/>
        <w:ind w:firstLineChars="200" w:firstLine="480"/>
        <w:rPr>
          <w:color w:val="000000"/>
          <w:sz w:val="24"/>
          <w:szCs w:val="24"/>
        </w:rPr>
      </w:pPr>
      <w:r>
        <w:rPr>
          <w:color w:val="000000"/>
          <w:sz w:val="24"/>
          <w:szCs w:val="24"/>
        </w:rPr>
        <w:t>由远及近，方知目标与现实之间的最佳路径。当下中国人口结构的变化有两大特点：一是农村剩余劳动力的减少，导致向城市转移的速度相应改变，进而改变城乡二元结构；二是人口老龄化将会降低储蓄率，投资率若不及时调整可能将导致利率均衡中枢上移。</w:t>
      </w:r>
    </w:p>
    <w:p w:rsidR="00564892" w:rsidRDefault="00DD2B99">
      <w:pPr>
        <w:spacing w:before="29" w:line="288" w:lineRule="auto"/>
        <w:ind w:firstLineChars="200" w:firstLine="480"/>
        <w:rPr>
          <w:color w:val="000000"/>
          <w:sz w:val="24"/>
          <w:szCs w:val="24"/>
        </w:rPr>
      </w:pPr>
      <w:r>
        <w:rPr>
          <w:color w:val="000000"/>
          <w:sz w:val="24"/>
          <w:szCs w:val="24"/>
        </w:rPr>
        <w:t>前者减弱了宏观调控中充分就业的目标压力；后者通过市场机制相应引导资源配置，由低</w:t>
      </w:r>
      <w:r>
        <w:rPr>
          <w:color w:val="000000"/>
          <w:sz w:val="24"/>
          <w:szCs w:val="24"/>
        </w:rPr>
        <w:t>ROA</w:t>
      </w:r>
      <w:r>
        <w:rPr>
          <w:color w:val="000000"/>
          <w:sz w:val="24"/>
          <w:szCs w:val="24"/>
        </w:rPr>
        <w:t>、高杠杆的重资产、生产性行业向高</w:t>
      </w:r>
      <w:r>
        <w:rPr>
          <w:color w:val="000000"/>
          <w:sz w:val="24"/>
          <w:szCs w:val="24"/>
        </w:rPr>
        <w:t>ROA</w:t>
      </w:r>
      <w:r>
        <w:rPr>
          <w:color w:val="000000"/>
          <w:sz w:val="24"/>
          <w:szCs w:val="24"/>
        </w:rPr>
        <w:t>、低杠杆的轻资产、服务性行业转移。前者给了产业升级、结构调整的时间；后者因为物资资本和人力成本的沉没成本影响，调整是缓慢和非完全自愿的，叠加上地方政府既有发展模式（土地财政、刺激易创新难）等因素，调整愈发艰难；宏观调控当局需要及时通过结构政策（税收、补贴、职业教育）帮助物资资本、人力资本实现跨行业的转移。央行充分利用了各种货币政策工具的结构性效应，但毕竟治标不治本，投资者不应高估总量政策的结构效应。淘汰过剩产能、鼓励科技创新、广泛开展各年龄段劳动力的职业技能培训才是实现资源的跨行业转移、转变经济增长方式的标本兼治良方。</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这一长期结构性问题和短期临时性解决方案的组合背景下，市场自然青睐代表未来发展方向的成长股：在传统过剩产能真实去化之前，托底政策刺激带来的需求端变化只能传导至库存，难以通过价格变动来大幅改善传统产业的盈利水平；赚钱效应的缺乏使得股票市场对吸引新资金流入丧失了吸引力，留在市场的存量资金对预期投资回报率要求较高，高风险偏好激发市场对代表未来经济发展方向的成长股的偏爱。但罗马不是一天建成的，成长股业绩不达预期或会成为验证道路曲折性的催化剂，需要在业绩验证前后动态调整成长风格敞口。</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0.983</w:t>
      </w:r>
      <w:r w:rsidRPr="00414345">
        <w:rPr>
          <w:color w:val="000000"/>
          <w:sz w:val="24"/>
          <w:szCs w:val="24"/>
        </w:rPr>
        <w:t>元，本报告期份额净值增长率为</w:t>
      </w:r>
      <w:r w:rsidRPr="00414345">
        <w:rPr>
          <w:color w:val="000000"/>
          <w:sz w:val="24"/>
          <w:szCs w:val="24"/>
        </w:rPr>
        <w:t>0.00%</w:t>
      </w:r>
      <w:r w:rsidRPr="00414345">
        <w:rPr>
          <w:color w:val="000000"/>
          <w:sz w:val="24"/>
          <w:szCs w:val="24"/>
        </w:rPr>
        <w:t>，同期业绩比较基准增长率为</w:t>
      </w:r>
      <w:r w:rsidRPr="00414345">
        <w:rPr>
          <w:color w:val="000000"/>
          <w:sz w:val="24"/>
          <w:szCs w:val="24"/>
        </w:rPr>
        <w:t>1.30%</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DD2B9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26,277,879.46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79.28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26,277,879.46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79.28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35,588.00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35,588.00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6,815,300.15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20.56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16,280.23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33,145,047.84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46,788.83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D2B99">
            <w:pPr>
              <w:spacing w:before="29" w:line="288" w:lineRule="auto"/>
              <w:jc w:val="right"/>
              <w:rPr>
                <w:sz w:val="24"/>
                <w:szCs w:val="24"/>
              </w:rPr>
            </w:pPr>
            <w:r w:rsidRPr="00414345">
              <w:rPr>
                <w:sz w:val="24"/>
                <w:szCs w:val="24"/>
              </w:rPr>
              <w:t>641,539.85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D2B99">
            <w:pPr>
              <w:spacing w:before="29" w:line="288" w:lineRule="auto"/>
              <w:jc w:val="right"/>
              <w:rPr>
                <w:sz w:val="24"/>
                <w:szCs w:val="24"/>
              </w:rPr>
            </w:pPr>
            <w:r w:rsidRPr="00414345">
              <w:rPr>
                <w:sz w:val="24"/>
                <w:szCs w:val="24"/>
              </w:rPr>
              <w:t>1.96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14,383,178.20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1,060,050.16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847,085.58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1,728,428.06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475,616.47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D2B99">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1,278,297.20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3,713,714.84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653,387.89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886,044.88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322,505.00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137,380.00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103,862.50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26,277,879.46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80.18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64892">
        <w:trPr>
          <w:jc w:val="center"/>
        </w:trPr>
        <w:tc>
          <w:tcPr>
            <w:tcW w:w="855" w:type="dxa"/>
            <w:vAlign w:val="center"/>
          </w:tcPr>
          <w:p w:rsidR="00564892" w:rsidRDefault="00DD2B99">
            <w:pPr>
              <w:jc w:val="center"/>
            </w:pPr>
            <w:r>
              <w:rPr>
                <w:color w:val="000000"/>
                <w:sz w:val="24"/>
                <w:szCs w:val="24"/>
              </w:rPr>
              <w:t>1</w:t>
            </w:r>
          </w:p>
        </w:tc>
        <w:tc>
          <w:tcPr>
            <w:tcW w:w="1334" w:type="dxa"/>
            <w:vAlign w:val="center"/>
          </w:tcPr>
          <w:p w:rsidR="00564892" w:rsidRDefault="00DD2B99">
            <w:pPr>
              <w:jc w:val="center"/>
            </w:pPr>
            <w:r>
              <w:rPr>
                <w:color w:val="000000"/>
                <w:sz w:val="24"/>
                <w:szCs w:val="24"/>
              </w:rPr>
              <w:t>600000</w:t>
            </w:r>
          </w:p>
        </w:tc>
        <w:tc>
          <w:tcPr>
            <w:tcW w:w="1777" w:type="dxa"/>
            <w:vAlign w:val="center"/>
          </w:tcPr>
          <w:p w:rsidR="00564892" w:rsidRDefault="00DD2B99">
            <w:pPr>
              <w:jc w:val="center"/>
            </w:pPr>
            <w:r>
              <w:rPr>
                <w:color w:val="000000"/>
                <w:sz w:val="24"/>
                <w:szCs w:val="24"/>
              </w:rPr>
              <w:t>浦发银行</w:t>
            </w:r>
          </w:p>
        </w:tc>
        <w:tc>
          <w:tcPr>
            <w:tcW w:w="1334" w:type="dxa"/>
            <w:vAlign w:val="center"/>
          </w:tcPr>
          <w:p w:rsidR="00564892" w:rsidRDefault="00DD2B99">
            <w:pPr>
              <w:jc w:val="right"/>
            </w:pPr>
            <w:r>
              <w:rPr>
                <w:color w:val="000000"/>
                <w:sz w:val="24"/>
                <w:szCs w:val="24"/>
              </w:rPr>
              <w:t>132,964</w:t>
            </w:r>
          </w:p>
        </w:tc>
        <w:tc>
          <w:tcPr>
            <w:tcW w:w="1924" w:type="dxa"/>
            <w:vAlign w:val="center"/>
          </w:tcPr>
          <w:p w:rsidR="00564892" w:rsidRDefault="00DD2B99">
            <w:pPr>
              <w:jc w:val="right"/>
            </w:pPr>
            <w:r>
              <w:rPr>
                <w:color w:val="000000"/>
                <w:sz w:val="24"/>
                <w:szCs w:val="24"/>
              </w:rPr>
              <w:t>1,203,324.20</w:t>
            </w:r>
          </w:p>
        </w:tc>
        <w:tc>
          <w:tcPr>
            <w:tcW w:w="1644" w:type="dxa"/>
            <w:vAlign w:val="center"/>
          </w:tcPr>
          <w:p w:rsidR="00564892" w:rsidRDefault="00DD2B99">
            <w:pPr>
              <w:jc w:val="right"/>
            </w:pPr>
            <w:r>
              <w:rPr>
                <w:color w:val="000000"/>
                <w:sz w:val="24"/>
                <w:szCs w:val="24"/>
              </w:rPr>
              <w:t>3.67</w:t>
            </w:r>
          </w:p>
        </w:tc>
      </w:tr>
      <w:tr w:rsidR="00564892">
        <w:trPr>
          <w:jc w:val="center"/>
        </w:trPr>
        <w:tc>
          <w:tcPr>
            <w:tcW w:w="855" w:type="dxa"/>
            <w:vAlign w:val="center"/>
          </w:tcPr>
          <w:p w:rsidR="00564892" w:rsidRDefault="00DD2B99">
            <w:pPr>
              <w:jc w:val="center"/>
            </w:pPr>
            <w:r>
              <w:rPr>
                <w:color w:val="000000"/>
                <w:sz w:val="24"/>
                <w:szCs w:val="24"/>
              </w:rPr>
              <w:t>2</w:t>
            </w:r>
          </w:p>
        </w:tc>
        <w:tc>
          <w:tcPr>
            <w:tcW w:w="1334" w:type="dxa"/>
            <w:vAlign w:val="center"/>
          </w:tcPr>
          <w:p w:rsidR="00564892" w:rsidRDefault="00DD2B99">
            <w:pPr>
              <w:jc w:val="center"/>
            </w:pPr>
            <w:r>
              <w:rPr>
                <w:color w:val="000000"/>
                <w:sz w:val="24"/>
                <w:szCs w:val="24"/>
              </w:rPr>
              <w:t>601318</w:t>
            </w:r>
          </w:p>
        </w:tc>
        <w:tc>
          <w:tcPr>
            <w:tcW w:w="1777" w:type="dxa"/>
            <w:vAlign w:val="center"/>
          </w:tcPr>
          <w:p w:rsidR="00564892" w:rsidRDefault="00DD2B99">
            <w:pPr>
              <w:jc w:val="center"/>
            </w:pPr>
            <w:r>
              <w:rPr>
                <w:color w:val="000000"/>
                <w:sz w:val="24"/>
                <w:szCs w:val="24"/>
              </w:rPr>
              <w:t>中国平安</w:t>
            </w:r>
          </w:p>
        </w:tc>
        <w:tc>
          <w:tcPr>
            <w:tcW w:w="1334" w:type="dxa"/>
            <w:vAlign w:val="center"/>
          </w:tcPr>
          <w:p w:rsidR="00564892" w:rsidRDefault="00DD2B99">
            <w:pPr>
              <w:jc w:val="right"/>
            </w:pPr>
            <w:r>
              <w:rPr>
                <w:color w:val="000000"/>
                <w:sz w:val="24"/>
                <w:szCs w:val="24"/>
              </w:rPr>
              <w:t>21,413</w:t>
            </w:r>
          </w:p>
        </w:tc>
        <w:tc>
          <w:tcPr>
            <w:tcW w:w="1924" w:type="dxa"/>
            <w:vAlign w:val="center"/>
          </w:tcPr>
          <w:p w:rsidR="00564892" w:rsidRDefault="00DD2B99">
            <w:pPr>
              <w:jc w:val="right"/>
            </w:pPr>
            <w:r>
              <w:rPr>
                <w:color w:val="000000"/>
                <w:sz w:val="24"/>
                <w:szCs w:val="24"/>
              </w:rPr>
              <w:t>842,387.42</w:t>
            </w:r>
          </w:p>
        </w:tc>
        <w:tc>
          <w:tcPr>
            <w:tcW w:w="1644" w:type="dxa"/>
            <w:vAlign w:val="center"/>
          </w:tcPr>
          <w:p w:rsidR="00564892" w:rsidRDefault="00DD2B99">
            <w:pPr>
              <w:jc w:val="right"/>
            </w:pPr>
            <w:r>
              <w:rPr>
                <w:color w:val="000000"/>
                <w:sz w:val="24"/>
                <w:szCs w:val="24"/>
              </w:rPr>
              <w:t>2.57</w:t>
            </w:r>
          </w:p>
        </w:tc>
      </w:tr>
      <w:tr w:rsidR="00564892">
        <w:trPr>
          <w:jc w:val="center"/>
        </w:trPr>
        <w:tc>
          <w:tcPr>
            <w:tcW w:w="855" w:type="dxa"/>
            <w:vAlign w:val="center"/>
          </w:tcPr>
          <w:p w:rsidR="00564892" w:rsidRDefault="00DD2B99">
            <w:pPr>
              <w:jc w:val="center"/>
            </w:pPr>
            <w:r>
              <w:rPr>
                <w:color w:val="000000"/>
                <w:sz w:val="24"/>
                <w:szCs w:val="24"/>
              </w:rPr>
              <w:t>3</w:t>
            </w:r>
          </w:p>
        </w:tc>
        <w:tc>
          <w:tcPr>
            <w:tcW w:w="1334" w:type="dxa"/>
            <w:vAlign w:val="center"/>
          </w:tcPr>
          <w:p w:rsidR="00564892" w:rsidRDefault="00DD2B99">
            <w:pPr>
              <w:jc w:val="center"/>
            </w:pPr>
            <w:r>
              <w:rPr>
                <w:color w:val="000000"/>
                <w:sz w:val="24"/>
                <w:szCs w:val="24"/>
              </w:rPr>
              <w:t>300005</w:t>
            </w:r>
          </w:p>
        </w:tc>
        <w:tc>
          <w:tcPr>
            <w:tcW w:w="1777" w:type="dxa"/>
            <w:vAlign w:val="center"/>
          </w:tcPr>
          <w:p w:rsidR="00564892" w:rsidRDefault="00DD2B99">
            <w:pPr>
              <w:jc w:val="center"/>
            </w:pPr>
            <w:r>
              <w:rPr>
                <w:color w:val="000000"/>
                <w:sz w:val="24"/>
                <w:szCs w:val="24"/>
              </w:rPr>
              <w:t>探路者</w:t>
            </w:r>
          </w:p>
        </w:tc>
        <w:tc>
          <w:tcPr>
            <w:tcW w:w="1334" w:type="dxa"/>
            <w:vAlign w:val="center"/>
          </w:tcPr>
          <w:p w:rsidR="00564892" w:rsidRDefault="00DD2B99">
            <w:pPr>
              <w:jc w:val="right"/>
            </w:pPr>
            <w:r>
              <w:rPr>
                <w:color w:val="000000"/>
                <w:sz w:val="24"/>
                <w:szCs w:val="24"/>
              </w:rPr>
              <w:t>53,477</w:t>
            </w:r>
          </w:p>
        </w:tc>
        <w:tc>
          <w:tcPr>
            <w:tcW w:w="1924" w:type="dxa"/>
            <w:vAlign w:val="center"/>
          </w:tcPr>
          <w:p w:rsidR="00564892" w:rsidRDefault="00DD2B99">
            <w:pPr>
              <w:jc w:val="right"/>
            </w:pPr>
            <w:r>
              <w:rPr>
                <w:color w:val="000000"/>
                <w:sz w:val="24"/>
                <w:szCs w:val="24"/>
              </w:rPr>
              <w:t>825,684.88</w:t>
            </w:r>
          </w:p>
        </w:tc>
        <w:tc>
          <w:tcPr>
            <w:tcW w:w="1644" w:type="dxa"/>
            <w:vAlign w:val="center"/>
          </w:tcPr>
          <w:p w:rsidR="00564892" w:rsidRDefault="00DD2B99">
            <w:pPr>
              <w:jc w:val="right"/>
            </w:pPr>
            <w:r>
              <w:rPr>
                <w:color w:val="000000"/>
                <w:sz w:val="24"/>
                <w:szCs w:val="24"/>
              </w:rPr>
              <w:t>2.52</w:t>
            </w:r>
          </w:p>
        </w:tc>
      </w:tr>
      <w:tr w:rsidR="00564892">
        <w:trPr>
          <w:jc w:val="center"/>
        </w:trPr>
        <w:tc>
          <w:tcPr>
            <w:tcW w:w="855" w:type="dxa"/>
            <w:vAlign w:val="center"/>
          </w:tcPr>
          <w:p w:rsidR="00564892" w:rsidRDefault="00DD2B99">
            <w:pPr>
              <w:jc w:val="center"/>
            </w:pPr>
            <w:r>
              <w:rPr>
                <w:color w:val="000000"/>
                <w:sz w:val="24"/>
                <w:szCs w:val="24"/>
              </w:rPr>
              <w:t>4</w:t>
            </w:r>
          </w:p>
        </w:tc>
        <w:tc>
          <w:tcPr>
            <w:tcW w:w="1334" w:type="dxa"/>
            <w:vAlign w:val="center"/>
          </w:tcPr>
          <w:p w:rsidR="00564892" w:rsidRDefault="00DD2B99">
            <w:pPr>
              <w:jc w:val="center"/>
            </w:pPr>
            <w:r>
              <w:rPr>
                <w:color w:val="000000"/>
                <w:sz w:val="24"/>
                <w:szCs w:val="24"/>
              </w:rPr>
              <w:t>002400</w:t>
            </w:r>
          </w:p>
        </w:tc>
        <w:tc>
          <w:tcPr>
            <w:tcW w:w="1777" w:type="dxa"/>
            <w:vAlign w:val="center"/>
          </w:tcPr>
          <w:p w:rsidR="00564892" w:rsidRDefault="00DD2B99">
            <w:pPr>
              <w:jc w:val="center"/>
            </w:pPr>
            <w:r>
              <w:rPr>
                <w:color w:val="000000"/>
                <w:sz w:val="24"/>
                <w:szCs w:val="24"/>
              </w:rPr>
              <w:t>省广股份</w:t>
            </w:r>
          </w:p>
        </w:tc>
        <w:tc>
          <w:tcPr>
            <w:tcW w:w="1334" w:type="dxa"/>
            <w:vAlign w:val="center"/>
          </w:tcPr>
          <w:p w:rsidR="00564892" w:rsidRDefault="00DD2B99">
            <w:pPr>
              <w:jc w:val="right"/>
            </w:pPr>
            <w:r>
              <w:rPr>
                <w:color w:val="000000"/>
                <w:sz w:val="24"/>
                <w:szCs w:val="24"/>
              </w:rPr>
              <w:t>29,500</w:t>
            </w:r>
          </w:p>
        </w:tc>
        <w:tc>
          <w:tcPr>
            <w:tcW w:w="1924" w:type="dxa"/>
            <w:vAlign w:val="center"/>
          </w:tcPr>
          <w:p w:rsidR="00564892" w:rsidRDefault="00DD2B99">
            <w:pPr>
              <w:jc w:val="right"/>
            </w:pPr>
            <w:r>
              <w:rPr>
                <w:color w:val="000000"/>
                <w:sz w:val="24"/>
                <w:szCs w:val="24"/>
              </w:rPr>
              <w:t>725,110.00</w:t>
            </w:r>
          </w:p>
        </w:tc>
        <w:tc>
          <w:tcPr>
            <w:tcW w:w="1644" w:type="dxa"/>
            <w:vAlign w:val="center"/>
          </w:tcPr>
          <w:p w:rsidR="00564892" w:rsidRDefault="00DD2B99">
            <w:pPr>
              <w:jc w:val="right"/>
            </w:pPr>
            <w:r>
              <w:rPr>
                <w:color w:val="000000"/>
                <w:sz w:val="24"/>
                <w:szCs w:val="24"/>
              </w:rPr>
              <w:t>2.21</w:t>
            </w:r>
          </w:p>
        </w:tc>
      </w:tr>
      <w:tr w:rsidR="00564892">
        <w:trPr>
          <w:jc w:val="center"/>
        </w:trPr>
        <w:tc>
          <w:tcPr>
            <w:tcW w:w="855" w:type="dxa"/>
            <w:vAlign w:val="center"/>
          </w:tcPr>
          <w:p w:rsidR="00564892" w:rsidRDefault="00DD2B99">
            <w:pPr>
              <w:jc w:val="center"/>
            </w:pPr>
            <w:r>
              <w:rPr>
                <w:color w:val="000000"/>
                <w:sz w:val="24"/>
                <w:szCs w:val="24"/>
              </w:rPr>
              <w:t>5</w:t>
            </w:r>
          </w:p>
        </w:tc>
        <w:tc>
          <w:tcPr>
            <w:tcW w:w="1334" w:type="dxa"/>
            <w:vAlign w:val="center"/>
          </w:tcPr>
          <w:p w:rsidR="00564892" w:rsidRDefault="00DD2B99">
            <w:pPr>
              <w:jc w:val="center"/>
            </w:pPr>
            <w:r>
              <w:rPr>
                <w:color w:val="000000"/>
                <w:sz w:val="24"/>
                <w:szCs w:val="24"/>
              </w:rPr>
              <w:t>300124</w:t>
            </w:r>
          </w:p>
        </w:tc>
        <w:tc>
          <w:tcPr>
            <w:tcW w:w="1777" w:type="dxa"/>
            <w:vAlign w:val="center"/>
          </w:tcPr>
          <w:p w:rsidR="00564892" w:rsidRDefault="00DD2B99">
            <w:pPr>
              <w:jc w:val="center"/>
            </w:pPr>
            <w:r>
              <w:rPr>
                <w:color w:val="000000"/>
                <w:sz w:val="24"/>
                <w:szCs w:val="24"/>
              </w:rPr>
              <w:t>汇川技术</w:t>
            </w:r>
          </w:p>
        </w:tc>
        <w:tc>
          <w:tcPr>
            <w:tcW w:w="1334" w:type="dxa"/>
            <w:vAlign w:val="center"/>
          </w:tcPr>
          <w:p w:rsidR="00564892" w:rsidRDefault="00DD2B99">
            <w:pPr>
              <w:jc w:val="right"/>
            </w:pPr>
            <w:r>
              <w:rPr>
                <w:color w:val="000000"/>
                <w:sz w:val="24"/>
                <w:szCs w:val="24"/>
              </w:rPr>
              <w:t>21,461</w:t>
            </w:r>
          </w:p>
        </w:tc>
        <w:tc>
          <w:tcPr>
            <w:tcW w:w="1924" w:type="dxa"/>
            <w:vAlign w:val="center"/>
          </w:tcPr>
          <w:p w:rsidR="00564892" w:rsidRDefault="00DD2B99">
            <w:pPr>
              <w:jc w:val="right"/>
            </w:pPr>
            <w:r>
              <w:rPr>
                <w:color w:val="000000"/>
                <w:sz w:val="24"/>
                <w:szCs w:val="24"/>
              </w:rPr>
              <w:t>669,583.20</w:t>
            </w:r>
          </w:p>
        </w:tc>
        <w:tc>
          <w:tcPr>
            <w:tcW w:w="1644" w:type="dxa"/>
            <w:vAlign w:val="center"/>
          </w:tcPr>
          <w:p w:rsidR="00564892" w:rsidRDefault="00DD2B99">
            <w:pPr>
              <w:jc w:val="right"/>
            </w:pPr>
            <w:r>
              <w:rPr>
                <w:color w:val="000000"/>
                <w:sz w:val="24"/>
                <w:szCs w:val="24"/>
              </w:rPr>
              <w:t>2.04</w:t>
            </w:r>
          </w:p>
        </w:tc>
      </w:tr>
      <w:tr w:rsidR="00564892">
        <w:trPr>
          <w:jc w:val="center"/>
        </w:trPr>
        <w:tc>
          <w:tcPr>
            <w:tcW w:w="855" w:type="dxa"/>
            <w:vAlign w:val="center"/>
          </w:tcPr>
          <w:p w:rsidR="00564892" w:rsidRDefault="00DD2B99">
            <w:pPr>
              <w:jc w:val="center"/>
            </w:pPr>
            <w:r>
              <w:rPr>
                <w:color w:val="000000"/>
                <w:sz w:val="24"/>
                <w:szCs w:val="24"/>
              </w:rPr>
              <w:t>6</w:t>
            </w:r>
          </w:p>
        </w:tc>
        <w:tc>
          <w:tcPr>
            <w:tcW w:w="1334" w:type="dxa"/>
            <w:vAlign w:val="center"/>
          </w:tcPr>
          <w:p w:rsidR="00564892" w:rsidRDefault="00DD2B99">
            <w:pPr>
              <w:jc w:val="center"/>
            </w:pPr>
            <w:r>
              <w:rPr>
                <w:color w:val="000000"/>
                <w:sz w:val="24"/>
                <w:szCs w:val="24"/>
              </w:rPr>
              <w:t>601818</w:t>
            </w:r>
          </w:p>
        </w:tc>
        <w:tc>
          <w:tcPr>
            <w:tcW w:w="1777" w:type="dxa"/>
            <w:vAlign w:val="center"/>
          </w:tcPr>
          <w:p w:rsidR="00564892" w:rsidRDefault="00DD2B99">
            <w:pPr>
              <w:jc w:val="center"/>
            </w:pPr>
            <w:r>
              <w:rPr>
                <w:color w:val="000000"/>
                <w:sz w:val="24"/>
                <w:szCs w:val="24"/>
              </w:rPr>
              <w:t>光大银行</w:t>
            </w:r>
          </w:p>
        </w:tc>
        <w:tc>
          <w:tcPr>
            <w:tcW w:w="1334" w:type="dxa"/>
            <w:vAlign w:val="center"/>
          </w:tcPr>
          <w:p w:rsidR="00564892" w:rsidRDefault="00DD2B99">
            <w:pPr>
              <w:jc w:val="right"/>
            </w:pPr>
            <w:r>
              <w:rPr>
                <w:color w:val="000000"/>
                <w:sz w:val="24"/>
                <w:szCs w:val="24"/>
              </w:rPr>
              <w:t>253,444</w:t>
            </w:r>
          </w:p>
        </w:tc>
        <w:tc>
          <w:tcPr>
            <w:tcW w:w="1924" w:type="dxa"/>
            <w:vAlign w:val="center"/>
          </w:tcPr>
          <w:p w:rsidR="00564892" w:rsidRDefault="00DD2B99">
            <w:pPr>
              <w:jc w:val="right"/>
            </w:pPr>
            <w:r>
              <w:rPr>
                <w:color w:val="000000"/>
                <w:sz w:val="24"/>
                <w:szCs w:val="24"/>
              </w:rPr>
              <w:t>643,747.76</w:t>
            </w:r>
          </w:p>
        </w:tc>
        <w:tc>
          <w:tcPr>
            <w:tcW w:w="1644" w:type="dxa"/>
            <w:vAlign w:val="center"/>
          </w:tcPr>
          <w:p w:rsidR="00564892" w:rsidRDefault="00DD2B99">
            <w:pPr>
              <w:jc w:val="right"/>
            </w:pPr>
            <w:r>
              <w:rPr>
                <w:color w:val="000000"/>
                <w:sz w:val="24"/>
                <w:szCs w:val="24"/>
              </w:rPr>
              <w:t>1.96</w:t>
            </w:r>
          </w:p>
        </w:tc>
      </w:tr>
      <w:tr w:rsidR="00564892">
        <w:trPr>
          <w:jc w:val="center"/>
        </w:trPr>
        <w:tc>
          <w:tcPr>
            <w:tcW w:w="855" w:type="dxa"/>
            <w:vAlign w:val="center"/>
          </w:tcPr>
          <w:p w:rsidR="00564892" w:rsidRDefault="00DD2B99">
            <w:pPr>
              <w:jc w:val="center"/>
            </w:pPr>
            <w:r>
              <w:rPr>
                <w:color w:val="000000"/>
                <w:sz w:val="24"/>
                <w:szCs w:val="24"/>
              </w:rPr>
              <w:t>7</w:t>
            </w:r>
          </w:p>
        </w:tc>
        <w:tc>
          <w:tcPr>
            <w:tcW w:w="1334" w:type="dxa"/>
            <w:vAlign w:val="center"/>
          </w:tcPr>
          <w:p w:rsidR="00564892" w:rsidRDefault="00DD2B99">
            <w:pPr>
              <w:jc w:val="center"/>
            </w:pPr>
            <w:r>
              <w:rPr>
                <w:color w:val="000000"/>
                <w:sz w:val="24"/>
                <w:szCs w:val="24"/>
              </w:rPr>
              <w:t>300228</w:t>
            </w:r>
          </w:p>
        </w:tc>
        <w:tc>
          <w:tcPr>
            <w:tcW w:w="1777" w:type="dxa"/>
            <w:vAlign w:val="center"/>
          </w:tcPr>
          <w:p w:rsidR="00564892" w:rsidRDefault="00DD2B99">
            <w:pPr>
              <w:jc w:val="center"/>
            </w:pPr>
            <w:r>
              <w:rPr>
                <w:color w:val="000000"/>
                <w:sz w:val="24"/>
                <w:szCs w:val="24"/>
              </w:rPr>
              <w:t>富瑞特装</w:t>
            </w:r>
          </w:p>
        </w:tc>
        <w:tc>
          <w:tcPr>
            <w:tcW w:w="1334" w:type="dxa"/>
            <w:vAlign w:val="center"/>
          </w:tcPr>
          <w:p w:rsidR="00564892" w:rsidRDefault="00DD2B99">
            <w:pPr>
              <w:jc w:val="right"/>
            </w:pPr>
            <w:r>
              <w:rPr>
                <w:color w:val="000000"/>
                <w:sz w:val="24"/>
                <w:szCs w:val="24"/>
              </w:rPr>
              <w:t>11,800</w:t>
            </w:r>
          </w:p>
        </w:tc>
        <w:tc>
          <w:tcPr>
            <w:tcW w:w="1924" w:type="dxa"/>
            <w:vAlign w:val="center"/>
          </w:tcPr>
          <w:p w:rsidR="00564892" w:rsidRDefault="00DD2B99">
            <w:pPr>
              <w:jc w:val="right"/>
            </w:pPr>
            <w:r>
              <w:rPr>
                <w:color w:val="000000"/>
                <w:sz w:val="24"/>
                <w:szCs w:val="24"/>
              </w:rPr>
              <w:t>603,688.00</w:t>
            </w:r>
          </w:p>
        </w:tc>
        <w:tc>
          <w:tcPr>
            <w:tcW w:w="1644" w:type="dxa"/>
            <w:vAlign w:val="center"/>
          </w:tcPr>
          <w:p w:rsidR="00564892" w:rsidRDefault="00DD2B99">
            <w:pPr>
              <w:jc w:val="right"/>
            </w:pPr>
            <w:r>
              <w:rPr>
                <w:color w:val="000000"/>
                <w:sz w:val="24"/>
                <w:szCs w:val="24"/>
              </w:rPr>
              <w:t>1.84</w:t>
            </w:r>
          </w:p>
        </w:tc>
      </w:tr>
      <w:tr w:rsidR="00564892">
        <w:trPr>
          <w:jc w:val="center"/>
        </w:trPr>
        <w:tc>
          <w:tcPr>
            <w:tcW w:w="855" w:type="dxa"/>
            <w:vAlign w:val="center"/>
          </w:tcPr>
          <w:p w:rsidR="00564892" w:rsidRDefault="00DD2B99">
            <w:pPr>
              <w:jc w:val="center"/>
            </w:pPr>
            <w:r>
              <w:rPr>
                <w:color w:val="000000"/>
                <w:sz w:val="24"/>
                <w:szCs w:val="24"/>
              </w:rPr>
              <w:t>8</w:t>
            </w:r>
          </w:p>
        </w:tc>
        <w:tc>
          <w:tcPr>
            <w:tcW w:w="1334" w:type="dxa"/>
            <w:vAlign w:val="center"/>
          </w:tcPr>
          <w:p w:rsidR="00564892" w:rsidRDefault="00DD2B99">
            <w:pPr>
              <w:jc w:val="center"/>
            </w:pPr>
            <w:r>
              <w:rPr>
                <w:color w:val="000000"/>
                <w:sz w:val="24"/>
                <w:szCs w:val="24"/>
              </w:rPr>
              <w:t>000623</w:t>
            </w:r>
          </w:p>
        </w:tc>
        <w:tc>
          <w:tcPr>
            <w:tcW w:w="1777" w:type="dxa"/>
            <w:vAlign w:val="center"/>
          </w:tcPr>
          <w:p w:rsidR="00564892" w:rsidRDefault="00DD2B99">
            <w:pPr>
              <w:jc w:val="center"/>
            </w:pPr>
            <w:r>
              <w:rPr>
                <w:color w:val="000000"/>
                <w:sz w:val="24"/>
                <w:szCs w:val="24"/>
              </w:rPr>
              <w:t>吉林敖东</w:t>
            </w:r>
          </w:p>
        </w:tc>
        <w:tc>
          <w:tcPr>
            <w:tcW w:w="1334" w:type="dxa"/>
            <w:vAlign w:val="center"/>
          </w:tcPr>
          <w:p w:rsidR="00564892" w:rsidRDefault="00DD2B99">
            <w:pPr>
              <w:jc w:val="right"/>
            </w:pPr>
            <w:r>
              <w:rPr>
                <w:color w:val="000000"/>
                <w:sz w:val="24"/>
                <w:szCs w:val="24"/>
              </w:rPr>
              <w:t>32,490</w:t>
            </w:r>
          </w:p>
        </w:tc>
        <w:tc>
          <w:tcPr>
            <w:tcW w:w="1924" w:type="dxa"/>
            <w:vAlign w:val="center"/>
          </w:tcPr>
          <w:p w:rsidR="00564892" w:rsidRDefault="00DD2B99">
            <w:pPr>
              <w:jc w:val="right"/>
            </w:pPr>
            <w:r>
              <w:rPr>
                <w:color w:val="000000"/>
                <w:sz w:val="24"/>
                <w:szCs w:val="24"/>
              </w:rPr>
              <w:t>504,244.80</w:t>
            </w:r>
          </w:p>
        </w:tc>
        <w:tc>
          <w:tcPr>
            <w:tcW w:w="1644" w:type="dxa"/>
            <w:vAlign w:val="center"/>
          </w:tcPr>
          <w:p w:rsidR="00564892" w:rsidRDefault="00DD2B99">
            <w:pPr>
              <w:jc w:val="right"/>
            </w:pPr>
            <w:r>
              <w:rPr>
                <w:color w:val="000000"/>
                <w:sz w:val="24"/>
                <w:szCs w:val="24"/>
              </w:rPr>
              <w:t>1.54</w:t>
            </w:r>
          </w:p>
        </w:tc>
      </w:tr>
      <w:tr w:rsidR="00564892">
        <w:trPr>
          <w:jc w:val="center"/>
        </w:trPr>
        <w:tc>
          <w:tcPr>
            <w:tcW w:w="855" w:type="dxa"/>
            <w:vAlign w:val="center"/>
          </w:tcPr>
          <w:p w:rsidR="00564892" w:rsidRDefault="00DD2B99">
            <w:pPr>
              <w:jc w:val="center"/>
            </w:pPr>
            <w:r>
              <w:rPr>
                <w:color w:val="000000"/>
                <w:sz w:val="24"/>
                <w:szCs w:val="24"/>
              </w:rPr>
              <w:t>9</w:t>
            </w:r>
          </w:p>
        </w:tc>
        <w:tc>
          <w:tcPr>
            <w:tcW w:w="1334" w:type="dxa"/>
            <w:vAlign w:val="center"/>
          </w:tcPr>
          <w:p w:rsidR="00564892" w:rsidRDefault="00DD2B99">
            <w:pPr>
              <w:jc w:val="center"/>
            </w:pPr>
            <w:r>
              <w:rPr>
                <w:color w:val="000000"/>
                <w:sz w:val="24"/>
                <w:szCs w:val="24"/>
              </w:rPr>
              <w:t>000768</w:t>
            </w:r>
          </w:p>
        </w:tc>
        <w:tc>
          <w:tcPr>
            <w:tcW w:w="1777" w:type="dxa"/>
            <w:vAlign w:val="center"/>
          </w:tcPr>
          <w:p w:rsidR="00564892" w:rsidRDefault="00DD2B99">
            <w:pPr>
              <w:jc w:val="center"/>
            </w:pPr>
            <w:r>
              <w:rPr>
                <w:color w:val="000000"/>
                <w:sz w:val="24"/>
                <w:szCs w:val="24"/>
              </w:rPr>
              <w:t>中航飞机</w:t>
            </w:r>
          </w:p>
        </w:tc>
        <w:tc>
          <w:tcPr>
            <w:tcW w:w="1334" w:type="dxa"/>
            <w:vAlign w:val="center"/>
          </w:tcPr>
          <w:p w:rsidR="00564892" w:rsidRDefault="00DD2B99">
            <w:pPr>
              <w:jc w:val="right"/>
            </w:pPr>
            <w:r>
              <w:rPr>
                <w:color w:val="000000"/>
                <w:sz w:val="24"/>
                <w:szCs w:val="24"/>
              </w:rPr>
              <w:t>46,600</w:t>
            </w:r>
          </w:p>
        </w:tc>
        <w:tc>
          <w:tcPr>
            <w:tcW w:w="1924" w:type="dxa"/>
            <w:vAlign w:val="center"/>
          </w:tcPr>
          <w:p w:rsidR="00564892" w:rsidRDefault="00DD2B99">
            <w:pPr>
              <w:jc w:val="right"/>
            </w:pPr>
            <w:r>
              <w:rPr>
                <w:color w:val="000000"/>
                <w:sz w:val="24"/>
                <w:szCs w:val="24"/>
              </w:rPr>
              <w:t>490,698.00</w:t>
            </w:r>
          </w:p>
        </w:tc>
        <w:tc>
          <w:tcPr>
            <w:tcW w:w="1644" w:type="dxa"/>
            <w:vAlign w:val="center"/>
          </w:tcPr>
          <w:p w:rsidR="00564892" w:rsidRDefault="00DD2B99">
            <w:pPr>
              <w:jc w:val="right"/>
            </w:pPr>
            <w:r>
              <w:rPr>
                <w:color w:val="000000"/>
                <w:sz w:val="24"/>
                <w:szCs w:val="24"/>
              </w:rPr>
              <w:t>1.50</w:t>
            </w:r>
          </w:p>
        </w:tc>
      </w:tr>
      <w:tr w:rsidR="00564892">
        <w:trPr>
          <w:jc w:val="center"/>
        </w:trPr>
        <w:tc>
          <w:tcPr>
            <w:tcW w:w="855" w:type="dxa"/>
            <w:vAlign w:val="center"/>
          </w:tcPr>
          <w:p w:rsidR="00564892" w:rsidRDefault="00DD2B99">
            <w:pPr>
              <w:jc w:val="center"/>
            </w:pPr>
            <w:r>
              <w:rPr>
                <w:color w:val="000000"/>
                <w:sz w:val="24"/>
                <w:szCs w:val="24"/>
              </w:rPr>
              <w:t>10</w:t>
            </w:r>
          </w:p>
        </w:tc>
        <w:tc>
          <w:tcPr>
            <w:tcW w:w="1334" w:type="dxa"/>
            <w:vAlign w:val="center"/>
          </w:tcPr>
          <w:p w:rsidR="00564892" w:rsidRDefault="00DD2B99">
            <w:pPr>
              <w:jc w:val="center"/>
            </w:pPr>
            <w:r>
              <w:rPr>
                <w:color w:val="000000"/>
                <w:sz w:val="24"/>
                <w:szCs w:val="24"/>
              </w:rPr>
              <w:t>300137</w:t>
            </w:r>
          </w:p>
        </w:tc>
        <w:tc>
          <w:tcPr>
            <w:tcW w:w="1777" w:type="dxa"/>
            <w:vAlign w:val="center"/>
          </w:tcPr>
          <w:p w:rsidR="00564892" w:rsidRDefault="00DD2B99">
            <w:pPr>
              <w:jc w:val="center"/>
            </w:pPr>
            <w:r>
              <w:rPr>
                <w:color w:val="000000"/>
                <w:sz w:val="24"/>
                <w:szCs w:val="24"/>
              </w:rPr>
              <w:t>先河环保</w:t>
            </w:r>
          </w:p>
        </w:tc>
        <w:tc>
          <w:tcPr>
            <w:tcW w:w="1334" w:type="dxa"/>
            <w:vAlign w:val="center"/>
          </w:tcPr>
          <w:p w:rsidR="00564892" w:rsidRDefault="00DD2B99">
            <w:pPr>
              <w:jc w:val="right"/>
            </w:pPr>
            <w:r>
              <w:rPr>
                <w:color w:val="000000"/>
                <w:sz w:val="24"/>
                <w:szCs w:val="24"/>
              </w:rPr>
              <w:t>22,965</w:t>
            </w:r>
          </w:p>
        </w:tc>
        <w:tc>
          <w:tcPr>
            <w:tcW w:w="1924" w:type="dxa"/>
            <w:vAlign w:val="center"/>
          </w:tcPr>
          <w:p w:rsidR="00564892" w:rsidRDefault="00DD2B99">
            <w:pPr>
              <w:jc w:val="right"/>
            </w:pPr>
            <w:r>
              <w:rPr>
                <w:color w:val="000000"/>
                <w:sz w:val="24"/>
                <w:szCs w:val="24"/>
              </w:rPr>
              <w:t>479,049.90</w:t>
            </w:r>
          </w:p>
        </w:tc>
        <w:tc>
          <w:tcPr>
            <w:tcW w:w="1644" w:type="dxa"/>
            <w:vAlign w:val="center"/>
          </w:tcPr>
          <w:p w:rsidR="00564892" w:rsidRDefault="00DD2B99">
            <w:pPr>
              <w:jc w:val="right"/>
            </w:pPr>
            <w:r>
              <w:rPr>
                <w:color w:val="000000"/>
                <w:sz w:val="24"/>
                <w:szCs w:val="24"/>
              </w:rPr>
              <w:t>1.46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35,588.00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35,588.00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64892">
        <w:trPr>
          <w:jc w:val="center"/>
        </w:trPr>
        <w:tc>
          <w:tcPr>
            <w:tcW w:w="850" w:type="dxa"/>
            <w:vAlign w:val="center"/>
          </w:tcPr>
          <w:p w:rsidR="00564892" w:rsidRDefault="00DD2B99">
            <w:pPr>
              <w:jc w:val="center"/>
            </w:pPr>
            <w:r>
              <w:rPr>
                <w:color w:val="000000"/>
                <w:sz w:val="24"/>
                <w:szCs w:val="24"/>
              </w:rPr>
              <w:t>1</w:t>
            </w:r>
          </w:p>
        </w:tc>
        <w:tc>
          <w:tcPr>
            <w:tcW w:w="1475" w:type="dxa"/>
            <w:vAlign w:val="center"/>
          </w:tcPr>
          <w:p w:rsidR="00564892" w:rsidRDefault="00DD2B99">
            <w:pPr>
              <w:jc w:val="center"/>
            </w:pPr>
            <w:r>
              <w:rPr>
                <w:color w:val="000000"/>
                <w:sz w:val="24"/>
                <w:szCs w:val="24"/>
              </w:rPr>
              <w:t>110025</w:t>
            </w:r>
          </w:p>
        </w:tc>
        <w:tc>
          <w:tcPr>
            <w:tcW w:w="1769" w:type="dxa"/>
            <w:vAlign w:val="center"/>
          </w:tcPr>
          <w:p w:rsidR="00564892" w:rsidRDefault="00DD2B99">
            <w:pPr>
              <w:jc w:val="center"/>
            </w:pPr>
            <w:r>
              <w:rPr>
                <w:color w:val="000000"/>
                <w:sz w:val="24"/>
                <w:szCs w:val="24"/>
              </w:rPr>
              <w:t>国金转债</w:t>
            </w:r>
          </w:p>
        </w:tc>
        <w:tc>
          <w:tcPr>
            <w:tcW w:w="1387" w:type="dxa"/>
            <w:vAlign w:val="center"/>
          </w:tcPr>
          <w:p w:rsidR="00564892" w:rsidRDefault="00DD2B99">
            <w:pPr>
              <w:jc w:val="right"/>
            </w:pPr>
            <w:r>
              <w:rPr>
                <w:color w:val="000000"/>
                <w:sz w:val="24"/>
                <w:szCs w:val="24"/>
              </w:rPr>
              <w:t>310</w:t>
            </w:r>
          </w:p>
        </w:tc>
        <w:tc>
          <w:tcPr>
            <w:tcW w:w="2150" w:type="dxa"/>
            <w:vAlign w:val="center"/>
          </w:tcPr>
          <w:p w:rsidR="00564892" w:rsidRDefault="00DD2B99">
            <w:pPr>
              <w:jc w:val="right"/>
            </w:pPr>
            <w:r>
              <w:rPr>
                <w:color w:val="000000"/>
                <w:sz w:val="24"/>
                <w:szCs w:val="24"/>
              </w:rPr>
              <w:t>35,588.00</w:t>
            </w:r>
          </w:p>
        </w:tc>
        <w:tc>
          <w:tcPr>
            <w:tcW w:w="1237" w:type="dxa"/>
            <w:vAlign w:val="center"/>
          </w:tcPr>
          <w:p w:rsidR="00564892" w:rsidRDefault="00DD2B99">
            <w:pPr>
              <w:jc w:val="right"/>
            </w:pPr>
            <w:r>
              <w:rPr>
                <w:color w:val="000000"/>
                <w:sz w:val="24"/>
                <w:szCs w:val="24"/>
              </w:rPr>
              <w:t>0.11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13,136.85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1,455.27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1,688.11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16,280.23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64892">
        <w:trPr>
          <w:jc w:val="center"/>
        </w:trPr>
        <w:tc>
          <w:tcPr>
            <w:tcW w:w="1129" w:type="dxa"/>
            <w:vAlign w:val="center"/>
          </w:tcPr>
          <w:p w:rsidR="00564892" w:rsidRDefault="00DD2B99">
            <w:pPr>
              <w:jc w:val="center"/>
            </w:pPr>
            <w:r>
              <w:rPr>
                <w:color w:val="000000"/>
                <w:sz w:val="24"/>
                <w:szCs w:val="24"/>
              </w:rPr>
              <w:t>1</w:t>
            </w:r>
          </w:p>
        </w:tc>
        <w:tc>
          <w:tcPr>
            <w:tcW w:w="1356" w:type="dxa"/>
            <w:vAlign w:val="center"/>
          </w:tcPr>
          <w:p w:rsidR="00564892" w:rsidRDefault="00DD2B99">
            <w:pPr>
              <w:jc w:val="center"/>
            </w:pPr>
            <w:r>
              <w:rPr>
                <w:color w:val="000000"/>
                <w:sz w:val="24"/>
                <w:szCs w:val="24"/>
              </w:rPr>
              <w:t>300137</w:t>
            </w:r>
          </w:p>
        </w:tc>
        <w:tc>
          <w:tcPr>
            <w:tcW w:w="1355" w:type="dxa"/>
            <w:vAlign w:val="center"/>
          </w:tcPr>
          <w:p w:rsidR="00564892" w:rsidRDefault="00DD2B99">
            <w:pPr>
              <w:jc w:val="center"/>
            </w:pPr>
            <w:r>
              <w:rPr>
                <w:color w:val="000000"/>
                <w:sz w:val="24"/>
                <w:szCs w:val="24"/>
              </w:rPr>
              <w:t>先河环保</w:t>
            </w:r>
          </w:p>
        </w:tc>
        <w:tc>
          <w:tcPr>
            <w:tcW w:w="1880" w:type="dxa"/>
            <w:vAlign w:val="center"/>
          </w:tcPr>
          <w:p w:rsidR="00564892" w:rsidRDefault="00DD2B99">
            <w:pPr>
              <w:jc w:val="right"/>
            </w:pPr>
            <w:r>
              <w:rPr>
                <w:color w:val="000000"/>
                <w:sz w:val="24"/>
                <w:szCs w:val="24"/>
              </w:rPr>
              <w:t>479,049.90</w:t>
            </w:r>
          </w:p>
        </w:tc>
        <w:tc>
          <w:tcPr>
            <w:tcW w:w="1724" w:type="dxa"/>
            <w:vAlign w:val="center"/>
          </w:tcPr>
          <w:p w:rsidR="00564892" w:rsidRDefault="00DD2B99">
            <w:pPr>
              <w:jc w:val="right"/>
            </w:pPr>
            <w:r>
              <w:rPr>
                <w:color w:val="000000"/>
                <w:sz w:val="24"/>
                <w:szCs w:val="24"/>
              </w:rPr>
              <w:t>1.46</w:t>
            </w:r>
          </w:p>
        </w:tc>
        <w:tc>
          <w:tcPr>
            <w:tcW w:w="1424" w:type="dxa"/>
            <w:vAlign w:val="center"/>
          </w:tcPr>
          <w:p w:rsidR="00564892" w:rsidRDefault="00DD2B99">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33,542,099.98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279,782.58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489,816.78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33,332,065.78</w:t>
            </w:r>
          </w:p>
        </w:tc>
      </w:tr>
    </w:tbl>
    <w:p w:rsidR="00564892" w:rsidRDefault="00DD2B9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DD2B9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60.02</w:t>
            </w:r>
          </w:p>
        </w:tc>
      </w:tr>
    </w:tbl>
    <w:p w:rsidR="00564892" w:rsidRDefault="00DD2B9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DD2B9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64892" w:rsidRDefault="00DD2B9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564892" w:rsidRDefault="00DD2B9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、《交银施罗德阿尔法核心股票型证券投资基金基金合同》；</w:t>
      </w:r>
      <w:r>
        <w:rPr>
          <w:color w:val="000000"/>
          <w:sz w:val="24"/>
          <w:szCs w:val="24"/>
        </w:rPr>
        <w:t xml:space="preserve"> </w:t>
      </w:r>
    </w:p>
    <w:p w:rsidR="00564892" w:rsidRDefault="00DD2B9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、《交银施罗德阿尔法核心股票型证券投资基金招募说明书》；</w:t>
      </w:r>
      <w:r>
        <w:rPr>
          <w:color w:val="000000"/>
          <w:sz w:val="24"/>
          <w:szCs w:val="24"/>
        </w:rPr>
        <w:t xml:space="preserve"> </w:t>
      </w:r>
    </w:p>
    <w:p w:rsidR="00564892" w:rsidRDefault="00DD2B9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、《交银施罗德阿尔法核心股票型证券投资基金托管协议》；</w:t>
      </w:r>
    </w:p>
    <w:p w:rsidR="00564892" w:rsidRDefault="00DD2B99">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564892" w:rsidRDefault="00DD2B9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564892" w:rsidRDefault="00DD2B9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64892" w:rsidRDefault="00DD2B9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72B" w:rsidRDefault="00EB572B" w:rsidP="00876D65">
      <w:r>
        <w:separator/>
      </w:r>
    </w:p>
  </w:endnote>
  <w:endnote w:type="continuationSeparator" w:id="0">
    <w:p w:rsidR="00EB572B" w:rsidRDefault="00EB572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64892">
      <w:rPr>
        <w:kern w:val="0"/>
        <w:szCs w:val="21"/>
      </w:rPr>
      <w:fldChar w:fldCharType="begin"/>
    </w:r>
    <w:r>
      <w:rPr>
        <w:kern w:val="0"/>
        <w:szCs w:val="21"/>
      </w:rPr>
      <w:instrText xml:space="preserve"> PAGE </w:instrText>
    </w:r>
    <w:r w:rsidR="00564892">
      <w:rPr>
        <w:kern w:val="0"/>
        <w:szCs w:val="21"/>
      </w:rPr>
      <w:fldChar w:fldCharType="separate"/>
    </w:r>
    <w:r w:rsidR="004534AA">
      <w:rPr>
        <w:noProof/>
        <w:kern w:val="0"/>
        <w:szCs w:val="21"/>
      </w:rPr>
      <w:t>1</w:t>
    </w:r>
    <w:r w:rsidR="00564892">
      <w:rPr>
        <w:kern w:val="0"/>
        <w:szCs w:val="21"/>
      </w:rPr>
      <w:fldChar w:fldCharType="end"/>
    </w:r>
    <w:r>
      <w:rPr>
        <w:rFonts w:hint="eastAsia"/>
        <w:kern w:val="0"/>
        <w:szCs w:val="21"/>
      </w:rPr>
      <w:t>页共</w:t>
    </w:r>
    <w:r w:rsidR="00564892">
      <w:rPr>
        <w:kern w:val="0"/>
        <w:szCs w:val="21"/>
      </w:rPr>
      <w:fldChar w:fldCharType="begin"/>
    </w:r>
    <w:r>
      <w:rPr>
        <w:kern w:val="0"/>
        <w:szCs w:val="21"/>
      </w:rPr>
      <w:instrText xml:space="preserve"> NUMPAGES </w:instrText>
    </w:r>
    <w:r w:rsidR="00564892">
      <w:rPr>
        <w:kern w:val="0"/>
        <w:szCs w:val="21"/>
      </w:rPr>
      <w:fldChar w:fldCharType="separate"/>
    </w:r>
    <w:r w:rsidR="004534AA">
      <w:rPr>
        <w:noProof/>
        <w:kern w:val="0"/>
        <w:szCs w:val="21"/>
      </w:rPr>
      <w:t>11</w:t>
    </w:r>
    <w:r w:rsidR="0056489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72B" w:rsidRDefault="00EB572B" w:rsidP="00876D65">
      <w:r>
        <w:separator/>
      </w:r>
    </w:p>
  </w:footnote>
  <w:footnote w:type="continuationSeparator" w:id="0">
    <w:p w:rsidR="00EB572B" w:rsidRDefault="00EB572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534AA"/>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4892"/>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D2B99"/>
    <w:rsid w:val="00DE27F7"/>
    <w:rsid w:val="00DE4B43"/>
    <w:rsid w:val="00E02660"/>
    <w:rsid w:val="00E36549"/>
    <w:rsid w:val="00E40D31"/>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95C6F7A-62BC-482D-8179-66BD0F05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BB273-1D5B-40CD-8A02-541DD181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11</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528</cp:revision>
  <dcterms:created xsi:type="dcterms:W3CDTF">2012-10-16T06:07:00Z</dcterms:created>
  <dcterms:modified xsi:type="dcterms:W3CDTF">2014-07-15T09:08:00Z</dcterms:modified>
</cp:coreProperties>
</file>