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12658D" w:rsidRPr="00324C76" w:rsidRDefault="0012658D" w:rsidP="00B04217">
      <w:pPr>
        <w:autoSpaceDE w:val="0"/>
        <w:autoSpaceDN w:val="0"/>
        <w:adjustRightInd w:val="0"/>
        <w:spacing w:before="29" w:line="288" w:lineRule="auto"/>
        <w:jc w:val="left"/>
        <w:rPr>
          <w:color w:val="000000"/>
          <w:kern w:val="0"/>
          <w:sz w:val="24"/>
        </w:rPr>
      </w:pPr>
    </w:p>
    <w:p w:rsidR="0012658D" w:rsidRPr="006C615F" w:rsidRDefault="0012658D" w:rsidP="00B04217">
      <w:pPr>
        <w:spacing w:before="29" w:line="288" w:lineRule="auto"/>
        <w:jc w:val="center"/>
        <w:rPr>
          <w:b/>
          <w:sz w:val="36"/>
          <w:szCs w:val="36"/>
        </w:rPr>
      </w:pPr>
      <w:r w:rsidRPr="006C615F">
        <w:rPr>
          <w:b/>
          <w:sz w:val="36"/>
          <w:szCs w:val="36"/>
        </w:rPr>
        <w:t>交银施罗德深证</w:t>
      </w:r>
      <w:r w:rsidRPr="006C615F">
        <w:rPr>
          <w:b/>
          <w:sz w:val="36"/>
          <w:szCs w:val="36"/>
        </w:rPr>
        <w:t>300</w:t>
      </w:r>
      <w:r w:rsidRPr="006C615F">
        <w:rPr>
          <w:b/>
          <w:sz w:val="36"/>
          <w:szCs w:val="36"/>
        </w:rPr>
        <w:t>价值交易型开放式指数证券投资基金联接基金</w:t>
      </w:r>
    </w:p>
    <w:p w:rsidR="0012658D" w:rsidRPr="006C615F" w:rsidRDefault="0012658D" w:rsidP="00B04217">
      <w:pPr>
        <w:spacing w:before="29" w:line="288" w:lineRule="auto"/>
        <w:jc w:val="center"/>
        <w:rPr>
          <w:b/>
          <w:sz w:val="36"/>
          <w:szCs w:val="36"/>
        </w:rPr>
      </w:pPr>
      <w:r w:rsidRPr="006C615F">
        <w:rPr>
          <w:b/>
          <w:sz w:val="36"/>
          <w:szCs w:val="36"/>
        </w:rPr>
        <w:t>2014</w:t>
      </w:r>
      <w:r w:rsidRPr="006C615F">
        <w:rPr>
          <w:b/>
          <w:sz w:val="36"/>
          <w:szCs w:val="36"/>
        </w:rPr>
        <w:t>年第</w:t>
      </w:r>
      <w:r w:rsidRPr="006C615F">
        <w:rPr>
          <w:b/>
          <w:sz w:val="36"/>
          <w:szCs w:val="36"/>
        </w:rPr>
        <w:t>2</w:t>
      </w:r>
      <w:r w:rsidRPr="006C615F">
        <w:rPr>
          <w:b/>
          <w:sz w:val="36"/>
          <w:szCs w:val="36"/>
        </w:rPr>
        <w:t>季度报告</w:t>
      </w:r>
    </w:p>
    <w:p w:rsidR="00943748" w:rsidRPr="006C615F" w:rsidRDefault="003251EE" w:rsidP="00B04217">
      <w:pPr>
        <w:spacing w:before="29" w:line="288" w:lineRule="auto"/>
        <w:jc w:val="center"/>
        <w:rPr>
          <w:b/>
          <w:sz w:val="36"/>
          <w:szCs w:val="36"/>
        </w:rPr>
      </w:pPr>
      <w:r w:rsidRPr="006C615F">
        <w:rPr>
          <w:b/>
          <w:sz w:val="36"/>
          <w:szCs w:val="36"/>
        </w:rPr>
        <w:t>2014</w:t>
      </w:r>
      <w:r w:rsidRPr="006C615F">
        <w:rPr>
          <w:b/>
          <w:sz w:val="36"/>
          <w:szCs w:val="36"/>
        </w:rPr>
        <w:t>年</w:t>
      </w:r>
      <w:r w:rsidRPr="006C615F">
        <w:rPr>
          <w:b/>
          <w:sz w:val="36"/>
          <w:szCs w:val="36"/>
        </w:rPr>
        <w:t>6</w:t>
      </w:r>
      <w:r w:rsidRPr="006C615F">
        <w:rPr>
          <w:b/>
          <w:sz w:val="36"/>
          <w:szCs w:val="36"/>
        </w:rPr>
        <w:t>月</w:t>
      </w:r>
      <w:r w:rsidRPr="006C615F">
        <w:rPr>
          <w:b/>
          <w:sz w:val="36"/>
          <w:szCs w:val="36"/>
        </w:rPr>
        <w:t>30</w:t>
      </w:r>
      <w:r w:rsidRPr="006C615F">
        <w:rPr>
          <w:b/>
          <w:sz w:val="36"/>
          <w:szCs w:val="36"/>
        </w:rPr>
        <w:t>日</w:t>
      </w: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rPr>
          <w:b/>
          <w:sz w:val="24"/>
        </w:rPr>
      </w:pP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基金管理人：</w:t>
      </w:r>
      <w:r w:rsidR="00446302" w:rsidRPr="006C615F">
        <w:rPr>
          <w:b/>
          <w:color w:val="000000"/>
          <w:sz w:val="24"/>
        </w:rPr>
        <w:t>交银施罗德基金管理有限公司</w:t>
      </w: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基金托管人：</w:t>
      </w:r>
      <w:r w:rsidR="00446302" w:rsidRPr="006C615F">
        <w:rPr>
          <w:b/>
          <w:color w:val="000000"/>
          <w:sz w:val="24"/>
        </w:rPr>
        <w:t>中国农业银行股份有限公司</w:t>
      </w:r>
    </w:p>
    <w:p w:rsidR="00943748" w:rsidRPr="006C615F" w:rsidRDefault="00943748" w:rsidP="00B04217">
      <w:pPr>
        <w:spacing w:before="29" w:line="288" w:lineRule="auto"/>
        <w:ind w:firstLineChars="900" w:firstLine="2168"/>
        <w:rPr>
          <w:b/>
          <w:color w:val="000000"/>
          <w:sz w:val="24"/>
        </w:rPr>
        <w:sectPr w:rsidR="00943748" w:rsidRPr="006C615F" w:rsidSect="00412E7F">
          <w:headerReference w:type="default" r:id="rId8"/>
          <w:footerReference w:type="default" r:id="rId9"/>
          <w:pgSz w:w="11926" w:h="15840"/>
          <w:pgMar w:top="1418" w:right="1440" w:bottom="851" w:left="1440" w:header="851" w:footer="992" w:gutter="0"/>
          <w:cols w:space="720"/>
          <w:noEndnote/>
        </w:sectPr>
      </w:pPr>
      <w:r w:rsidRPr="006C615F">
        <w:rPr>
          <w:b/>
          <w:color w:val="000000"/>
          <w:sz w:val="24"/>
        </w:rPr>
        <w:t>报告送出日期：</w:t>
      </w:r>
      <w:r w:rsidR="00AB5C7D" w:rsidRPr="006C615F">
        <w:rPr>
          <w:b/>
          <w:color w:val="000000"/>
          <w:sz w:val="24"/>
        </w:rPr>
        <w:t>二〇一四年七月十九日</w:t>
      </w:r>
    </w:p>
    <w:p w:rsidR="00220542" w:rsidRPr="00324C76" w:rsidRDefault="00220542" w:rsidP="000D1073">
      <w:pPr>
        <w:pStyle w:val="1"/>
        <w:spacing w:beforeLines="100" w:afterLines="100" w:line="288" w:lineRule="auto"/>
        <w:jc w:val="center"/>
        <w:rPr>
          <w:b w:val="0"/>
          <w:kern w:val="0"/>
          <w:sz w:val="24"/>
          <w:szCs w:val="24"/>
        </w:rPr>
      </w:pPr>
      <w:r w:rsidRPr="00324C76">
        <w:rPr>
          <w:kern w:val="0"/>
          <w:sz w:val="24"/>
          <w:szCs w:val="24"/>
        </w:rPr>
        <w:lastRenderedPageBreak/>
        <w:t xml:space="preserve">§1  </w:t>
      </w:r>
      <w:r w:rsidRPr="00324C76">
        <w:rPr>
          <w:kern w:val="0"/>
          <w:sz w:val="24"/>
          <w:szCs w:val="24"/>
        </w:rPr>
        <w:t>重要提示</w:t>
      </w:r>
    </w:p>
    <w:p w:rsidR="002912CC" w:rsidRDefault="0068103A">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2912CC" w:rsidRDefault="0068103A">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2014</w:t>
      </w:r>
      <w:r>
        <w:rPr>
          <w:color w:val="000000"/>
          <w:sz w:val="24"/>
        </w:rPr>
        <w:t>年</w:t>
      </w:r>
      <w:r>
        <w:rPr>
          <w:color w:val="000000"/>
          <w:sz w:val="24"/>
        </w:rPr>
        <w:t>7</w:t>
      </w:r>
      <w:r>
        <w:rPr>
          <w:color w:val="000000"/>
          <w:sz w:val="24"/>
        </w:rPr>
        <w:t>月</w:t>
      </w:r>
      <w:r>
        <w:rPr>
          <w:color w:val="000000"/>
          <w:sz w:val="24"/>
        </w:rPr>
        <w:t>18</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2912CC" w:rsidRDefault="0068103A">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2912CC" w:rsidRDefault="0068103A">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2912CC" w:rsidRDefault="0068103A">
      <w:pPr>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220542" w:rsidRPr="00324C76" w:rsidRDefault="00446302" w:rsidP="00B04217">
      <w:pPr>
        <w:spacing w:before="29" w:line="288" w:lineRule="auto"/>
        <w:ind w:firstLineChars="200" w:firstLine="480"/>
        <w:rPr>
          <w:color w:val="000000"/>
          <w:sz w:val="24"/>
        </w:rPr>
      </w:pPr>
      <w:r w:rsidRPr="00324C76">
        <w:rPr>
          <w:color w:val="000000"/>
          <w:sz w:val="24"/>
        </w:rPr>
        <w:t>本报告期自</w:t>
      </w:r>
      <w:r w:rsidRPr="00324C76">
        <w:rPr>
          <w:color w:val="000000"/>
          <w:sz w:val="24"/>
        </w:rPr>
        <w:t>2014</w:t>
      </w:r>
      <w:r w:rsidRPr="00324C76">
        <w:rPr>
          <w:color w:val="000000"/>
          <w:sz w:val="24"/>
        </w:rPr>
        <w:t>年</w:t>
      </w:r>
      <w:r w:rsidRPr="00324C76">
        <w:rPr>
          <w:color w:val="000000"/>
          <w:sz w:val="24"/>
        </w:rPr>
        <w:t>4</w:t>
      </w:r>
      <w:r w:rsidRPr="00324C76">
        <w:rPr>
          <w:color w:val="000000"/>
          <w:sz w:val="24"/>
        </w:rPr>
        <w:t>月</w:t>
      </w:r>
      <w:r w:rsidRPr="00324C76">
        <w:rPr>
          <w:color w:val="000000"/>
          <w:sz w:val="24"/>
        </w:rPr>
        <w:t>1</w:t>
      </w:r>
      <w:r w:rsidRPr="00324C76">
        <w:rPr>
          <w:color w:val="000000"/>
          <w:sz w:val="24"/>
        </w:rPr>
        <w:t>日起至</w:t>
      </w:r>
      <w:r w:rsidRPr="00324C76">
        <w:rPr>
          <w:color w:val="000000"/>
          <w:sz w:val="24"/>
        </w:rPr>
        <w:t>6</w:t>
      </w:r>
      <w:r w:rsidRPr="00324C76">
        <w:rPr>
          <w:color w:val="000000"/>
          <w:sz w:val="24"/>
        </w:rPr>
        <w:t>月</w:t>
      </w:r>
      <w:r w:rsidRPr="00324C76">
        <w:rPr>
          <w:color w:val="000000"/>
          <w:sz w:val="24"/>
        </w:rPr>
        <w:t>30</w:t>
      </w:r>
      <w:r w:rsidRPr="00324C76">
        <w:rPr>
          <w:color w:val="000000"/>
          <w:sz w:val="24"/>
        </w:rPr>
        <w:t>日止。</w:t>
      </w:r>
    </w:p>
    <w:p w:rsidR="002A5D65" w:rsidRPr="00324C76" w:rsidRDefault="002A5D65" w:rsidP="00B04217">
      <w:pPr>
        <w:spacing w:before="29" w:line="288" w:lineRule="auto"/>
        <w:ind w:firstLineChars="200" w:firstLine="480"/>
        <w:rPr>
          <w:sz w:val="24"/>
        </w:rPr>
      </w:pPr>
    </w:p>
    <w:p w:rsidR="00220542" w:rsidRPr="00324C76" w:rsidRDefault="00220542" w:rsidP="000D1073">
      <w:pPr>
        <w:pStyle w:val="1"/>
        <w:spacing w:beforeLines="100" w:afterLines="100" w:line="288" w:lineRule="auto"/>
        <w:jc w:val="center"/>
        <w:rPr>
          <w:kern w:val="0"/>
          <w:sz w:val="24"/>
          <w:szCs w:val="24"/>
        </w:rPr>
      </w:pPr>
      <w:r w:rsidRPr="00324C76">
        <w:rPr>
          <w:kern w:val="0"/>
          <w:sz w:val="24"/>
          <w:szCs w:val="24"/>
        </w:rPr>
        <w:t xml:space="preserve">§2  </w:t>
      </w:r>
      <w:r w:rsidRPr="00324C76">
        <w:rPr>
          <w:kern w:val="0"/>
          <w:sz w:val="24"/>
          <w:szCs w:val="24"/>
        </w:rPr>
        <w:t>基金产品概况</w:t>
      </w:r>
    </w:p>
    <w:p w:rsidR="00B72596" w:rsidRPr="00324C76" w:rsidRDefault="00B72596" w:rsidP="00B04217">
      <w:pPr>
        <w:pStyle w:val="2"/>
        <w:keepNext w:val="0"/>
        <w:keepLines w:val="0"/>
        <w:spacing w:before="29" w:after="0" w:line="288" w:lineRule="auto"/>
        <w:rPr>
          <w:rFonts w:ascii="Times New Roman" w:hAnsi="Times New Roman" w:cs="Times New Roman"/>
          <w:szCs w:val="24"/>
        </w:rPr>
      </w:pPr>
      <w:bookmarkStart w:id="0" w:name="_Toc245193810"/>
      <w:r w:rsidRPr="00324C76">
        <w:rPr>
          <w:rFonts w:ascii="Times New Roman" w:hAnsi="Times New Roman" w:cs="Times New Roman"/>
          <w:szCs w:val="24"/>
        </w:rPr>
        <w:t>2.1</w:t>
      </w:r>
      <w:bookmarkEnd w:id="0"/>
      <w:r w:rsidR="00D33822" w:rsidRPr="00324C76">
        <w:rPr>
          <w:rFonts w:ascii="Times New Roman" w:hAnsi="Times New Roman" w:cs="Times New Roman"/>
          <w:szCs w:val="24"/>
        </w:rPr>
        <w:t>基金基本情况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3"/>
        <w:gridCol w:w="2922"/>
        <w:gridCol w:w="2923"/>
      </w:tblGrid>
      <w:tr w:rsidR="00446302" w:rsidRPr="00324C76" w:rsidTr="00C1750D">
        <w:trPr>
          <w:jc w:val="center"/>
        </w:trPr>
        <w:tc>
          <w:tcPr>
            <w:tcW w:w="2835" w:type="dxa"/>
            <w:vAlign w:val="center"/>
          </w:tcPr>
          <w:p w:rsidR="00446302" w:rsidRPr="00324C76" w:rsidRDefault="00446302" w:rsidP="00B04217">
            <w:pPr>
              <w:adjustRightInd w:val="0"/>
              <w:spacing w:before="29" w:line="288" w:lineRule="auto"/>
              <w:ind w:left="17"/>
              <w:jc w:val="left"/>
              <w:rPr>
                <w:kern w:val="0"/>
                <w:sz w:val="24"/>
              </w:rPr>
            </w:pPr>
            <w:r w:rsidRPr="00324C76">
              <w:rPr>
                <w:kern w:val="0"/>
                <w:sz w:val="24"/>
              </w:rPr>
              <w:t>基金简称</w:t>
            </w:r>
          </w:p>
        </w:tc>
        <w:tc>
          <w:tcPr>
            <w:tcW w:w="5479" w:type="dxa"/>
            <w:gridSpan w:val="2"/>
            <w:vAlign w:val="center"/>
          </w:tcPr>
          <w:p w:rsidR="00446302" w:rsidRPr="00324C76" w:rsidRDefault="00446302" w:rsidP="00B04217">
            <w:pPr>
              <w:adjustRightInd w:val="0"/>
              <w:spacing w:before="29" w:line="288" w:lineRule="auto"/>
              <w:ind w:left="17"/>
              <w:jc w:val="left"/>
              <w:rPr>
                <w:color w:val="000000"/>
                <w:kern w:val="0"/>
                <w:sz w:val="24"/>
              </w:rPr>
            </w:pPr>
            <w:r w:rsidRPr="00324C76">
              <w:rPr>
                <w:color w:val="000000"/>
                <w:kern w:val="0"/>
                <w:sz w:val="24"/>
              </w:rPr>
              <w:t>交银深证</w:t>
            </w:r>
            <w:r w:rsidRPr="00324C76">
              <w:rPr>
                <w:color w:val="000000"/>
                <w:kern w:val="0"/>
                <w:sz w:val="24"/>
              </w:rPr>
              <w:t>300</w:t>
            </w:r>
            <w:r w:rsidRPr="00324C76">
              <w:rPr>
                <w:color w:val="000000"/>
                <w:kern w:val="0"/>
                <w:sz w:val="24"/>
              </w:rPr>
              <w:t>价值</w:t>
            </w:r>
            <w:r w:rsidRPr="00324C76">
              <w:rPr>
                <w:color w:val="000000"/>
                <w:kern w:val="0"/>
                <w:sz w:val="24"/>
              </w:rPr>
              <w:t>ETF</w:t>
            </w:r>
            <w:r w:rsidRPr="00324C76">
              <w:rPr>
                <w:color w:val="000000"/>
                <w:kern w:val="0"/>
                <w:sz w:val="24"/>
              </w:rPr>
              <w:t>联接</w:t>
            </w:r>
          </w:p>
        </w:tc>
      </w:tr>
      <w:tr w:rsidR="00234D01" w:rsidRPr="00324C76" w:rsidTr="00C1750D">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基金主代码</w:t>
            </w:r>
          </w:p>
        </w:tc>
        <w:tc>
          <w:tcPr>
            <w:tcW w:w="5479" w:type="dxa"/>
            <w:gridSpan w:val="2"/>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519706</w:t>
            </w:r>
          </w:p>
        </w:tc>
      </w:tr>
      <w:tr w:rsidR="00234D01" w:rsidRPr="00324C76" w:rsidTr="00C1750D">
        <w:trPr>
          <w:jc w:val="center"/>
        </w:trPr>
        <w:tc>
          <w:tcPr>
            <w:tcW w:w="2835"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交易代码</w:t>
            </w:r>
          </w:p>
        </w:tc>
        <w:tc>
          <w:tcPr>
            <w:tcW w:w="2739"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519706</w:t>
            </w:r>
            <w:r w:rsidR="003C6409" w:rsidRPr="00324C76">
              <w:rPr>
                <w:color w:val="000000"/>
                <w:kern w:val="0"/>
                <w:sz w:val="24"/>
              </w:rPr>
              <w:t>(</w:t>
            </w:r>
            <w:r w:rsidR="00526BBC" w:rsidRPr="00324C76">
              <w:rPr>
                <w:color w:val="000000"/>
                <w:kern w:val="0"/>
                <w:sz w:val="24"/>
              </w:rPr>
              <w:t>前端</w:t>
            </w:r>
            <w:r w:rsidR="003C6409" w:rsidRPr="00324C76">
              <w:rPr>
                <w:color w:val="000000"/>
                <w:kern w:val="0"/>
                <w:sz w:val="24"/>
              </w:rPr>
              <w:t>)</w:t>
            </w:r>
          </w:p>
        </w:tc>
        <w:tc>
          <w:tcPr>
            <w:tcW w:w="2740"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519707</w:t>
            </w:r>
            <w:r w:rsidR="003C6409" w:rsidRPr="00324C76">
              <w:rPr>
                <w:color w:val="000000"/>
                <w:kern w:val="0"/>
                <w:sz w:val="24"/>
              </w:rPr>
              <w:t>(</w:t>
            </w:r>
            <w:r w:rsidRPr="00324C76">
              <w:rPr>
                <w:color w:val="000000"/>
                <w:kern w:val="0"/>
                <w:sz w:val="24"/>
              </w:rPr>
              <w:t>后端</w:t>
            </w:r>
            <w:r w:rsidR="003C6409" w:rsidRPr="00324C76">
              <w:rPr>
                <w:color w:val="000000"/>
                <w:kern w:val="0"/>
                <w:sz w:val="24"/>
              </w:rPr>
              <w:t>)</w:t>
            </w:r>
          </w:p>
        </w:tc>
      </w:tr>
      <w:tr w:rsidR="00446302" w:rsidRPr="00324C76" w:rsidTr="00C1750D">
        <w:trPr>
          <w:jc w:val="center"/>
        </w:trPr>
        <w:tc>
          <w:tcPr>
            <w:tcW w:w="2835"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基金运作方式</w:t>
            </w:r>
          </w:p>
        </w:tc>
        <w:tc>
          <w:tcPr>
            <w:tcW w:w="5479"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契约型开放式</w:t>
            </w:r>
          </w:p>
        </w:tc>
      </w:tr>
      <w:tr w:rsidR="00446302" w:rsidRPr="00324C76" w:rsidTr="00C1750D">
        <w:trPr>
          <w:jc w:val="center"/>
        </w:trPr>
        <w:tc>
          <w:tcPr>
            <w:tcW w:w="2835"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基金合同生效日</w:t>
            </w:r>
          </w:p>
        </w:tc>
        <w:tc>
          <w:tcPr>
            <w:tcW w:w="5479" w:type="dxa"/>
            <w:gridSpan w:val="2"/>
            <w:vAlign w:val="center"/>
          </w:tcPr>
          <w:p w:rsidR="00446302" w:rsidRPr="00324C76" w:rsidRDefault="00C26024" w:rsidP="00B04217">
            <w:pPr>
              <w:adjustRightInd w:val="0"/>
              <w:spacing w:before="29" w:line="288" w:lineRule="auto"/>
              <w:ind w:left="17"/>
              <w:jc w:val="left"/>
              <w:rPr>
                <w:color w:val="000000"/>
                <w:sz w:val="24"/>
              </w:rPr>
            </w:pPr>
            <w:r w:rsidRPr="00324C76">
              <w:rPr>
                <w:color w:val="000000"/>
                <w:kern w:val="0"/>
                <w:sz w:val="24"/>
              </w:rPr>
              <w:t>2011</w:t>
            </w:r>
            <w:r w:rsidRPr="00324C76">
              <w:rPr>
                <w:color w:val="000000"/>
                <w:kern w:val="0"/>
                <w:sz w:val="24"/>
              </w:rPr>
              <w:t>年</w:t>
            </w:r>
            <w:r w:rsidRPr="00324C76">
              <w:rPr>
                <w:color w:val="000000"/>
                <w:kern w:val="0"/>
                <w:sz w:val="24"/>
              </w:rPr>
              <w:t>9</w:t>
            </w:r>
            <w:r w:rsidRPr="00324C76">
              <w:rPr>
                <w:color w:val="000000"/>
                <w:kern w:val="0"/>
                <w:sz w:val="24"/>
              </w:rPr>
              <w:t>月</w:t>
            </w:r>
            <w:r w:rsidRPr="00324C76">
              <w:rPr>
                <w:color w:val="000000"/>
                <w:kern w:val="0"/>
                <w:sz w:val="24"/>
              </w:rPr>
              <w:t>28</w:t>
            </w:r>
            <w:r w:rsidRPr="00324C76">
              <w:rPr>
                <w:color w:val="000000"/>
                <w:kern w:val="0"/>
                <w:sz w:val="24"/>
              </w:rPr>
              <w:t>日</w:t>
            </w:r>
          </w:p>
        </w:tc>
      </w:tr>
      <w:tr w:rsidR="00446302" w:rsidRPr="00324C76" w:rsidTr="00C1750D">
        <w:trPr>
          <w:jc w:val="center"/>
        </w:trPr>
        <w:tc>
          <w:tcPr>
            <w:tcW w:w="2835"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报告期末基金份额总额</w:t>
            </w:r>
          </w:p>
        </w:tc>
        <w:tc>
          <w:tcPr>
            <w:tcW w:w="5479"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48,824,581.82</w:t>
            </w:r>
            <w:r w:rsidR="0083349B" w:rsidRPr="00324C76">
              <w:rPr>
                <w:color w:val="000000"/>
                <w:kern w:val="0"/>
                <w:sz w:val="24"/>
              </w:rPr>
              <w:t>份</w:t>
            </w:r>
          </w:p>
        </w:tc>
      </w:tr>
      <w:tr w:rsidR="00446302" w:rsidRPr="00324C76" w:rsidTr="00C1750D">
        <w:trPr>
          <w:jc w:val="center"/>
        </w:trPr>
        <w:tc>
          <w:tcPr>
            <w:tcW w:w="2835"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投资目标</w:t>
            </w:r>
          </w:p>
        </w:tc>
        <w:tc>
          <w:tcPr>
            <w:tcW w:w="5479"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紧密跟踪标的指数，追求跟踪偏离度与跟踪误差最小化。</w:t>
            </w:r>
          </w:p>
        </w:tc>
      </w:tr>
      <w:tr w:rsidR="00446302" w:rsidRPr="00324C76" w:rsidTr="00C1750D">
        <w:trPr>
          <w:jc w:val="center"/>
        </w:trPr>
        <w:tc>
          <w:tcPr>
            <w:tcW w:w="2835"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投资策略</w:t>
            </w:r>
          </w:p>
        </w:tc>
        <w:tc>
          <w:tcPr>
            <w:tcW w:w="5479"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本基金通过把全部或接近全部的基金资产投资于目标</w:t>
            </w:r>
            <w:r w:rsidRPr="00324C76">
              <w:rPr>
                <w:color w:val="000000"/>
                <w:kern w:val="0"/>
                <w:sz w:val="24"/>
              </w:rPr>
              <w:t>ETF</w:t>
            </w:r>
            <w:r w:rsidRPr="00324C76">
              <w:rPr>
                <w:color w:val="000000"/>
                <w:kern w:val="0"/>
                <w:sz w:val="24"/>
              </w:rPr>
              <w:t>、标的指数成份股和备选成份股进行被动式指数化投资，正常情况下投资于目标</w:t>
            </w:r>
            <w:r w:rsidRPr="00324C76">
              <w:rPr>
                <w:color w:val="000000"/>
                <w:kern w:val="0"/>
                <w:sz w:val="24"/>
              </w:rPr>
              <w:t>ETF</w:t>
            </w:r>
            <w:r w:rsidRPr="00324C76">
              <w:rPr>
                <w:color w:val="000000"/>
                <w:kern w:val="0"/>
                <w:sz w:val="24"/>
              </w:rPr>
              <w:t>的资产比例不低于基金资产净值的</w:t>
            </w:r>
            <w:r w:rsidRPr="00324C76">
              <w:rPr>
                <w:color w:val="000000"/>
                <w:kern w:val="0"/>
                <w:sz w:val="24"/>
              </w:rPr>
              <w:t>90%</w:t>
            </w:r>
            <w:r w:rsidRPr="00324C76">
              <w:rPr>
                <w:color w:val="000000"/>
                <w:kern w:val="0"/>
                <w:sz w:val="24"/>
              </w:rPr>
              <w:t>，其余资产可投资于标的指数成份股、备选成份股、新股、债券、回购、权证及中国证监会允许基金投资的其它金融工具，其目的是为了使本基金在应付申购赎回的前提下，更好地实现跟踪标的指数的投资目标。</w:t>
            </w:r>
          </w:p>
        </w:tc>
      </w:tr>
      <w:tr w:rsidR="00446302" w:rsidRPr="00324C76" w:rsidTr="00C1750D">
        <w:trPr>
          <w:jc w:val="center"/>
        </w:trPr>
        <w:tc>
          <w:tcPr>
            <w:tcW w:w="2835"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业绩比较基准</w:t>
            </w:r>
          </w:p>
        </w:tc>
        <w:tc>
          <w:tcPr>
            <w:tcW w:w="5479"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深证</w:t>
            </w:r>
            <w:r w:rsidRPr="00324C76">
              <w:rPr>
                <w:color w:val="000000"/>
                <w:kern w:val="0"/>
                <w:sz w:val="24"/>
              </w:rPr>
              <w:t>300</w:t>
            </w:r>
            <w:r w:rsidRPr="00324C76">
              <w:rPr>
                <w:color w:val="000000"/>
                <w:kern w:val="0"/>
                <w:sz w:val="24"/>
              </w:rPr>
              <w:t>价值价格指数收益率</w:t>
            </w:r>
            <w:r w:rsidRPr="00324C76">
              <w:rPr>
                <w:color w:val="000000"/>
                <w:kern w:val="0"/>
                <w:sz w:val="24"/>
              </w:rPr>
              <w:t>×95%</w:t>
            </w:r>
            <w:r w:rsidRPr="00324C76">
              <w:rPr>
                <w:color w:val="000000"/>
                <w:kern w:val="0"/>
                <w:sz w:val="24"/>
              </w:rPr>
              <w:t>＋银行活期存款税后收益率</w:t>
            </w:r>
            <w:r w:rsidRPr="00324C76">
              <w:rPr>
                <w:color w:val="000000"/>
                <w:kern w:val="0"/>
                <w:sz w:val="24"/>
              </w:rPr>
              <w:t>×5%</w:t>
            </w:r>
          </w:p>
        </w:tc>
      </w:tr>
      <w:tr w:rsidR="00446302" w:rsidRPr="00324C76" w:rsidTr="00C1750D">
        <w:trPr>
          <w:jc w:val="center"/>
        </w:trPr>
        <w:tc>
          <w:tcPr>
            <w:tcW w:w="2835"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风险收益特征</w:t>
            </w:r>
          </w:p>
        </w:tc>
        <w:tc>
          <w:tcPr>
            <w:tcW w:w="5479"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本基金属</w:t>
            </w:r>
            <w:r w:rsidRPr="00324C76">
              <w:rPr>
                <w:color w:val="000000"/>
                <w:kern w:val="0"/>
                <w:sz w:val="24"/>
              </w:rPr>
              <w:t>ETF</w:t>
            </w:r>
            <w:r w:rsidRPr="00324C76">
              <w:rPr>
                <w:color w:val="000000"/>
                <w:kern w:val="0"/>
                <w:sz w:val="24"/>
              </w:rPr>
              <w:t>联接基金，风险与预期收益高于混合基金、债券基金与货币市场基金。本基金为指数型基金，紧密跟踪标的指数，具有和标的指数所代表的股票市场相似的风险收益特征，相当于股票基金中风险较高，预期收益较高的品种。</w:t>
            </w:r>
          </w:p>
        </w:tc>
      </w:tr>
      <w:tr w:rsidR="00446302" w:rsidRPr="00324C76" w:rsidTr="00C1750D">
        <w:trPr>
          <w:jc w:val="center"/>
        </w:trPr>
        <w:tc>
          <w:tcPr>
            <w:tcW w:w="2835"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基金管理人</w:t>
            </w:r>
          </w:p>
        </w:tc>
        <w:tc>
          <w:tcPr>
            <w:tcW w:w="5479"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交银施罗德基金管理有限公司</w:t>
            </w:r>
          </w:p>
        </w:tc>
      </w:tr>
      <w:tr w:rsidR="00446302" w:rsidRPr="00324C76" w:rsidTr="00C1750D">
        <w:trPr>
          <w:jc w:val="center"/>
        </w:trPr>
        <w:tc>
          <w:tcPr>
            <w:tcW w:w="2835"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基金托管人</w:t>
            </w:r>
          </w:p>
        </w:tc>
        <w:tc>
          <w:tcPr>
            <w:tcW w:w="5479"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中国农业银行股份有限公司</w:t>
            </w:r>
          </w:p>
        </w:tc>
      </w:tr>
    </w:tbl>
    <w:p w:rsidR="00D6057D" w:rsidRPr="00324C76" w:rsidRDefault="00D6057D" w:rsidP="00B04217">
      <w:pPr>
        <w:autoSpaceDE w:val="0"/>
        <w:autoSpaceDN w:val="0"/>
        <w:adjustRightInd w:val="0"/>
        <w:spacing w:before="29" w:line="288" w:lineRule="auto"/>
        <w:jc w:val="left"/>
        <w:rPr>
          <w:kern w:val="0"/>
          <w:sz w:val="24"/>
        </w:rPr>
      </w:pPr>
    </w:p>
    <w:p w:rsidR="00B72596" w:rsidRPr="00324C76" w:rsidRDefault="00B72596" w:rsidP="00B04217">
      <w:pPr>
        <w:pStyle w:val="2"/>
        <w:keepNext w:val="0"/>
        <w:keepLines w:val="0"/>
        <w:spacing w:before="29" w:after="0" w:line="288" w:lineRule="auto"/>
        <w:rPr>
          <w:rFonts w:ascii="Times New Roman" w:hAnsi="Times New Roman" w:cs="Times New Roman"/>
          <w:szCs w:val="24"/>
        </w:rPr>
      </w:pPr>
      <w:r w:rsidRPr="00324C76">
        <w:rPr>
          <w:rFonts w:ascii="Times New Roman" w:hAnsi="Times New Roman" w:cs="Times New Roman"/>
          <w:szCs w:val="24"/>
        </w:rPr>
        <w:t>2.1.1</w:t>
      </w:r>
      <w:r w:rsidRPr="00324C76">
        <w:rPr>
          <w:rFonts w:ascii="Times New Roman" w:hAnsi="Times New Roman" w:cs="Times New Roman"/>
          <w:szCs w:val="24"/>
        </w:rPr>
        <w:t>目标</w:t>
      </w:r>
      <w:r w:rsidR="00D6057D" w:rsidRPr="00324C76">
        <w:rPr>
          <w:rFonts w:ascii="Times New Roman" w:hAnsi="Times New Roman" w:cs="Times New Roman"/>
          <w:szCs w:val="24"/>
        </w:rPr>
        <w:t>基金</w:t>
      </w:r>
      <w:r w:rsidR="00156E40" w:rsidRPr="00324C76">
        <w:rPr>
          <w:rFonts w:ascii="Times New Roman" w:hAnsi="Times New Roman" w:cs="Times New Roman"/>
          <w:szCs w:val="24"/>
        </w:rPr>
        <w:t>基本情况</w:t>
      </w:r>
    </w:p>
    <w:tbl>
      <w:tblPr>
        <w:tblW w:w="8868" w:type="dxa"/>
        <w:jc w:val="center"/>
        <w:tblLayout w:type="fixed"/>
        <w:tblLook w:val="0000"/>
      </w:tblPr>
      <w:tblGrid>
        <w:gridCol w:w="2855"/>
        <w:gridCol w:w="6013"/>
      </w:tblGrid>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深证</w:t>
            </w:r>
            <w:r w:rsidRPr="00324C76">
              <w:rPr>
                <w:sz w:val="24"/>
              </w:rPr>
              <w:t>300</w:t>
            </w:r>
            <w:r w:rsidRPr="00324C76">
              <w:rPr>
                <w:sz w:val="24"/>
              </w:rPr>
              <w:t>价值交易型开放式指数证券投资基金</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159913</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交易型开放式</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2011</w:t>
            </w:r>
            <w:r w:rsidRPr="00324C76">
              <w:rPr>
                <w:sz w:val="24"/>
              </w:rPr>
              <w:t>年</w:t>
            </w:r>
            <w:r w:rsidRPr="00324C76">
              <w:rPr>
                <w:sz w:val="24"/>
              </w:rPr>
              <w:t>9</w:t>
            </w:r>
            <w:r w:rsidRPr="00324C76">
              <w:rPr>
                <w:sz w:val="24"/>
              </w:rPr>
              <w:t>月</w:t>
            </w:r>
            <w:r w:rsidRPr="00324C76">
              <w:rPr>
                <w:sz w:val="24"/>
              </w:rPr>
              <w:t>22</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深圳证券交易所</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2011</w:t>
            </w:r>
            <w:r w:rsidRPr="00324C76">
              <w:rPr>
                <w:sz w:val="24"/>
              </w:rPr>
              <w:t>年</w:t>
            </w:r>
            <w:r w:rsidRPr="00324C76">
              <w:rPr>
                <w:sz w:val="24"/>
              </w:rPr>
              <w:t>10</w:t>
            </w:r>
            <w:r w:rsidRPr="00324C76">
              <w:rPr>
                <w:sz w:val="24"/>
              </w:rPr>
              <w:t>月</w:t>
            </w:r>
            <w:r w:rsidRPr="00324C76">
              <w:rPr>
                <w:sz w:val="24"/>
              </w:rPr>
              <w:t>25</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交银施罗德基金管理有限公司</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中国农业银行股份有限公司</w:t>
            </w:r>
          </w:p>
        </w:tc>
      </w:tr>
    </w:tbl>
    <w:p w:rsidR="006B4B1E" w:rsidRPr="00324C76" w:rsidRDefault="006B4B1E" w:rsidP="00B04217">
      <w:pPr>
        <w:autoSpaceDE w:val="0"/>
        <w:autoSpaceDN w:val="0"/>
        <w:adjustRightInd w:val="0"/>
        <w:spacing w:before="29" w:line="288" w:lineRule="auto"/>
        <w:jc w:val="left"/>
        <w:rPr>
          <w:color w:val="000000"/>
          <w:sz w:val="24"/>
        </w:rPr>
      </w:pPr>
    </w:p>
    <w:p w:rsidR="00156E40" w:rsidRPr="00324C76" w:rsidRDefault="00156E40" w:rsidP="00B04217">
      <w:pPr>
        <w:pStyle w:val="2"/>
        <w:keepNext w:val="0"/>
        <w:keepLines w:val="0"/>
        <w:spacing w:before="29" w:after="0" w:line="288" w:lineRule="auto"/>
        <w:rPr>
          <w:rFonts w:ascii="Times New Roman" w:hAnsi="Times New Roman" w:cs="Times New Roman"/>
          <w:szCs w:val="24"/>
        </w:rPr>
      </w:pPr>
      <w:smartTag w:uri="urn:schemas-microsoft-com:office:smarttags" w:element="chsdate">
        <w:smartTagPr>
          <w:attr w:name="Year" w:val="1899"/>
          <w:attr w:name="Month" w:val="12"/>
          <w:attr w:name="Day" w:val="30"/>
          <w:attr w:name="IsLunarDate" w:val="False"/>
          <w:attr w:name="IsROCDate" w:val="False"/>
        </w:smartTagPr>
        <w:r w:rsidRPr="00324C76">
          <w:rPr>
            <w:rFonts w:ascii="Times New Roman" w:hAnsi="Times New Roman" w:cs="Times New Roman"/>
            <w:szCs w:val="24"/>
          </w:rPr>
          <w:t>2.1.2</w:t>
        </w:r>
      </w:smartTag>
      <w:r w:rsidR="00B51C7C" w:rsidRPr="00324C76">
        <w:rPr>
          <w:rFonts w:ascii="Times New Roman" w:hAnsi="Times New Roman" w:cs="Times New Roman"/>
          <w:szCs w:val="24"/>
        </w:rPr>
        <w:t>目标基金产品说明</w:t>
      </w:r>
    </w:p>
    <w:tbl>
      <w:tblPr>
        <w:tblW w:w="8868" w:type="dxa"/>
        <w:jc w:val="center"/>
        <w:tblLook w:val="0000"/>
      </w:tblPr>
      <w:tblGrid>
        <w:gridCol w:w="2956"/>
        <w:gridCol w:w="5912"/>
      </w:tblGrid>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紧密跟踪标的指数，追求跟踪偏离度和跟踪误差最小化。</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本基金绝大部分资产采用完全复制法，跟踪深证</w:t>
            </w:r>
            <w:r w:rsidRPr="00324C76">
              <w:rPr>
                <w:sz w:val="24"/>
              </w:rPr>
              <w:t>300</w:t>
            </w:r>
            <w:r w:rsidRPr="00324C76">
              <w:rPr>
                <w:sz w:val="24"/>
              </w:rPr>
              <w:t>价值价格指数，以完全按照标的指数成份股组成及其权重构建基金股票投资组合为原则，进行被动式指数化投资。股票在投资组合中的权重原则上根据标的指数成份股及其权重的变动而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深证</w:t>
            </w:r>
            <w:r w:rsidRPr="00324C76">
              <w:rPr>
                <w:sz w:val="24"/>
              </w:rPr>
              <w:t>300</w:t>
            </w:r>
            <w:r w:rsidRPr="00324C76">
              <w:rPr>
                <w:sz w:val="24"/>
              </w:rPr>
              <w:t>价值价格指数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本基金属于股票基金，风险与预期收益高于混合基金、债券基金与货币市场基金。同时本基金为指数型基金，具有与标的指数、以及标的指数所代表的股票市场相似的风险收益特征。</w:t>
            </w:r>
          </w:p>
        </w:tc>
      </w:tr>
    </w:tbl>
    <w:p w:rsidR="002A5D65" w:rsidRPr="00324C76" w:rsidRDefault="002A5D65" w:rsidP="00B04217">
      <w:pPr>
        <w:autoSpaceDE w:val="0"/>
        <w:autoSpaceDN w:val="0"/>
        <w:adjustRightInd w:val="0"/>
        <w:spacing w:before="29" w:line="288" w:lineRule="auto"/>
        <w:jc w:val="left"/>
        <w:rPr>
          <w:color w:val="000000"/>
          <w:sz w:val="24"/>
        </w:rPr>
      </w:pPr>
    </w:p>
    <w:p w:rsidR="00220542" w:rsidRPr="00324C76" w:rsidRDefault="00220542" w:rsidP="000D1073">
      <w:pPr>
        <w:pStyle w:val="1"/>
        <w:spacing w:beforeLines="100" w:afterLines="100" w:line="288" w:lineRule="auto"/>
        <w:jc w:val="center"/>
        <w:rPr>
          <w:kern w:val="0"/>
          <w:sz w:val="24"/>
          <w:szCs w:val="24"/>
        </w:rPr>
      </w:pPr>
      <w:r w:rsidRPr="00324C76">
        <w:rPr>
          <w:kern w:val="0"/>
          <w:sz w:val="24"/>
          <w:szCs w:val="24"/>
        </w:rPr>
        <w:t xml:space="preserve">§3  </w:t>
      </w:r>
      <w:r w:rsidRPr="00324C76">
        <w:rPr>
          <w:kern w:val="0"/>
          <w:sz w:val="24"/>
          <w:szCs w:val="24"/>
        </w:rPr>
        <w:t>主要财务指标和基金净值表现</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3.1 </w:t>
      </w:r>
      <w:r w:rsidRPr="00324C76">
        <w:rPr>
          <w:b/>
          <w:kern w:val="0"/>
          <w:sz w:val="24"/>
        </w:rPr>
        <w:t>主要财务指标</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07"/>
        <w:gridCol w:w="5261"/>
      </w:tblGrid>
      <w:tr w:rsidR="0068103A" w:rsidRPr="00324C76" w:rsidTr="0068103A">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center"/>
              <w:rPr>
                <w:kern w:val="0"/>
                <w:sz w:val="24"/>
              </w:rPr>
            </w:pPr>
            <w:r w:rsidRPr="00324C76">
              <w:rPr>
                <w:kern w:val="0"/>
                <w:sz w:val="24"/>
              </w:rPr>
              <w:t>主要财务指标</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BC3740" w:rsidP="00B04217">
            <w:pPr>
              <w:adjustRightInd w:val="0"/>
              <w:spacing w:before="29" w:line="288" w:lineRule="auto"/>
              <w:ind w:left="17"/>
              <w:jc w:val="center"/>
              <w:rPr>
                <w:color w:val="000000"/>
                <w:sz w:val="24"/>
              </w:rPr>
            </w:pPr>
            <w:r w:rsidRPr="00324C76">
              <w:rPr>
                <w:color w:val="000000"/>
                <w:sz w:val="24"/>
              </w:rPr>
              <w:t>报告期</w:t>
            </w:r>
            <w:r w:rsidR="00F53C6A" w:rsidRPr="00324C76">
              <w:rPr>
                <w:color w:val="000000"/>
                <w:kern w:val="0"/>
                <w:sz w:val="24"/>
              </w:rPr>
              <w:t>(</w:t>
            </w:r>
            <w:r w:rsidRPr="00324C76">
              <w:rPr>
                <w:color w:val="000000"/>
                <w:sz w:val="24"/>
              </w:rPr>
              <w:t>2014</w:t>
            </w:r>
            <w:r w:rsidRPr="00324C76">
              <w:rPr>
                <w:color w:val="000000"/>
                <w:sz w:val="24"/>
              </w:rPr>
              <w:t>年</w:t>
            </w:r>
            <w:r w:rsidRPr="00324C76">
              <w:rPr>
                <w:color w:val="000000"/>
                <w:sz w:val="24"/>
              </w:rPr>
              <w:t>4</w:t>
            </w:r>
            <w:r w:rsidRPr="00324C76">
              <w:rPr>
                <w:color w:val="000000"/>
                <w:sz w:val="24"/>
              </w:rPr>
              <w:t>月</w:t>
            </w:r>
            <w:r w:rsidRPr="00324C76">
              <w:rPr>
                <w:color w:val="000000"/>
                <w:sz w:val="24"/>
              </w:rPr>
              <w:t>1</w:t>
            </w:r>
            <w:r w:rsidRPr="00324C76">
              <w:rPr>
                <w:color w:val="000000"/>
                <w:sz w:val="24"/>
              </w:rPr>
              <w:t>日</w:t>
            </w:r>
            <w:r w:rsidRPr="00324C76">
              <w:rPr>
                <w:color w:val="000000"/>
                <w:sz w:val="24"/>
              </w:rPr>
              <w:t>-2014</w:t>
            </w:r>
            <w:r w:rsidRPr="00324C76">
              <w:rPr>
                <w:color w:val="000000"/>
                <w:sz w:val="24"/>
              </w:rPr>
              <w:t>年</w:t>
            </w:r>
            <w:r w:rsidRPr="00324C76">
              <w:rPr>
                <w:color w:val="000000"/>
                <w:sz w:val="24"/>
              </w:rPr>
              <w:t>6</w:t>
            </w:r>
            <w:r w:rsidRPr="00324C76">
              <w:rPr>
                <w:color w:val="000000"/>
                <w:sz w:val="24"/>
              </w:rPr>
              <w:t>月</w:t>
            </w:r>
            <w:r w:rsidRPr="00324C76">
              <w:rPr>
                <w:color w:val="000000"/>
                <w:sz w:val="24"/>
              </w:rPr>
              <w:t>30</w:t>
            </w:r>
            <w:r w:rsidRPr="00324C76">
              <w:rPr>
                <w:color w:val="000000"/>
                <w:sz w:val="24"/>
              </w:rPr>
              <w:t>日</w:t>
            </w:r>
            <w:r w:rsidR="00F53C6A" w:rsidRPr="00324C76">
              <w:rPr>
                <w:color w:val="000000"/>
                <w:kern w:val="0"/>
                <w:sz w:val="24"/>
              </w:rPr>
              <w:t>)</w:t>
            </w:r>
          </w:p>
        </w:tc>
      </w:tr>
      <w:tr w:rsidR="0068103A" w:rsidRPr="00324C76" w:rsidTr="0068103A">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1.</w:t>
            </w:r>
            <w:r w:rsidRPr="00324C76">
              <w:rPr>
                <w:kern w:val="0"/>
                <w:sz w:val="24"/>
              </w:rPr>
              <w:t>本期已实现收益</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-60,234.24</w:t>
            </w:r>
          </w:p>
        </w:tc>
      </w:tr>
      <w:tr w:rsidR="0068103A" w:rsidRPr="00324C76" w:rsidTr="0068103A">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2.</w:t>
            </w:r>
            <w:r w:rsidRPr="00324C76">
              <w:rPr>
                <w:kern w:val="0"/>
                <w:sz w:val="24"/>
              </w:rPr>
              <w:t>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924,800.73</w:t>
            </w:r>
          </w:p>
        </w:tc>
      </w:tr>
      <w:tr w:rsidR="0068103A" w:rsidRPr="00324C76" w:rsidTr="0068103A">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3.</w:t>
            </w:r>
            <w:r w:rsidRPr="00324C76">
              <w:rPr>
                <w:kern w:val="0"/>
                <w:sz w:val="24"/>
              </w:rPr>
              <w:t>加权平均基金份额本期利润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0.0188</w:t>
            </w:r>
          </w:p>
        </w:tc>
      </w:tr>
      <w:tr w:rsidR="0068103A" w:rsidRPr="00324C76" w:rsidTr="0068103A">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4.</w:t>
            </w:r>
            <w:r w:rsidRPr="00324C76">
              <w:rPr>
                <w:kern w:val="0"/>
                <w:sz w:val="24"/>
              </w:rPr>
              <w:t>期末基金资产净值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42,915,835.91</w:t>
            </w:r>
          </w:p>
        </w:tc>
      </w:tr>
      <w:tr w:rsidR="0068103A" w:rsidRPr="00324C76" w:rsidTr="0068103A">
        <w:trPr>
          <w:trHeight w:val="158"/>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5.</w:t>
            </w:r>
            <w:r w:rsidRPr="00324C76">
              <w:rPr>
                <w:kern w:val="0"/>
                <w:sz w:val="24"/>
              </w:rPr>
              <w:t>期末基金份额净值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0.879</w:t>
            </w:r>
          </w:p>
        </w:tc>
      </w:tr>
    </w:tbl>
    <w:p w:rsidR="002912CC" w:rsidRDefault="0068103A">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E27AF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t xml:space="preserve">    2</w:t>
      </w:r>
      <w:r w:rsidRPr="00324C76">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3.2 </w:t>
      </w:r>
      <w:r w:rsidRPr="00324C76">
        <w:rPr>
          <w:b/>
          <w:kern w:val="0"/>
          <w:sz w:val="24"/>
        </w:rPr>
        <w:t>基金净值表现</w:t>
      </w:r>
    </w:p>
    <w:p w:rsidR="00220542" w:rsidRPr="00324C76" w:rsidRDefault="00220542" w:rsidP="00B04217">
      <w:pPr>
        <w:autoSpaceDE w:val="0"/>
        <w:autoSpaceDN w:val="0"/>
        <w:adjustRightInd w:val="0"/>
        <w:spacing w:before="29" w:line="288" w:lineRule="auto"/>
        <w:jc w:val="left"/>
        <w:rPr>
          <w:b/>
          <w:kern w:val="0"/>
          <w:sz w:val="24"/>
        </w:rPr>
      </w:pPr>
      <w:smartTag w:uri="urn:schemas-microsoft-com:office:smarttags" w:element="chsdate">
        <w:smartTagPr>
          <w:attr w:name="Year" w:val="1899"/>
          <w:attr w:name="Month" w:val="12"/>
          <w:attr w:name="Day" w:val="30"/>
          <w:attr w:name="IsLunarDate" w:val="False"/>
          <w:attr w:name="IsROCDate" w:val="False"/>
        </w:smartTagPr>
        <w:r w:rsidRPr="00324C76">
          <w:rPr>
            <w:b/>
            <w:kern w:val="0"/>
            <w:sz w:val="24"/>
          </w:rPr>
          <w:t>3.2.1</w:t>
        </w:r>
        <w:r w:rsidR="00BD0A0A" w:rsidRPr="00324C76">
          <w:rPr>
            <w:b/>
            <w:kern w:val="0"/>
            <w:sz w:val="24"/>
          </w:rPr>
          <w:t xml:space="preserve"> </w:t>
        </w:r>
      </w:smartTag>
      <w:r w:rsidRPr="00324C76">
        <w:rPr>
          <w:b/>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tblPr>
      <w:tblGrid>
        <w:gridCol w:w="1469"/>
        <w:gridCol w:w="1150"/>
        <w:gridCol w:w="1223"/>
        <w:gridCol w:w="1244"/>
        <w:gridCol w:w="1251"/>
        <w:gridCol w:w="1263"/>
        <w:gridCol w:w="1268"/>
      </w:tblGrid>
      <w:tr w:rsidR="00E27AF2" w:rsidRPr="00324C76" w:rsidTr="00896BE4">
        <w:trPr>
          <w:jc w:val="center"/>
        </w:trPr>
        <w:tc>
          <w:tcPr>
            <w:tcW w:w="1395"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阶段</w:t>
            </w:r>
          </w:p>
        </w:tc>
        <w:tc>
          <w:tcPr>
            <w:tcW w:w="1092"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w:t>
            </w:r>
            <w:r w:rsidRPr="00324C76">
              <w:rPr>
                <w:rFonts w:hAnsi="宋体"/>
                <w:color w:val="000000"/>
                <w:sz w:val="24"/>
              </w:rPr>
              <w:t>①</w:t>
            </w:r>
          </w:p>
        </w:tc>
        <w:tc>
          <w:tcPr>
            <w:tcW w:w="116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净值增长率标准差</w:t>
            </w:r>
            <w:r w:rsidRPr="00324C76">
              <w:rPr>
                <w:rFonts w:hAnsi="宋体"/>
                <w:color w:val="000000"/>
                <w:sz w:val="24"/>
              </w:rPr>
              <w:t>②</w:t>
            </w:r>
          </w:p>
        </w:tc>
        <w:tc>
          <w:tcPr>
            <w:tcW w:w="118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w:t>
            </w:r>
            <w:r w:rsidRPr="00324C76">
              <w:rPr>
                <w:rFonts w:hAnsi="宋体"/>
                <w:color w:val="000000"/>
                <w:sz w:val="24"/>
              </w:rPr>
              <w:t>③</w:t>
            </w:r>
          </w:p>
        </w:tc>
        <w:tc>
          <w:tcPr>
            <w:tcW w:w="1188"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业绩比较基准收益率标准差</w:t>
            </w:r>
            <w:r w:rsidRPr="00324C76">
              <w:rPr>
                <w:rFonts w:hAnsi="宋体"/>
                <w:color w:val="000000"/>
                <w:sz w:val="24"/>
              </w:rPr>
              <w:t>④</w:t>
            </w:r>
          </w:p>
        </w:tc>
        <w:tc>
          <w:tcPr>
            <w:tcW w:w="1199"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①</w:t>
            </w:r>
            <w:r w:rsidRPr="00324C76">
              <w:rPr>
                <w:color w:val="000000"/>
                <w:sz w:val="24"/>
              </w:rPr>
              <w:t>-</w:t>
            </w:r>
            <w:r w:rsidRPr="00324C76">
              <w:rPr>
                <w:rFonts w:hAnsi="宋体"/>
                <w:color w:val="000000"/>
                <w:sz w:val="24"/>
              </w:rPr>
              <w:t>③</w:t>
            </w:r>
          </w:p>
        </w:tc>
        <w:tc>
          <w:tcPr>
            <w:tcW w:w="1204"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②</w:t>
            </w:r>
            <w:r w:rsidRPr="00324C76">
              <w:rPr>
                <w:color w:val="000000"/>
                <w:sz w:val="24"/>
              </w:rPr>
              <w:t>-</w:t>
            </w:r>
            <w:r w:rsidRPr="00324C76">
              <w:rPr>
                <w:rFonts w:hAnsi="宋体"/>
                <w:color w:val="000000"/>
                <w:sz w:val="24"/>
              </w:rPr>
              <w:t>④</w:t>
            </w:r>
          </w:p>
        </w:tc>
      </w:tr>
      <w:tr w:rsidR="002912CC">
        <w:trPr>
          <w:jc w:val="center"/>
        </w:trPr>
        <w:tc>
          <w:tcPr>
            <w:tcW w:w="1469" w:type="dxa"/>
            <w:vAlign w:val="center"/>
          </w:tcPr>
          <w:p w:rsidR="002912CC" w:rsidRDefault="0068103A">
            <w:pPr>
              <w:jc w:val="left"/>
            </w:pPr>
            <w:r>
              <w:rPr>
                <w:color w:val="000000"/>
                <w:sz w:val="24"/>
              </w:rPr>
              <w:t>过去三个月</w:t>
            </w:r>
          </w:p>
        </w:tc>
        <w:tc>
          <w:tcPr>
            <w:tcW w:w="1150" w:type="dxa"/>
            <w:vAlign w:val="center"/>
          </w:tcPr>
          <w:p w:rsidR="002912CC" w:rsidRDefault="0068103A">
            <w:pPr>
              <w:jc w:val="center"/>
            </w:pPr>
            <w:r>
              <w:rPr>
                <w:color w:val="000000"/>
                <w:sz w:val="24"/>
              </w:rPr>
              <w:t>2.21%</w:t>
            </w:r>
          </w:p>
        </w:tc>
        <w:tc>
          <w:tcPr>
            <w:tcW w:w="1223" w:type="dxa"/>
            <w:vAlign w:val="center"/>
          </w:tcPr>
          <w:p w:rsidR="002912CC" w:rsidRDefault="0068103A">
            <w:pPr>
              <w:jc w:val="center"/>
            </w:pPr>
            <w:r>
              <w:rPr>
                <w:color w:val="000000"/>
                <w:sz w:val="24"/>
              </w:rPr>
              <w:t>0.90%</w:t>
            </w:r>
          </w:p>
        </w:tc>
        <w:tc>
          <w:tcPr>
            <w:tcW w:w="1244" w:type="dxa"/>
            <w:vAlign w:val="center"/>
          </w:tcPr>
          <w:p w:rsidR="002912CC" w:rsidRDefault="0068103A">
            <w:pPr>
              <w:jc w:val="center"/>
            </w:pPr>
            <w:r>
              <w:rPr>
                <w:color w:val="000000"/>
                <w:sz w:val="24"/>
              </w:rPr>
              <w:t>0.81%</w:t>
            </w:r>
          </w:p>
        </w:tc>
        <w:tc>
          <w:tcPr>
            <w:tcW w:w="1251" w:type="dxa"/>
            <w:vAlign w:val="center"/>
          </w:tcPr>
          <w:p w:rsidR="002912CC" w:rsidRDefault="0068103A">
            <w:pPr>
              <w:jc w:val="center"/>
            </w:pPr>
            <w:r>
              <w:rPr>
                <w:color w:val="000000"/>
                <w:sz w:val="24"/>
              </w:rPr>
              <w:t>0.91%</w:t>
            </w:r>
          </w:p>
        </w:tc>
        <w:tc>
          <w:tcPr>
            <w:tcW w:w="1263" w:type="dxa"/>
            <w:vAlign w:val="center"/>
          </w:tcPr>
          <w:p w:rsidR="002912CC" w:rsidRDefault="0068103A">
            <w:pPr>
              <w:jc w:val="center"/>
            </w:pPr>
            <w:r>
              <w:rPr>
                <w:color w:val="000000"/>
                <w:sz w:val="24"/>
              </w:rPr>
              <w:t>1.40%</w:t>
            </w:r>
          </w:p>
        </w:tc>
        <w:tc>
          <w:tcPr>
            <w:tcW w:w="1268" w:type="dxa"/>
            <w:vAlign w:val="center"/>
          </w:tcPr>
          <w:p w:rsidR="002912CC" w:rsidRDefault="0068103A">
            <w:pPr>
              <w:jc w:val="center"/>
            </w:pPr>
            <w:r>
              <w:rPr>
                <w:color w:val="000000"/>
                <w:sz w:val="24"/>
              </w:rPr>
              <w:t>-0.01%</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spacing w:before="29" w:line="288" w:lineRule="auto"/>
        <w:rPr>
          <w:b/>
          <w:kern w:val="0"/>
          <w:sz w:val="24"/>
        </w:rPr>
      </w:pPr>
      <w:r w:rsidRPr="00324C76">
        <w:rPr>
          <w:b/>
          <w:kern w:val="0"/>
          <w:sz w:val="24"/>
        </w:rPr>
        <w:t>3.2.2</w:t>
      </w:r>
      <w:r w:rsidR="00BD0A0A" w:rsidRPr="00324C76">
        <w:rPr>
          <w:b/>
          <w:kern w:val="0"/>
          <w:sz w:val="24"/>
        </w:rPr>
        <w:t xml:space="preserve">  </w:t>
      </w:r>
      <w:r w:rsidR="00F00C35" w:rsidRPr="00324C76">
        <w:rPr>
          <w:b/>
          <w:bCs/>
          <w:color w:val="000000"/>
          <w:sz w:val="24"/>
        </w:rPr>
        <w:t>自基金合同生效以来基金份额累计净值增长率变动及其与同期业绩比较基准收益率变动的比较</w:t>
      </w:r>
    </w:p>
    <w:p w:rsidR="00402ED1" w:rsidRPr="00324C76" w:rsidRDefault="00402ED1" w:rsidP="00B04217">
      <w:pPr>
        <w:spacing w:before="29" w:line="288" w:lineRule="auto"/>
        <w:jc w:val="center"/>
        <w:rPr>
          <w:sz w:val="24"/>
        </w:rPr>
      </w:pPr>
      <w:r w:rsidRPr="00324C76">
        <w:rPr>
          <w:sz w:val="24"/>
        </w:rPr>
        <w:t>交银施罗德深证</w:t>
      </w:r>
      <w:r w:rsidRPr="00324C76">
        <w:rPr>
          <w:sz w:val="24"/>
        </w:rPr>
        <w:t>300</w:t>
      </w:r>
      <w:r w:rsidRPr="00324C76">
        <w:rPr>
          <w:sz w:val="24"/>
        </w:rPr>
        <w:t>价值交易型开放式指数证券投资基金联接基金</w:t>
      </w:r>
    </w:p>
    <w:p w:rsidR="00402ED1" w:rsidRPr="00324C76" w:rsidRDefault="00F00C35" w:rsidP="00B04217">
      <w:pPr>
        <w:pStyle w:val="a5"/>
        <w:snapToGrid w:val="0"/>
        <w:spacing w:before="29" w:line="288" w:lineRule="auto"/>
        <w:jc w:val="center"/>
        <w:rPr>
          <w:rFonts w:ascii="Times New Roman" w:hAnsi="Times New Roman"/>
          <w:color w:val="000000"/>
          <w:sz w:val="24"/>
          <w:szCs w:val="24"/>
        </w:rPr>
      </w:pPr>
      <w:r w:rsidRPr="00324C76">
        <w:rPr>
          <w:rFonts w:ascii="Times New Roman" w:hAnsi="Times New Roman"/>
          <w:color w:val="000000"/>
          <w:sz w:val="24"/>
          <w:szCs w:val="24"/>
        </w:rPr>
        <w:t>份额累计净值增长率与业绩比较基准收益率历史走势对比图</w:t>
      </w:r>
    </w:p>
    <w:p w:rsidR="00BA6DE7" w:rsidRPr="00324C76" w:rsidRDefault="00BA6DE7" w:rsidP="00B04217">
      <w:pPr>
        <w:spacing w:before="29" w:line="288" w:lineRule="auto"/>
        <w:jc w:val="center"/>
        <w:rPr>
          <w:sz w:val="24"/>
        </w:rPr>
      </w:pPr>
      <w:r w:rsidRPr="00324C76">
        <w:rPr>
          <w:color w:val="000000"/>
          <w:kern w:val="0"/>
          <w:sz w:val="24"/>
        </w:rPr>
        <w:t>（</w:t>
      </w:r>
      <w:r w:rsidR="003251EE" w:rsidRPr="00324C76">
        <w:rPr>
          <w:color w:val="000000"/>
          <w:kern w:val="0"/>
          <w:sz w:val="24"/>
        </w:rPr>
        <w:t>2011</w:t>
      </w:r>
      <w:r w:rsidR="003251EE" w:rsidRPr="00324C76">
        <w:rPr>
          <w:color w:val="000000"/>
          <w:kern w:val="0"/>
          <w:sz w:val="24"/>
        </w:rPr>
        <w:t>年</w:t>
      </w:r>
      <w:r w:rsidR="003251EE" w:rsidRPr="00324C76">
        <w:rPr>
          <w:color w:val="000000"/>
          <w:kern w:val="0"/>
          <w:sz w:val="24"/>
        </w:rPr>
        <w:t>9</w:t>
      </w:r>
      <w:r w:rsidR="003251EE" w:rsidRPr="00324C76">
        <w:rPr>
          <w:color w:val="000000"/>
          <w:kern w:val="0"/>
          <w:sz w:val="24"/>
        </w:rPr>
        <w:t>月</w:t>
      </w:r>
      <w:r w:rsidR="003251EE" w:rsidRPr="00324C76">
        <w:rPr>
          <w:color w:val="000000"/>
          <w:kern w:val="0"/>
          <w:sz w:val="24"/>
        </w:rPr>
        <w:t>28</w:t>
      </w:r>
      <w:r w:rsidR="003251EE" w:rsidRPr="00324C76">
        <w:rPr>
          <w:color w:val="000000"/>
          <w:kern w:val="0"/>
          <w:sz w:val="24"/>
        </w:rPr>
        <w:t>日</w:t>
      </w:r>
      <w:r w:rsidRPr="00324C76">
        <w:rPr>
          <w:color w:val="000000"/>
          <w:kern w:val="0"/>
          <w:sz w:val="24"/>
        </w:rPr>
        <w:t>至</w:t>
      </w:r>
      <w:r w:rsidRPr="00324C76">
        <w:rPr>
          <w:color w:val="000000"/>
          <w:kern w:val="0"/>
          <w:sz w:val="24"/>
        </w:rPr>
        <w:t>2014</w:t>
      </w:r>
      <w:r w:rsidRPr="00324C76">
        <w:rPr>
          <w:color w:val="000000"/>
          <w:kern w:val="0"/>
          <w:sz w:val="24"/>
        </w:rPr>
        <w:t>年</w:t>
      </w:r>
      <w:r w:rsidRPr="00324C76">
        <w:rPr>
          <w:color w:val="000000"/>
          <w:kern w:val="0"/>
          <w:sz w:val="24"/>
        </w:rPr>
        <w:t>6</w:t>
      </w:r>
      <w:r w:rsidRPr="00324C76">
        <w:rPr>
          <w:color w:val="000000"/>
          <w:kern w:val="0"/>
          <w:sz w:val="24"/>
        </w:rPr>
        <w:t>月</w:t>
      </w:r>
      <w:r w:rsidRPr="00324C76">
        <w:rPr>
          <w:color w:val="000000"/>
          <w:kern w:val="0"/>
          <w:sz w:val="24"/>
        </w:rPr>
        <w:t>30</w:t>
      </w:r>
      <w:r w:rsidRPr="00324C76">
        <w:rPr>
          <w:color w:val="000000"/>
          <w:kern w:val="0"/>
          <w:sz w:val="24"/>
        </w:rPr>
        <w:t>日）</w:t>
      </w:r>
    </w:p>
    <w:p w:rsidR="00402ED1" w:rsidRPr="00324C76" w:rsidRDefault="0029290C" w:rsidP="00B04217">
      <w:pPr>
        <w:tabs>
          <w:tab w:val="left" w:pos="1800"/>
        </w:tabs>
        <w:spacing w:before="29" w:line="288" w:lineRule="auto"/>
        <w:jc w:val="center"/>
        <w:rPr>
          <w:color w:val="000000"/>
          <w:sz w:val="24"/>
        </w:rPr>
      </w:pPr>
      <w:r w:rsidRPr="00324C76">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2ED1" w:rsidRPr="00324C76" w:rsidRDefault="00402ED1" w:rsidP="00B04217">
      <w:pPr>
        <w:autoSpaceDE w:val="0"/>
        <w:autoSpaceDN w:val="0"/>
        <w:adjustRightInd w:val="0"/>
        <w:spacing w:before="29" w:line="288" w:lineRule="auto"/>
        <w:jc w:val="left"/>
        <w:rPr>
          <w:color w:val="000000"/>
          <w:sz w:val="24"/>
        </w:rPr>
      </w:pPr>
      <w:r w:rsidRPr="00324C76">
        <w:rPr>
          <w:color w:val="000000"/>
          <w:sz w:val="24"/>
        </w:rPr>
        <w:t>注：本基金建仓期为自基金合同生效日起的</w:t>
      </w:r>
      <w:r w:rsidRPr="00324C76">
        <w:rPr>
          <w:color w:val="000000"/>
          <w:sz w:val="24"/>
        </w:rPr>
        <w:t>6</w:t>
      </w:r>
      <w:r w:rsidRPr="00324C76">
        <w:rPr>
          <w:color w:val="000000"/>
          <w:sz w:val="24"/>
        </w:rPr>
        <w:t>个月。截至建仓期结束，本基金各项资产配置比例符合基金合同及招募说明书有关投资比例的约定。</w:t>
      </w:r>
    </w:p>
    <w:p w:rsidR="00163AE8" w:rsidRPr="00324C76" w:rsidRDefault="00163AE8" w:rsidP="00B04217">
      <w:pPr>
        <w:tabs>
          <w:tab w:val="left" w:pos="1800"/>
        </w:tabs>
        <w:spacing w:before="29" w:line="288" w:lineRule="auto"/>
        <w:ind w:firstLineChars="200" w:firstLine="480"/>
        <w:rPr>
          <w:color w:val="000000"/>
          <w:sz w:val="24"/>
        </w:rPr>
      </w:pPr>
    </w:p>
    <w:p w:rsidR="00220542" w:rsidRPr="00324C76" w:rsidRDefault="00220542" w:rsidP="000D1073">
      <w:pPr>
        <w:pStyle w:val="1"/>
        <w:spacing w:beforeLines="100" w:afterLines="100" w:line="288" w:lineRule="auto"/>
        <w:jc w:val="center"/>
        <w:rPr>
          <w:kern w:val="0"/>
          <w:sz w:val="24"/>
          <w:szCs w:val="24"/>
        </w:rPr>
      </w:pPr>
      <w:r w:rsidRPr="00324C76">
        <w:rPr>
          <w:kern w:val="0"/>
          <w:sz w:val="24"/>
          <w:szCs w:val="24"/>
        </w:rPr>
        <w:t xml:space="preserve">§4  </w:t>
      </w:r>
      <w:r w:rsidRPr="00324C76">
        <w:rPr>
          <w:kern w:val="0"/>
          <w:sz w:val="24"/>
          <w:szCs w:val="24"/>
        </w:rPr>
        <w:t>管理人报告</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4.1 </w:t>
      </w:r>
      <w:r w:rsidRPr="00324C76">
        <w:rPr>
          <w:b/>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tblPr>
      <w:tblGrid>
        <w:gridCol w:w="846"/>
        <w:gridCol w:w="845"/>
        <w:gridCol w:w="1549"/>
        <w:gridCol w:w="1548"/>
        <w:gridCol w:w="1407"/>
        <w:gridCol w:w="2673"/>
      </w:tblGrid>
      <w:tr w:rsidR="00E27AF2" w:rsidRPr="00324C76" w:rsidTr="00E42623">
        <w:trPr>
          <w:trHeight w:val="292"/>
          <w:jc w:val="center"/>
        </w:trPr>
        <w:tc>
          <w:tcPr>
            <w:tcW w:w="851"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姓名</w:t>
            </w:r>
          </w:p>
        </w:tc>
        <w:tc>
          <w:tcPr>
            <w:tcW w:w="850"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职务</w:t>
            </w:r>
          </w:p>
        </w:tc>
        <w:tc>
          <w:tcPr>
            <w:tcW w:w="3119" w:type="dxa"/>
            <w:gridSpan w:val="2"/>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任本基金的基金经理期限</w:t>
            </w:r>
          </w:p>
        </w:tc>
        <w:tc>
          <w:tcPr>
            <w:tcW w:w="1417" w:type="dxa"/>
            <w:vMerge w:val="restart"/>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证券从业年限</w:t>
            </w:r>
          </w:p>
        </w:tc>
        <w:tc>
          <w:tcPr>
            <w:tcW w:w="2694"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说明</w:t>
            </w:r>
          </w:p>
        </w:tc>
      </w:tr>
      <w:tr w:rsidR="00E27AF2" w:rsidRPr="00324C76" w:rsidTr="00E42623">
        <w:trPr>
          <w:jc w:val="center"/>
        </w:trPr>
        <w:tc>
          <w:tcPr>
            <w:tcW w:w="851" w:type="dxa"/>
            <w:vMerge/>
            <w:vAlign w:val="center"/>
          </w:tcPr>
          <w:p w:rsidR="00E27AF2" w:rsidRPr="00324C76" w:rsidRDefault="00E27AF2" w:rsidP="00B04217">
            <w:pPr>
              <w:widowControl/>
              <w:spacing w:before="29" w:line="288" w:lineRule="auto"/>
              <w:jc w:val="left"/>
              <w:rPr>
                <w:color w:val="000000"/>
                <w:kern w:val="0"/>
                <w:sz w:val="24"/>
              </w:rPr>
            </w:pPr>
          </w:p>
        </w:tc>
        <w:tc>
          <w:tcPr>
            <w:tcW w:w="850" w:type="dxa"/>
            <w:vMerge/>
            <w:vAlign w:val="center"/>
          </w:tcPr>
          <w:p w:rsidR="00E27AF2" w:rsidRPr="00324C76" w:rsidRDefault="00E27AF2" w:rsidP="00B04217">
            <w:pPr>
              <w:widowControl/>
              <w:spacing w:before="29" w:line="288" w:lineRule="auto"/>
              <w:jc w:val="left"/>
              <w:rPr>
                <w:color w:val="000000"/>
                <w:kern w:val="0"/>
                <w:sz w:val="24"/>
              </w:rPr>
            </w:pPr>
          </w:p>
        </w:tc>
        <w:tc>
          <w:tcPr>
            <w:tcW w:w="1560"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任职日期</w:t>
            </w:r>
          </w:p>
        </w:tc>
        <w:tc>
          <w:tcPr>
            <w:tcW w:w="1559"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离任日期</w:t>
            </w:r>
          </w:p>
        </w:tc>
        <w:tc>
          <w:tcPr>
            <w:tcW w:w="1417" w:type="dxa"/>
            <w:vMerge/>
            <w:vAlign w:val="center"/>
          </w:tcPr>
          <w:p w:rsidR="00E27AF2" w:rsidRPr="00324C76" w:rsidRDefault="00E27AF2" w:rsidP="00B04217">
            <w:pPr>
              <w:widowControl/>
              <w:spacing w:before="29" w:line="288" w:lineRule="auto"/>
              <w:jc w:val="left"/>
              <w:rPr>
                <w:color w:val="000000"/>
                <w:kern w:val="0"/>
                <w:sz w:val="24"/>
              </w:rPr>
            </w:pPr>
          </w:p>
        </w:tc>
        <w:tc>
          <w:tcPr>
            <w:tcW w:w="2694" w:type="dxa"/>
            <w:vMerge/>
            <w:vAlign w:val="center"/>
          </w:tcPr>
          <w:p w:rsidR="00E27AF2" w:rsidRPr="00324C76" w:rsidRDefault="00E27AF2" w:rsidP="00B04217">
            <w:pPr>
              <w:widowControl/>
              <w:spacing w:before="29" w:line="288" w:lineRule="auto"/>
              <w:jc w:val="left"/>
              <w:rPr>
                <w:color w:val="000000"/>
                <w:kern w:val="0"/>
                <w:sz w:val="24"/>
              </w:rPr>
            </w:pPr>
          </w:p>
        </w:tc>
      </w:tr>
      <w:tr w:rsidR="002912CC">
        <w:trPr>
          <w:jc w:val="center"/>
        </w:trPr>
        <w:tc>
          <w:tcPr>
            <w:tcW w:w="846" w:type="dxa"/>
            <w:vAlign w:val="center"/>
          </w:tcPr>
          <w:p w:rsidR="002912CC" w:rsidRDefault="0068103A">
            <w:pPr>
              <w:jc w:val="center"/>
            </w:pPr>
            <w:r>
              <w:rPr>
                <w:color w:val="000000"/>
                <w:sz w:val="24"/>
              </w:rPr>
              <w:t>蔡铮</w:t>
            </w:r>
          </w:p>
        </w:tc>
        <w:tc>
          <w:tcPr>
            <w:tcW w:w="845" w:type="dxa"/>
            <w:vAlign w:val="center"/>
          </w:tcPr>
          <w:p w:rsidR="002912CC" w:rsidRDefault="0068103A">
            <w:pPr>
              <w:jc w:val="center"/>
            </w:pPr>
            <w:r>
              <w:rPr>
                <w:color w:val="000000"/>
                <w:sz w:val="24"/>
              </w:rPr>
              <w:t>本基金及深证</w:t>
            </w:r>
            <w:r>
              <w:rPr>
                <w:color w:val="000000"/>
                <w:sz w:val="24"/>
              </w:rPr>
              <w:t>300</w:t>
            </w:r>
            <w:r>
              <w:rPr>
                <w:color w:val="000000"/>
                <w:sz w:val="24"/>
              </w:rPr>
              <w:t>价值</w:t>
            </w:r>
            <w:r>
              <w:rPr>
                <w:color w:val="000000"/>
                <w:sz w:val="24"/>
              </w:rPr>
              <w:t>ETF</w:t>
            </w: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及其联接基金、交银沪深</w:t>
            </w:r>
            <w:r>
              <w:rPr>
                <w:color w:val="000000"/>
                <w:sz w:val="24"/>
              </w:rPr>
              <w:t>300</w:t>
            </w:r>
            <w:r>
              <w:rPr>
                <w:color w:val="000000"/>
                <w:sz w:val="24"/>
              </w:rPr>
              <w:t>分层等权指数基金基金经理</w:t>
            </w:r>
            <w:r w:rsidR="00A22EB0">
              <w:rPr>
                <w:rFonts w:hint="eastAsia"/>
                <w:color w:val="000000"/>
                <w:sz w:val="24"/>
              </w:rPr>
              <w:t>，</w:t>
            </w:r>
            <w:r w:rsidR="00227DE4" w:rsidRPr="00227DE4">
              <w:rPr>
                <w:rFonts w:hint="eastAsia"/>
                <w:color w:val="000000"/>
                <w:sz w:val="24"/>
              </w:rPr>
              <w:t>公司量化投资部助理总经理</w:t>
            </w:r>
          </w:p>
        </w:tc>
        <w:tc>
          <w:tcPr>
            <w:tcW w:w="1549" w:type="dxa"/>
            <w:vAlign w:val="center"/>
          </w:tcPr>
          <w:p w:rsidR="002912CC" w:rsidRDefault="0068103A">
            <w:pPr>
              <w:jc w:val="center"/>
            </w:pPr>
            <w:r>
              <w:rPr>
                <w:color w:val="000000"/>
                <w:sz w:val="24"/>
              </w:rPr>
              <w:t>2012-12-27</w:t>
            </w:r>
          </w:p>
        </w:tc>
        <w:tc>
          <w:tcPr>
            <w:tcW w:w="1548" w:type="dxa"/>
            <w:vAlign w:val="center"/>
          </w:tcPr>
          <w:p w:rsidR="002912CC" w:rsidRDefault="0068103A">
            <w:pPr>
              <w:jc w:val="center"/>
            </w:pPr>
            <w:r>
              <w:rPr>
                <w:color w:val="000000"/>
                <w:sz w:val="24"/>
              </w:rPr>
              <w:t>-</w:t>
            </w:r>
          </w:p>
        </w:tc>
        <w:tc>
          <w:tcPr>
            <w:tcW w:w="1407" w:type="dxa"/>
            <w:vAlign w:val="center"/>
          </w:tcPr>
          <w:p w:rsidR="002912CC" w:rsidRDefault="0068103A">
            <w:pPr>
              <w:jc w:val="center"/>
            </w:pPr>
            <w:r>
              <w:rPr>
                <w:color w:val="000000"/>
                <w:sz w:val="24"/>
              </w:rPr>
              <w:t>5</w:t>
            </w:r>
            <w:r>
              <w:rPr>
                <w:color w:val="000000"/>
                <w:sz w:val="24"/>
              </w:rPr>
              <w:t>年</w:t>
            </w:r>
          </w:p>
        </w:tc>
        <w:tc>
          <w:tcPr>
            <w:tcW w:w="2673" w:type="dxa"/>
            <w:vAlign w:val="center"/>
          </w:tcPr>
          <w:p w:rsidR="002912CC" w:rsidRDefault="0068103A">
            <w:r>
              <w:rPr>
                <w:color w:val="000000"/>
                <w:sz w:val="24"/>
              </w:rPr>
              <w:t>蔡铮先生，复旦大学电子工程硕士。历任瑞士银行香港分行分析员。</w:t>
            </w:r>
            <w:r>
              <w:rPr>
                <w:color w:val="000000"/>
                <w:sz w:val="24"/>
              </w:rPr>
              <w:t>2009</w:t>
            </w:r>
            <w:r>
              <w:rPr>
                <w:color w:val="000000"/>
                <w:sz w:val="24"/>
              </w:rPr>
              <w:t>年加入交银施罗德基金管理有限公司，历任投资研究部数量分析师、基金经理助理。</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4.2</w:t>
      </w:r>
      <w:r w:rsidR="0084595F" w:rsidRPr="00324C76">
        <w:rPr>
          <w:b/>
          <w:kern w:val="0"/>
          <w:sz w:val="24"/>
        </w:rPr>
        <w:t xml:space="preserve"> </w:t>
      </w:r>
      <w:r w:rsidR="00BA4BD3" w:rsidRPr="00324C76">
        <w:rPr>
          <w:b/>
          <w:kern w:val="0"/>
          <w:sz w:val="24"/>
        </w:rPr>
        <w:t>管理人对报告期内本基金运作遵规守信情况的说明</w:t>
      </w:r>
    </w:p>
    <w:p w:rsidR="00220542" w:rsidRPr="00324C76" w:rsidRDefault="00E27AF2" w:rsidP="00B04217">
      <w:pPr>
        <w:spacing w:before="29" w:line="288" w:lineRule="auto"/>
        <w:ind w:firstLineChars="200" w:firstLine="480"/>
        <w:rPr>
          <w:color w:val="000000"/>
          <w:sz w:val="24"/>
        </w:rPr>
      </w:pPr>
      <w:r w:rsidRPr="00324C76">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4.3 </w:t>
      </w:r>
      <w:r w:rsidRPr="00324C76">
        <w:rPr>
          <w:b/>
          <w:kern w:val="0"/>
          <w:sz w:val="24"/>
        </w:rPr>
        <w:t>公平交易专项说明</w:t>
      </w:r>
    </w:p>
    <w:p w:rsidR="005D278A" w:rsidRPr="00324C76" w:rsidRDefault="005D278A" w:rsidP="00B04217">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324C76">
          <w:rPr>
            <w:sz w:val="24"/>
          </w:rPr>
          <w:t>4.3.1</w:t>
        </w:r>
      </w:smartTag>
      <w:r w:rsidRPr="00324C76">
        <w:rPr>
          <w:sz w:val="24"/>
        </w:rPr>
        <w:t xml:space="preserve"> </w:t>
      </w:r>
      <w:r w:rsidRPr="00324C76">
        <w:rPr>
          <w:sz w:val="24"/>
        </w:rPr>
        <w:t>公平交易制度的执行情况</w:t>
      </w:r>
    </w:p>
    <w:p w:rsidR="002912CC" w:rsidRDefault="0068103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912CC" w:rsidRDefault="0068103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912CC" w:rsidRDefault="0068103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D278A" w:rsidRPr="00324C76" w:rsidRDefault="00E27AF2" w:rsidP="00B04217">
      <w:pPr>
        <w:spacing w:before="29" w:line="288" w:lineRule="auto"/>
        <w:ind w:firstLineChars="200" w:firstLine="480"/>
        <w:rPr>
          <w:color w:val="000000"/>
          <w:sz w:val="24"/>
        </w:rPr>
      </w:pPr>
      <w:r w:rsidRPr="00324C76">
        <w:rPr>
          <w:color w:val="000000"/>
          <w:sz w:val="24"/>
        </w:rPr>
        <w:t>报告期内本公司严格执行公平交易制度，公平对待旗下各投资组合，未发现任何违反公平交易的行为。</w:t>
      </w:r>
    </w:p>
    <w:p w:rsidR="005D278A" w:rsidRPr="00324C76" w:rsidRDefault="005D278A" w:rsidP="00B04217">
      <w:pPr>
        <w:spacing w:before="29" w:line="288" w:lineRule="auto"/>
        <w:rPr>
          <w:sz w:val="24"/>
        </w:rPr>
      </w:pPr>
      <w:r w:rsidRPr="00324C76">
        <w:rPr>
          <w:sz w:val="24"/>
        </w:rPr>
        <w:t>4.3.</w:t>
      </w:r>
      <w:r w:rsidR="00F31F40" w:rsidRPr="00324C76">
        <w:rPr>
          <w:sz w:val="24"/>
        </w:rPr>
        <w:t>2</w:t>
      </w:r>
      <w:r w:rsidRPr="00324C76">
        <w:rPr>
          <w:sz w:val="24"/>
        </w:rPr>
        <w:t xml:space="preserve"> </w:t>
      </w:r>
      <w:r w:rsidRPr="00324C76">
        <w:rPr>
          <w:sz w:val="24"/>
        </w:rPr>
        <w:t>异常交易行为的专项说明</w:t>
      </w:r>
    </w:p>
    <w:p w:rsidR="005D278A" w:rsidRPr="00324C76" w:rsidRDefault="00E27AF2" w:rsidP="00B04217">
      <w:pPr>
        <w:spacing w:before="29" w:line="288" w:lineRule="auto"/>
        <w:ind w:firstLineChars="200" w:firstLine="480"/>
        <w:rPr>
          <w:color w:val="000000"/>
          <w:sz w:val="24"/>
        </w:rPr>
      </w:pPr>
      <w:r w:rsidRPr="00324C76">
        <w:rPr>
          <w:color w:val="000000"/>
          <w:sz w:val="24"/>
        </w:rPr>
        <w:t>本基金于本报告期内不存在异常交易行为。本报告期内</w:t>
      </w:r>
      <w:r w:rsidRPr="00324C76">
        <w:rPr>
          <w:color w:val="000000"/>
          <w:sz w:val="24"/>
        </w:rPr>
        <w:t>,</w:t>
      </w:r>
      <w:r w:rsidRPr="00324C76">
        <w:rPr>
          <w:color w:val="000000"/>
          <w:sz w:val="24"/>
        </w:rPr>
        <w:t>本公司管理的所有投资组合参与的交易所公开竞价同日反向交易成交较少的单边交易量没有超过该证券当日总成交量</w:t>
      </w:r>
      <w:r w:rsidRPr="00324C76">
        <w:rPr>
          <w:color w:val="000000"/>
          <w:sz w:val="24"/>
        </w:rPr>
        <w:t>5%</w:t>
      </w:r>
      <w:r w:rsidRPr="00324C76">
        <w:rPr>
          <w:color w:val="000000"/>
          <w:sz w:val="24"/>
        </w:rPr>
        <w:t>的情形，本基金与本公司管理的其他投资组合在不同时间窗下（如日内、</w:t>
      </w:r>
      <w:r w:rsidRPr="00324C76">
        <w:rPr>
          <w:color w:val="000000"/>
          <w:sz w:val="24"/>
        </w:rPr>
        <w:t>3</w:t>
      </w:r>
      <w:r w:rsidRPr="00324C76">
        <w:rPr>
          <w:color w:val="000000"/>
          <w:sz w:val="24"/>
        </w:rPr>
        <w:t>日内、</w:t>
      </w:r>
      <w:r w:rsidRPr="00324C76">
        <w:rPr>
          <w:color w:val="000000"/>
          <w:sz w:val="24"/>
        </w:rPr>
        <w:t>5</w:t>
      </w:r>
      <w:r w:rsidRPr="00324C76">
        <w:rPr>
          <w:color w:val="000000"/>
          <w:sz w:val="24"/>
        </w:rPr>
        <w:t>日内）同向交易的交易价差未出现异常。</w:t>
      </w:r>
    </w:p>
    <w:p w:rsidR="00220542" w:rsidRPr="00324C76" w:rsidRDefault="00220542" w:rsidP="00B04217">
      <w:pPr>
        <w:spacing w:before="29" w:line="288" w:lineRule="auto"/>
        <w:ind w:firstLineChars="200" w:firstLine="480"/>
        <w:rPr>
          <w:sz w:val="24"/>
        </w:rPr>
      </w:pPr>
    </w:p>
    <w:p w:rsidR="004D6E34" w:rsidRPr="00324C76" w:rsidRDefault="00360A1E" w:rsidP="00B04217">
      <w:pPr>
        <w:spacing w:before="29" w:line="288" w:lineRule="auto"/>
        <w:rPr>
          <w:sz w:val="24"/>
        </w:rPr>
      </w:pPr>
      <w:r w:rsidRPr="00324C76">
        <w:rPr>
          <w:b/>
          <w:color w:val="000000"/>
          <w:kern w:val="0"/>
          <w:sz w:val="24"/>
        </w:rPr>
        <w:t xml:space="preserve">4.4 </w:t>
      </w:r>
      <w:r w:rsidRPr="00324C76">
        <w:rPr>
          <w:rFonts w:hAnsi="宋体"/>
          <w:b/>
          <w:bCs/>
          <w:color w:val="000000"/>
          <w:sz w:val="24"/>
        </w:rPr>
        <w:t>报告期内基金的投资策略和运作分析</w:t>
      </w:r>
    </w:p>
    <w:p w:rsidR="002912CC" w:rsidRDefault="0068103A">
      <w:pPr>
        <w:spacing w:before="29" w:line="288" w:lineRule="auto"/>
        <w:ind w:firstLineChars="200" w:firstLine="480"/>
        <w:rPr>
          <w:color w:val="000000"/>
          <w:sz w:val="24"/>
        </w:rPr>
      </w:pPr>
      <w:r>
        <w:rPr>
          <w:color w:val="000000"/>
          <w:sz w:val="24"/>
        </w:rPr>
        <w:t>2014</w:t>
      </w:r>
      <w:r>
        <w:rPr>
          <w:color w:val="000000"/>
          <w:sz w:val="24"/>
        </w:rPr>
        <w:t>年第二季度，国内经济增速已有回稳迹象但仍然有下行压力。在这种经济环境下，资本市场总体处于低位窄幅震荡。</w:t>
      </w:r>
    </w:p>
    <w:p w:rsidR="002912CC" w:rsidRDefault="0068103A">
      <w:pPr>
        <w:spacing w:before="29" w:line="288" w:lineRule="auto"/>
        <w:ind w:firstLineChars="200" w:firstLine="480"/>
        <w:rPr>
          <w:color w:val="000000"/>
          <w:sz w:val="24"/>
        </w:rPr>
      </w:pPr>
      <w:r>
        <w:rPr>
          <w:color w:val="000000"/>
          <w:sz w:val="24"/>
        </w:rPr>
        <w:t>作为跟踪基准指数的指数基金，净值在本季度内总体略有上涨，但上涨幅度有限。本基金在</w:t>
      </w:r>
      <w:r>
        <w:rPr>
          <w:color w:val="000000"/>
          <w:sz w:val="24"/>
        </w:rPr>
        <w:t>6</w:t>
      </w:r>
      <w:r>
        <w:rPr>
          <w:color w:val="000000"/>
          <w:sz w:val="24"/>
        </w:rPr>
        <w:t>月份内基本完成了成分股调整操作，调整期间内基金的跟踪误差保持稳定。</w:t>
      </w:r>
    </w:p>
    <w:p w:rsidR="004D6E34" w:rsidRPr="00324C76" w:rsidRDefault="00E27AF2" w:rsidP="00B04217">
      <w:pPr>
        <w:spacing w:before="29" w:line="288" w:lineRule="auto"/>
        <w:ind w:firstLineChars="200" w:firstLine="480"/>
        <w:rPr>
          <w:color w:val="000000"/>
          <w:sz w:val="24"/>
        </w:rPr>
      </w:pPr>
      <w:r w:rsidRPr="00324C76">
        <w:rPr>
          <w:color w:val="000000"/>
          <w:sz w:val="24"/>
        </w:rPr>
        <w:t>展望下个季度，在整体政策着力于改革与结构调整的大背景下，叠加上货币政策放松的趋势，宏观经济或将呈现出区间波动特征。政府持续、坚决地推进改革及转型，或能增强投资者对中长期经济的信心，使得市场进入良性可持续地回暖阶段。</w:t>
      </w:r>
    </w:p>
    <w:p w:rsidR="0092140D" w:rsidRPr="00324C76" w:rsidRDefault="0092140D" w:rsidP="00B04217">
      <w:pPr>
        <w:spacing w:before="29" w:line="288" w:lineRule="auto"/>
        <w:ind w:firstLineChars="200" w:firstLine="480"/>
        <w:rPr>
          <w:color w:val="000000"/>
          <w:sz w:val="24"/>
        </w:rPr>
      </w:pPr>
    </w:p>
    <w:p w:rsidR="004D6E34" w:rsidRPr="00324C76" w:rsidRDefault="00360A1E" w:rsidP="00B04217">
      <w:pPr>
        <w:spacing w:before="29" w:line="288" w:lineRule="auto"/>
        <w:rPr>
          <w:sz w:val="24"/>
        </w:rPr>
      </w:pPr>
      <w:r w:rsidRPr="00324C76">
        <w:rPr>
          <w:b/>
          <w:color w:val="000000"/>
          <w:kern w:val="0"/>
          <w:sz w:val="24"/>
        </w:rPr>
        <w:t>4.5</w:t>
      </w:r>
      <w:r w:rsidRPr="00324C76">
        <w:rPr>
          <w:b/>
          <w:color w:val="000000"/>
          <w:kern w:val="0"/>
          <w:sz w:val="24"/>
        </w:rPr>
        <w:t>报告期内基金的业绩表现</w:t>
      </w:r>
    </w:p>
    <w:p w:rsidR="004D6E34" w:rsidRPr="00324C76" w:rsidRDefault="00E27AF2" w:rsidP="00B04217">
      <w:pPr>
        <w:spacing w:before="29" w:line="288" w:lineRule="auto"/>
        <w:ind w:firstLineChars="200" w:firstLine="480"/>
        <w:rPr>
          <w:color w:val="000000"/>
          <w:sz w:val="24"/>
        </w:rPr>
      </w:pPr>
      <w:r w:rsidRPr="00324C76">
        <w:rPr>
          <w:color w:val="000000"/>
          <w:sz w:val="24"/>
        </w:rPr>
        <w:t>截至</w:t>
      </w:r>
      <w:r w:rsidRPr="00324C76">
        <w:rPr>
          <w:color w:val="000000"/>
          <w:sz w:val="24"/>
        </w:rPr>
        <w:t>2014</w:t>
      </w:r>
      <w:r w:rsidRPr="00324C76">
        <w:rPr>
          <w:color w:val="000000"/>
          <w:sz w:val="24"/>
        </w:rPr>
        <w:t>年</w:t>
      </w:r>
      <w:r w:rsidRPr="00324C76">
        <w:rPr>
          <w:color w:val="000000"/>
          <w:sz w:val="24"/>
        </w:rPr>
        <w:t>6</w:t>
      </w:r>
      <w:r w:rsidRPr="00324C76">
        <w:rPr>
          <w:color w:val="000000"/>
          <w:sz w:val="24"/>
        </w:rPr>
        <w:t>月</w:t>
      </w:r>
      <w:r w:rsidRPr="00324C76">
        <w:rPr>
          <w:color w:val="000000"/>
          <w:sz w:val="24"/>
        </w:rPr>
        <w:t>30</w:t>
      </w:r>
      <w:r w:rsidRPr="00324C76">
        <w:rPr>
          <w:color w:val="000000"/>
          <w:sz w:val="24"/>
        </w:rPr>
        <w:t>日，本基金份额净值为</w:t>
      </w:r>
      <w:r w:rsidRPr="00324C76">
        <w:rPr>
          <w:color w:val="000000"/>
          <w:sz w:val="24"/>
        </w:rPr>
        <w:t>0.879</w:t>
      </w:r>
      <w:r w:rsidRPr="00324C76">
        <w:rPr>
          <w:color w:val="000000"/>
          <w:sz w:val="24"/>
        </w:rPr>
        <w:t>元，本报告期份额净值增长率为</w:t>
      </w:r>
      <w:r w:rsidRPr="00324C76">
        <w:rPr>
          <w:color w:val="000000"/>
          <w:sz w:val="24"/>
        </w:rPr>
        <w:t>2.21%</w:t>
      </w:r>
      <w:r w:rsidRPr="00324C76">
        <w:rPr>
          <w:color w:val="000000"/>
          <w:sz w:val="24"/>
        </w:rPr>
        <w:t>，同期业绩比较基准增长率为</w:t>
      </w:r>
      <w:r w:rsidRPr="00324C76">
        <w:rPr>
          <w:color w:val="000000"/>
          <w:sz w:val="24"/>
        </w:rPr>
        <w:t>0.81%</w:t>
      </w:r>
      <w:r w:rsidRPr="00324C76">
        <w:rPr>
          <w:color w:val="000000"/>
          <w:sz w:val="24"/>
        </w:rPr>
        <w:t>。本报告期内本基金的日均跟踪偏离度为</w:t>
      </w:r>
      <w:r w:rsidRPr="00324C76">
        <w:rPr>
          <w:color w:val="000000"/>
          <w:sz w:val="24"/>
        </w:rPr>
        <w:t>0.07%</w:t>
      </w:r>
      <w:r w:rsidRPr="00324C76">
        <w:rPr>
          <w:color w:val="000000"/>
          <w:sz w:val="24"/>
        </w:rPr>
        <w:t>，跟踪误差为</w:t>
      </w:r>
      <w:r w:rsidRPr="00324C76">
        <w:rPr>
          <w:color w:val="000000"/>
          <w:sz w:val="24"/>
        </w:rPr>
        <w:t>0.10%</w:t>
      </w:r>
      <w:r w:rsidRPr="00324C76">
        <w:rPr>
          <w:color w:val="000000"/>
          <w:sz w:val="24"/>
        </w:rPr>
        <w:t>。</w:t>
      </w:r>
    </w:p>
    <w:p w:rsidR="008A22A5" w:rsidRPr="00324C76" w:rsidRDefault="008A22A5" w:rsidP="00B04217">
      <w:pPr>
        <w:spacing w:before="29" w:line="288" w:lineRule="auto"/>
        <w:rPr>
          <w:kern w:val="0"/>
          <w:sz w:val="24"/>
        </w:rPr>
      </w:pPr>
    </w:p>
    <w:p w:rsidR="00220542" w:rsidRPr="00324C76" w:rsidRDefault="00220542" w:rsidP="000D1073">
      <w:pPr>
        <w:pStyle w:val="1"/>
        <w:spacing w:beforeLines="100" w:afterLines="100" w:line="288" w:lineRule="auto"/>
        <w:jc w:val="center"/>
        <w:rPr>
          <w:kern w:val="0"/>
          <w:sz w:val="24"/>
          <w:szCs w:val="24"/>
        </w:rPr>
      </w:pPr>
      <w:r w:rsidRPr="00324C76">
        <w:rPr>
          <w:kern w:val="0"/>
          <w:sz w:val="24"/>
          <w:szCs w:val="24"/>
        </w:rPr>
        <w:t xml:space="preserve">§5  </w:t>
      </w:r>
      <w:r w:rsidRPr="00324C76">
        <w:rPr>
          <w:kern w:val="0"/>
          <w:sz w:val="24"/>
          <w:szCs w:val="24"/>
        </w:rPr>
        <w:t>投资组合报告</w:t>
      </w:r>
    </w:p>
    <w:p w:rsidR="00EA6B24" w:rsidRPr="00324C76" w:rsidRDefault="00AC2FFC" w:rsidP="00B04217">
      <w:pPr>
        <w:autoSpaceDE w:val="0"/>
        <w:autoSpaceDN w:val="0"/>
        <w:adjustRightInd w:val="0"/>
        <w:spacing w:before="29" w:line="288" w:lineRule="auto"/>
        <w:jc w:val="left"/>
        <w:rPr>
          <w:b/>
          <w:kern w:val="0"/>
          <w:sz w:val="24"/>
        </w:rPr>
      </w:pPr>
      <w:r w:rsidRPr="00324C76">
        <w:rPr>
          <w:b/>
          <w:kern w:val="0"/>
          <w:sz w:val="24"/>
        </w:rPr>
        <w:t>5.1</w:t>
      </w:r>
      <w:r w:rsidR="00736C89" w:rsidRPr="00324C76">
        <w:rPr>
          <w:b/>
          <w:kern w:val="0"/>
          <w:sz w:val="24"/>
        </w:rPr>
        <w:t xml:space="preserve"> </w:t>
      </w:r>
      <w:r w:rsidR="00EA6B24" w:rsidRPr="00324C76">
        <w:rPr>
          <w:b/>
          <w:kern w:val="0"/>
          <w:sz w:val="24"/>
        </w:rPr>
        <w:t>报告期末基金资产组合情况</w:t>
      </w:r>
    </w:p>
    <w:tbl>
      <w:tblPr>
        <w:tblStyle w:val="af7"/>
        <w:tblW w:w="8868" w:type="dxa"/>
        <w:jc w:val="center"/>
        <w:tblLayout w:type="fixed"/>
        <w:tblCellMar>
          <w:top w:w="-1" w:type="dxa"/>
          <w:bottom w:w="-1" w:type="dxa"/>
        </w:tblCellMar>
        <w:tblLook w:val="04A0"/>
      </w:tblPr>
      <w:tblGrid>
        <w:gridCol w:w="749"/>
        <w:gridCol w:w="3491"/>
        <w:gridCol w:w="2801"/>
        <w:gridCol w:w="1827"/>
      </w:tblGrid>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序号</w:t>
            </w:r>
          </w:p>
        </w:tc>
        <w:tc>
          <w:tcPr>
            <w:tcW w:w="3357"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项目</w:t>
            </w:r>
          </w:p>
        </w:tc>
        <w:tc>
          <w:tcPr>
            <w:tcW w:w="2694"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金额</w:t>
            </w:r>
            <w:r w:rsidR="006A1874" w:rsidRPr="00324C76">
              <w:rPr>
                <w:color w:val="000000"/>
                <w:sz w:val="24"/>
              </w:rPr>
              <w:t>（元）</w:t>
            </w:r>
          </w:p>
        </w:tc>
        <w:tc>
          <w:tcPr>
            <w:tcW w:w="1757"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占基金总资产的比例</w:t>
            </w:r>
            <w:r w:rsidR="006A1874"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1</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权益投资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60,219.25</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0.14</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其中：股票</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60,219.25</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0.14</w:t>
            </w:r>
          </w:p>
        </w:tc>
      </w:tr>
      <w:tr w:rsidR="00314308" w:rsidRPr="00324C76" w:rsidTr="008C550C">
        <w:trPr>
          <w:jc w:val="center"/>
        </w:trPr>
        <w:tc>
          <w:tcPr>
            <w:tcW w:w="720" w:type="dxa"/>
            <w:vAlign w:val="center"/>
          </w:tcPr>
          <w:p w:rsidR="00314308" w:rsidRPr="00324C76" w:rsidRDefault="00314308" w:rsidP="00B04217">
            <w:pPr>
              <w:spacing w:before="29" w:line="288" w:lineRule="auto"/>
              <w:ind w:left="17"/>
              <w:jc w:val="center"/>
              <w:rPr>
                <w:color w:val="000000"/>
                <w:sz w:val="24"/>
              </w:rPr>
            </w:pPr>
            <w:r w:rsidRPr="00324C76">
              <w:rPr>
                <w:color w:val="000000"/>
                <w:sz w:val="24"/>
              </w:rPr>
              <w:t>2</w:t>
            </w:r>
          </w:p>
        </w:tc>
        <w:tc>
          <w:tcPr>
            <w:tcW w:w="3357" w:type="dxa"/>
            <w:vAlign w:val="center"/>
          </w:tcPr>
          <w:p w:rsidR="00314308" w:rsidRPr="00324C76" w:rsidRDefault="00314308" w:rsidP="00B04217">
            <w:pPr>
              <w:spacing w:before="29" w:line="288" w:lineRule="auto"/>
              <w:ind w:left="17"/>
              <w:jc w:val="left"/>
              <w:rPr>
                <w:color w:val="000000"/>
                <w:sz w:val="24"/>
              </w:rPr>
            </w:pPr>
            <w:r w:rsidRPr="00324C76">
              <w:rPr>
                <w:color w:val="000000"/>
                <w:sz w:val="24"/>
              </w:rPr>
              <w:t>基金投资</w:t>
            </w:r>
          </w:p>
        </w:tc>
        <w:tc>
          <w:tcPr>
            <w:tcW w:w="2694" w:type="dxa"/>
            <w:vAlign w:val="center"/>
          </w:tcPr>
          <w:p w:rsidR="00314308" w:rsidRPr="00324C76" w:rsidRDefault="00314308" w:rsidP="00B04217">
            <w:pPr>
              <w:spacing w:before="29" w:line="288" w:lineRule="auto"/>
              <w:ind w:left="17"/>
              <w:jc w:val="right"/>
              <w:rPr>
                <w:color w:val="000000"/>
                <w:sz w:val="24"/>
              </w:rPr>
            </w:pPr>
            <w:r w:rsidRPr="00324C76">
              <w:rPr>
                <w:color w:val="000000"/>
                <w:sz w:val="24"/>
              </w:rPr>
              <w:t>40,626,817.50</w:t>
            </w:r>
          </w:p>
        </w:tc>
        <w:tc>
          <w:tcPr>
            <w:tcW w:w="1757" w:type="dxa"/>
            <w:vAlign w:val="center"/>
          </w:tcPr>
          <w:p w:rsidR="00314308" w:rsidRPr="00324C76" w:rsidRDefault="00314308" w:rsidP="00B04217">
            <w:pPr>
              <w:spacing w:before="29" w:line="288" w:lineRule="auto"/>
              <w:ind w:left="17"/>
              <w:jc w:val="right"/>
              <w:rPr>
                <w:color w:val="000000"/>
                <w:sz w:val="24"/>
              </w:rPr>
            </w:pPr>
            <w:r w:rsidRPr="00324C76">
              <w:rPr>
                <w:color w:val="000000"/>
                <w:sz w:val="24"/>
              </w:rPr>
              <w:t>94.39</w:t>
            </w:r>
          </w:p>
        </w:tc>
      </w:tr>
      <w:tr w:rsidR="00E27AF2" w:rsidRPr="00324C76" w:rsidTr="008C550C">
        <w:trPr>
          <w:jc w:val="center"/>
        </w:trPr>
        <w:tc>
          <w:tcPr>
            <w:tcW w:w="720" w:type="dxa"/>
            <w:vAlign w:val="center"/>
          </w:tcPr>
          <w:p w:rsidR="00E27AF2" w:rsidRPr="00324C76" w:rsidRDefault="00A9064E" w:rsidP="00B04217">
            <w:pPr>
              <w:spacing w:before="29" w:line="288" w:lineRule="auto"/>
              <w:ind w:left="17"/>
              <w:jc w:val="center"/>
              <w:rPr>
                <w:color w:val="000000"/>
                <w:sz w:val="24"/>
              </w:rPr>
            </w:pPr>
            <w:r w:rsidRPr="00324C76">
              <w:rPr>
                <w:color w:val="000000"/>
                <w:sz w:val="24"/>
              </w:rPr>
              <w:t>3</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固定收益投资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其中：债券</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autoSpaceDE w:val="0"/>
              <w:autoSpaceDN w:val="0"/>
              <w:adjustRightInd w:val="0"/>
              <w:spacing w:before="29" w:line="288" w:lineRule="auto"/>
              <w:ind w:left="17" w:firstLineChars="300" w:firstLine="720"/>
              <w:jc w:val="left"/>
              <w:rPr>
                <w:color w:val="000000"/>
                <w:sz w:val="24"/>
              </w:rPr>
            </w:pPr>
            <w:r w:rsidRPr="00324C76">
              <w:rPr>
                <w:color w:val="000000"/>
                <w:sz w:val="24"/>
              </w:rPr>
              <w:t>资产支持证券</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6B7F36" w:rsidRPr="00324C76" w:rsidTr="008C550C">
        <w:trPr>
          <w:jc w:val="center"/>
        </w:trPr>
        <w:tc>
          <w:tcPr>
            <w:tcW w:w="720" w:type="dxa"/>
            <w:vAlign w:val="center"/>
          </w:tcPr>
          <w:p w:rsidR="006B7F36" w:rsidRPr="00324C76" w:rsidRDefault="006B7F36" w:rsidP="00B04217">
            <w:pPr>
              <w:spacing w:before="29" w:line="288" w:lineRule="auto"/>
              <w:ind w:left="17"/>
              <w:jc w:val="center"/>
              <w:rPr>
                <w:color w:val="000000"/>
                <w:sz w:val="24"/>
              </w:rPr>
            </w:pPr>
            <w:r w:rsidRPr="00324C76">
              <w:rPr>
                <w:color w:val="000000"/>
                <w:sz w:val="24"/>
              </w:rPr>
              <w:t>4</w:t>
            </w:r>
          </w:p>
        </w:tc>
        <w:tc>
          <w:tcPr>
            <w:tcW w:w="3357" w:type="dxa"/>
            <w:vAlign w:val="center"/>
          </w:tcPr>
          <w:p w:rsidR="006B7F36" w:rsidRPr="00324C76" w:rsidRDefault="006B7F36" w:rsidP="00B04217">
            <w:pPr>
              <w:spacing w:before="29" w:line="288" w:lineRule="auto"/>
              <w:ind w:left="17"/>
              <w:jc w:val="left"/>
              <w:rPr>
                <w:color w:val="000000"/>
                <w:sz w:val="24"/>
              </w:rPr>
            </w:pPr>
            <w:r w:rsidRPr="00324C76">
              <w:rPr>
                <w:rFonts w:hAnsi="宋体"/>
                <w:color w:val="000000"/>
                <w:sz w:val="24"/>
              </w:rPr>
              <w:t>贵金属投资</w:t>
            </w:r>
          </w:p>
        </w:tc>
        <w:tc>
          <w:tcPr>
            <w:tcW w:w="2694" w:type="dxa"/>
            <w:vAlign w:val="center"/>
          </w:tcPr>
          <w:p w:rsidR="006B7F36" w:rsidRPr="00324C76" w:rsidRDefault="006B7F36" w:rsidP="00B04217">
            <w:pPr>
              <w:spacing w:before="29" w:line="288" w:lineRule="auto"/>
              <w:ind w:left="17"/>
              <w:jc w:val="right"/>
              <w:rPr>
                <w:color w:val="000000"/>
                <w:sz w:val="24"/>
              </w:rPr>
            </w:pPr>
            <w:r w:rsidRPr="00324C76">
              <w:rPr>
                <w:rFonts w:eastAsiaTheme="minorEastAsia"/>
                <w:color w:val="000000"/>
                <w:sz w:val="24"/>
              </w:rPr>
              <w:t>-</w:t>
            </w:r>
          </w:p>
        </w:tc>
        <w:tc>
          <w:tcPr>
            <w:tcW w:w="1757" w:type="dxa"/>
            <w:vAlign w:val="center"/>
          </w:tcPr>
          <w:p w:rsidR="006B7F36" w:rsidRPr="00324C76" w:rsidRDefault="006B7F36" w:rsidP="00B04217">
            <w:pPr>
              <w:spacing w:before="29" w:line="288" w:lineRule="auto"/>
              <w:ind w:left="17"/>
              <w:jc w:val="right"/>
              <w:rPr>
                <w:color w:val="000000"/>
                <w:sz w:val="24"/>
              </w:rPr>
            </w:pPr>
            <w:r w:rsidRPr="00324C76">
              <w:rPr>
                <w:rFonts w:eastAsiaTheme="minorEastAsia"/>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5</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金融衍生品投资</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6</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买入返售金融资产</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其中：买断式回购的买入返售金融资产</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w:t>
            </w:r>
          </w:p>
        </w:tc>
      </w:tr>
      <w:tr w:rsidR="00E27AF2" w:rsidRPr="00324C76" w:rsidTr="008C550C">
        <w:trPr>
          <w:jc w:val="center"/>
        </w:trPr>
        <w:tc>
          <w:tcPr>
            <w:tcW w:w="720" w:type="dxa"/>
            <w:vAlign w:val="center"/>
          </w:tcPr>
          <w:p w:rsidR="00E27AF2" w:rsidRPr="00324C76" w:rsidRDefault="006B7F36" w:rsidP="00B04217">
            <w:pPr>
              <w:spacing w:before="29" w:line="288" w:lineRule="auto"/>
              <w:ind w:left="17"/>
              <w:jc w:val="center"/>
              <w:rPr>
                <w:color w:val="000000"/>
                <w:sz w:val="24"/>
              </w:rPr>
            </w:pPr>
            <w:r w:rsidRPr="00324C76">
              <w:rPr>
                <w:color w:val="000000"/>
                <w:sz w:val="24"/>
              </w:rPr>
              <w:t>7</w:t>
            </w:r>
          </w:p>
        </w:tc>
        <w:tc>
          <w:tcPr>
            <w:tcW w:w="3357" w:type="dxa"/>
            <w:vAlign w:val="center"/>
          </w:tcPr>
          <w:p w:rsidR="00E27AF2" w:rsidRPr="00324C76" w:rsidRDefault="00E27AF2" w:rsidP="00B04217">
            <w:pPr>
              <w:spacing w:before="29" w:line="288" w:lineRule="auto"/>
              <w:ind w:left="17"/>
              <w:jc w:val="left"/>
              <w:rPr>
                <w:sz w:val="24"/>
              </w:rPr>
            </w:pPr>
            <w:r w:rsidRPr="00324C76">
              <w:rPr>
                <w:color w:val="000000"/>
                <w:sz w:val="24"/>
              </w:rPr>
              <w:t>银行存款和结算备付金合计</w:t>
            </w:r>
          </w:p>
        </w:tc>
        <w:tc>
          <w:tcPr>
            <w:tcW w:w="2694"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2,316,842.24</w:t>
            </w:r>
          </w:p>
        </w:tc>
        <w:tc>
          <w:tcPr>
            <w:tcW w:w="1757" w:type="dxa"/>
            <w:vAlign w:val="center"/>
          </w:tcPr>
          <w:p w:rsidR="00E27AF2" w:rsidRPr="00324C76" w:rsidRDefault="00E27AF2" w:rsidP="00B04217">
            <w:pPr>
              <w:spacing w:before="29" w:line="288" w:lineRule="auto"/>
              <w:ind w:left="17"/>
              <w:jc w:val="right"/>
              <w:rPr>
                <w:color w:val="000000"/>
                <w:sz w:val="24"/>
              </w:rPr>
            </w:pPr>
            <w:r w:rsidRPr="00324C76">
              <w:rPr>
                <w:color w:val="000000"/>
                <w:sz w:val="24"/>
              </w:rPr>
              <w:t>5.38</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8</w:t>
            </w:r>
          </w:p>
        </w:tc>
        <w:tc>
          <w:tcPr>
            <w:tcW w:w="3357" w:type="dxa"/>
            <w:vAlign w:val="center"/>
          </w:tcPr>
          <w:p w:rsidR="00E27AF2" w:rsidRPr="00324C76" w:rsidRDefault="00F21C76" w:rsidP="00B04217">
            <w:pPr>
              <w:spacing w:before="29" w:line="288" w:lineRule="auto"/>
              <w:jc w:val="left"/>
              <w:rPr>
                <w:sz w:val="24"/>
              </w:rPr>
            </w:pPr>
            <w:r w:rsidRPr="00324C76">
              <w:rPr>
                <w:color w:val="000000"/>
                <w:sz w:val="24"/>
              </w:rPr>
              <w:t>其他</w:t>
            </w:r>
            <w:r w:rsidR="00E27AF2" w:rsidRPr="00324C76">
              <w:rPr>
                <w:color w:val="000000"/>
                <w:sz w:val="24"/>
              </w:rPr>
              <w:t>资产</w:t>
            </w:r>
          </w:p>
        </w:tc>
        <w:tc>
          <w:tcPr>
            <w:tcW w:w="2694" w:type="dxa"/>
            <w:vAlign w:val="center"/>
          </w:tcPr>
          <w:p w:rsidR="00E27AF2" w:rsidRPr="00324C76" w:rsidRDefault="00E27AF2" w:rsidP="00B04217">
            <w:pPr>
              <w:spacing w:before="29" w:line="288" w:lineRule="auto"/>
              <w:jc w:val="right"/>
              <w:rPr>
                <w:color w:val="000000"/>
                <w:sz w:val="24"/>
              </w:rPr>
            </w:pPr>
            <w:r w:rsidRPr="00324C76">
              <w:rPr>
                <w:color w:val="000000"/>
                <w:sz w:val="24"/>
              </w:rPr>
              <w:t>39,789.69</w:t>
            </w:r>
          </w:p>
        </w:tc>
        <w:tc>
          <w:tcPr>
            <w:tcW w:w="1757" w:type="dxa"/>
            <w:vAlign w:val="center"/>
          </w:tcPr>
          <w:p w:rsidR="00E27AF2" w:rsidRPr="00324C76" w:rsidRDefault="00E27AF2" w:rsidP="00B04217">
            <w:pPr>
              <w:spacing w:before="29" w:line="288" w:lineRule="auto"/>
              <w:jc w:val="right"/>
              <w:rPr>
                <w:color w:val="000000"/>
                <w:sz w:val="24"/>
              </w:rPr>
            </w:pPr>
            <w:r w:rsidRPr="00324C76">
              <w:rPr>
                <w:color w:val="000000"/>
                <w:sz w:val="24"/>
              </w:rPr>
              <w:t>0.09</w:t>
            </w:r>
          </w:p>
        </w:tc>
      </w:tr>
      <w:tr w:rsidR="00E27AF2" w:rsidRPr="00324C76" w:rsidTr="008C550C">
        <w:trPr>
          <w:jc w:val="center"/>
        </w:trPr>
        <w:tc>
          <w:tcPr>
            <w:tcW w:w="720" w:type="dxa"/>
            <w:vAlign w:val="center"/>
          </w:tcPr>
          <w:p w:rsidR="00E27AF2" w:rsidRPr="00324C76" w:rsidRDefault="00E27AF2" w:rsidP="00B04217">
            <w:pPr>
              <w:spacing w:before="29" w:line="288" w:lineRule="auto"/>
              <w:ind w:left="17"/>
              <w:jc w:val="center"/>
              <w:rPr>
                <w:color w:val="000000"/>
                <w:sz w:val="24"/>
              </w:rPr>
            </w:pPr>
            <w:r w:rsidRPr="00324C76">
              <w:rPr>
                <w:color w:val="000000"/>
                <w:sz w:val="24"/>
              </w:rPr>
              <w:t>9</w:t>
            </w:r>
          </w:p>
        </w:tc>
        <w:tc>
          <w:tcPr>
            <w:tcW w:w="3357" w:type="dxa"/>
            <w:vAlign w:val="center"/>
          </w:tcPr>
          <w:p w:rsidR="00E27AF2" w:rsidRPr="00324C76" w:rsidRDefault="00E27AF2" w:rsidP="00B04217">
            <w:pPr>
              <w:spacing w:before="29" w:line="288" w:lineRule="auto"/>
              <w:jc w:val="left"/>
              <w:rPr>
                <w:sz w:val="24"/>
              </w:rPr>
            </w:pPr>
            <w:r w:rsidRPr="00324C76">
              <w:rPr>
                <w:color w:val="000000"/>
                <w:sz w:val="24"/>
              </w:rPr>
              <w:t>合计</w:t>
            </w:r>
          </w:p>
        </w:tc>
        <w:tc>
          <w:tcPr>
            <w:tcW w:w="2694" w:type="dxa"/>
            <w:vAlign w:val="center"/>
          </w:tcPr>
          <w:p w:rsidR="00E27AF2" w:rsidRPr="00324C76" w:rsidRDefault="00E27AF2" w:rsidP="00B04217">
            <w:pPr>
              <w:spacing w:before="29" w:line="288" w:lineRule="auto"/>
              <w:jc w:val="right"/>
              <w:rPr>
                <w:color w:val="000000"/>
                <w:sz w:val="24"/>
              </w:rPr>
            </w:pPr>
            <w:r w:rsidRPr="00324C76">
              <w:rPr>
                <w:color w:val="000000"/>
                <w:sz w:val="24"/>
              </w:rPr>
              <w:t>43,043,668.68</w:t>
            </w:r>
          </w:p>
        </w:tc>
        <w:tc>
          <w:tcPr>
            <w:tcW w:w="1757" w:type="dxa"/>
            <w:vAlign w:val="center"/>
          </w:tcPr>
          <w:p w:rsidR="00E27AF2" w:rsidRPr="00324C76" w:rsidRDefault="00E27AF2" w:rsidP="00B04217">
            <w:pPr>
              <w:spacing w:before="29" w:line="288" w:lineRule="auto"/>
              <w:jc w:val="right"/>
              <w:rPr>
                <w:color w:val="000000"/>
                <w:sz w:val="24"/>
              </w:rPr>
            </w:pPr>
            <w:r w:rsidRPr="00324C76">
              <w:rPr>
                <w:color w:val="000000"/>
                <w:sz w:val="24"/>
              </w:rPr>
              <w:t>100.00</w:t>
            </w:r>
          </w:p>
        </w:tc>
      </w:tr>
    </w:tbl>
    <w:p w:rsidR="00D83335" w:rsidRPr="00324C76" w:rsidRDefault="00D83335" w:rsidP="00B04217">
      <w:pPr>
        <w:autoSpaceDE w:val="0"/>
        <w:autoSpaceDN w:val="0"/>
        <w:adjustRightInd w:val="0"/>
        <w:spacing w:before="29" w:line="288" w:lineRule="auto"/>
        <w:jc w:val="left"/>
        <w:rPr>
          <w:sz w:val="24"/>
        </w:rPr>
      </w:pPr>
    </w:p>
    <w:p w:rsidR="00D83335" w:rsidRPr="00324C76" w:rsidRDefault="00D83335" w:rsidP="00B04217">
      <w:pPr>
        <w:autoSpaceDE w:val="0"/>
        <w:autoSpaceDN w:val="0"/>
        <w:adjustRightInd w:val="0"/>
        <w:spacing w:before="29" w:line="288" w:lineRule="auto"/>
        <w:jc w:val="left"/>
        <w:rPr>
          <w:b/>
          <w:kern w:val="0"/>
          <w:sz w:val="24"/>
        </w:rPr>
      </w:pPr>
      <w:r w:rsidRPr="00324C76">
        <w:rPr>
          <w:b/>
          <w:kern w:val="0"/>
          <w:sz w:val="24"/>
        </w:rPr>
        <w:t>5.2</w:t>
      </w:r>
      <w:r w:rsidR="00991257" w:rsidRPr="00324C76">
        <w:rPr>
          <w:b/>
          <w:kern w:val="0"/>
          <w:sz w:val="24"/>
        </w:rPr>
        <w:t xml:space="preserve"> </w:t>
      </w:r>
      <w:r w:rsidRPr="00324C76">
        <w:rPr>
          <w:b/>
          <w:kern w:val="0"/>
          <w:sz w:val="24"/>
        </w:rPr>
        <w:t>期末投资目标基金明细</w:t>
      </w:r>
    </w:p>
    <w:tbl>
      <w:tblPr>
        <w:tblStyle w:val="af7"/>
        <w:tblW w:w="8868" w:type="dxa"/>
        <w:jc w:val="center"/>
        <w:tblLayout w:type="fixed"/>
        <w:tblCellMar>
          <w:top w:w="57" w:type="dxa"/>
          <w:bottom w:w="57" w:type="dxa"/>
        </w:tblCellMar>
        <w:tblLook w:val="04A0"/>
      </w:tblPr>
      <w:tblGrid>
        <w:gridCol w:w="772"/>
        <w:gridCol w:w="1559"/>
        <w:gridCol w:w="992"/>
        <w:gridCol w:w="993"/>
        <w:gridCol w:w="1559"/>
        <w:gridCol w:w="1701"/>
        <w:gridCol w:w="1292"/>
      </w:tblGrid>
      <w:tr w:rsidR="0049550C" w:rsidRPr="00324C76" w:rsidTr="0049550C">
        <w:trPr>
          <w:jc w:val="center"/>
        </w:trPr>
        <w:tc>
          <w:tcPr>
            <w:tcW w:w="772"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序号</w:t>
            </w:r>
          </w:p>
        </w:tc>
        <w:tc>
          <w:tcPr>
            <w:tcW w:w="1559"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基金名称</w:t>
            </w:r>
          </w:p>
        </w:tc>
        <w:tc>
          <w:tcPr>
            <w:tcW w:w="992"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基金类型</w:t>
            </w:r>
          </w:p>
        </w:tc>
        <w:tc>
          <w:tcPr>
            <w:tcW w:w="993"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运作方式</w:t>
            </w:r>
          </w:p>
        </w:tc>
        <w:tc>
          <w:tcPr>
            <w:tcW w:w="1559"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管理人</w:t>
            </w:r>
          </w:p>
        </w:tc>
        <w:tc>
          <w:tcPr>
            <w:tcW w:w="1701"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公允价值</w:t>
            </w:r>
            <w:r w:rsidR="008A6913" w:rsidRPr="00324C76">
              <w:rPr>
                <w:kern w:val="0"/>
                <w:sz w:val="24"/>
              </w:rPr>
              <w:t>（元）</w:t>
            </w:r>
          </w:p>
        </w:tc>
        <w:tc>
          <w:tcPr>
            <w:tcW w:w="1292"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占基金资产净值比例</w:t>
            </w:r>
            <w:r w:rsidR="008A6913" w:rsidRPr="00324C76">
              <w:rPr>
                <w:kern w:val="0"/>
                <w:sz w:val="24"/>
              </w:rPr>
              <w:t>（％）</w:t>
            </w:r>
          </w:p>
        </w:tc>
      </w:tr>
      <w:tr w:rsidR="0049550C" w:rsidTr="0049550C">
        <w:trPr>
          <w:jc w:val="center"/>
        </w:trPr>
        <w:tc>
          <w:tcPr>
            <w:tcW w:w="772" w:type="dxa"/>
            <w:vAlign w:val="center"/>
          </w:tcPr>
          <w:p w:rsidR="002912CC" w:rsidRDefault="0068103A">
            <w:pPr>
              <w:jc w:val="center"/>
            </w:pPr>
            <w:r>
              <w:rPr>
                <w:sz w:val="24"/>
              </w:rPr>
              <w:t>1</w:t>
            </w:r>
          </w:p>
        </w:tc>
        <w:tc>
          <w:tcPr>
            <w:tcW w:w="1559" w:type="dxa"/>
            <w:vAlign w:val="center"/>
          </w:tcPr>
          <w:p w:rsidR="002912CC" w:rsidRDefault="0068103A">
            <w:pPr>
              <w:jc w:val="center"/>
            </w:pPr>
            <w:r>
              <w:rPr>
                <w:sz w:val="24"/>
              </w:rPr>
              <w:t>深证</w:t>
            </w:r>
            <w:r>
              <w:rPr>
                <w:sz w:val="24"/>
              </w:rPr>
              <w:t>300</w:t>
            </w:r>
            <w:r>
              <w:rPr>
                <w:sz w:val="24"/>
              </w:rPr>
              <w:t>价值交易型开放式指数证券投资基金</w:t>
            </w:r>
          </w:p>
        </w:tc>
        <w:tc>
          <w:tcPr>
            <w:tcW w:w="992" w:type="dxa"/>
            <w:vAlign w:val="center"/>
          </w:tcPr>
          <w:p w:rsidR="002912CC" w:rsidRDefault="0068103A">
            <w:pPr>
              <w:jc w:val="center"/>
            </w:pPr>
            <w:r>
              <w:rPr>
                <w:sz w:val="24"/>
              </w:rPr>
              <w:t>股票型</w:t>
            </w:r>
          </w:p>
        </w:tc>
        <w:tc>
          <w:tcPr>
            <w:tcW w:w="993" w:type="dxa"/>
            <w:vAlign w:val="center"/>
          </w:tcPr>
          <w:p w:rsidR="002912CC" w:rsidRDefault="0068103A">
            <w:pPr>
              <w:jc w:val="center"/>
            </w:pPr>
            <w:r>
              <w:rPr>
                <w:sz w:val="24"/>
              </w:rPr>
              <w:t>交易型开放式</w:t>
            </w:r>
          </w:p>
        </w:tc>
        <w:tc>
          <w:tcPr>
            <w:tcW w:w="1559" w:type="dxa"/>
            <w:vAlign w:val="center"/>
          </w:tcPr>
          <w:p w:rsidR="002912CC" w:rsidRDefault="0068103A">
            <w:pPr>
              <w:jc w:val="center"/>
            </w:pPr>
            <w:r>
              <w:rPr>
                <w:sz w:val="24"/>
              </w:rPr>
              <w:t>交银施罗德基金管理有限公司</w:t>
            </w:r>
          </w:p>
        </w:tc>
        <w:tc>
          <w:tcPr>
            <w:tcW w:w="1701" w:type="dxa"/>
            <w:vAlign w:val="center"/>
          </w:tcPr>
          <w:p w:rsidR="002912CC" w:rsidRDefault="0068103A">
            <w:pPr>
              <w:jc w:val="right"/>
            </w:pPr>
            <w:r>
              <w:rPr>
                <w:sz w:val="24"/>
              </w:rPr>
              <w:t>40,626,817.50</w:t>
            </w:r>
          </w:p>
        </w:tc>
        <w:tc>
          <w:tcPr>
            <w:tcW w:w="1292" w:type="dxa"/>
            <w:vAlign w:val="center"/>
          </w:tcPr>
          <w:p w:rsidR="002912CC" w:rsidRDefault="0068103A">
            <w:pPr>
              <w:jc w:val="right"/>
            </w:pPr>
            <w:r>
              <w:rPr>
                <w:sz w:val="24"/>
              </w:rPr>
              <w:t>94.67</w:t>
            </w:r>
          </w:p>
        </w:tc>
      </w:tr>
    </w:tbl>
    <w:p w:rsidR="00C640D9" w:rsidRPr="00324C76" w:rsidRDefault="00C640D9"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3</w:t>
      </w:r>
      <w:r w:rsidR="00991257" w:rsidRPr="00324C76">
        <w:rPr>
          <w:b/>
          <w:kern w:val="0"/>
          <w:sz w:val="24"/>
        </w:rPr>
        <w:t xml:space="preserve"> </w:t>
      </w:r>
      <w:r w:rsidRPr="00324C76">
        <w:rPr>
          <w:b/>
          <w:kern w:val="0"/>
          <w:sz w:val="24"/>
        </w:rPr>
        <w:t>报告期末按行业分类的股票投资组合</w:t>
      </w:r>
    </w:p>
    <w:tbl>
      <w:tblPr>
        <w:tblW w:w="8868" w:type="dxa"/>
        <w:jc w:val="center"/>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bottom w:w="-1" w:type="dxa"/>
        </w:tblCellMar>
        <w:tblLook w:val="0000"/>
      </w:tblPr>
      <w:tblGrid>
        <w:gridCol w:w="845"/>
        <w:gridCol w:w="3453"/>
        <w:gridCol w:w="3115"/>
        <w:gridCol w:w="1455"/>
      </w:tblGrid>
      <w:tr w:rsidR="003634D5" w:rsidRPr="00324C76" w:rsidTr="00EF1D5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代码</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行业类别</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公允价值（元）</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占基金资产净值比例（％）</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A</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农、林、牧、渔业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B</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采矿业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68103A">
            <w:pPr>
              <w:spacing w:before="29" w:line="288" w:lineRule="auto"/>
              <w:jc w:val="right"/>
              <w:rPr>
                <w:sz w:val="24"/>
              </w:rPr>
            </w:pPr>
            <w:r w:rsidRPr="00324C76">
              <w:rPr>
                <w:sz w:val="24"/>
              </w:rPr>
              <w:t>2,335.72</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68103A">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C</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制造业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36,747.79</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0.09</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D</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电力、热力、燃气及水生产和供应业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3,030.53</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E</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建筑业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F</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批发和零售业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1,257.11</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G</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交通运输、仓储和邮政业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1,305.19</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H</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住宿和餐饮业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I</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信息传输、软件和信息技术服务业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253.66</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J</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金融业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5,701.06</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0.01</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K</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房地产业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8,298.44</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0.02</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L</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租赁和商务服务业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M</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科学研究和技术服务业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N</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水利、环境和公共设施管理业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1,289.75</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O</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居民服务、修理和其他服务业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P</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教育</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Q</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卫生和社会工作</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R</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文化、体育和娱乐业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S</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综合</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合计</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60,219.25</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0.14</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4</w:t>
      </w:r>
      <w:r w:rsidR="00991257" w:rsidRPr="00324C76">
        <w:rPr>
          <w:b/>
          <w:kern w:val="0"/>
          <w:sz w:val="24"/>
        </w:rPr>
        <w:t xml:space="preserve"> </w:t>
      </w:r>
      <w:r w:rsidRPr="00324C76">
        <w:rPr>
          <w:b/>
          <w:kern w:val="0"/>
          <w:sz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tblPr>
      <w:tblGrid>
        <w:gridCol w:w="849"/>
        <w:gridCol w:w="1327"/>
        <w:gridCol w:w="1621"/>
        <w:gridCol w:w="1769"/>
        <w:gridCol w:w="2211"/>
        <w:gridCol w:w="1091"/>
      </w:tblGrid>
      <w:tr w:rsidR="00BA574A" w:rsidRPr="00324C76" w:rsidTr="00E42623">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序号</w:t>
            </w:r>
          </w:p>
        </w:tc>
        <w:tc>
          <w:tcPr>
            <w:tcW w:w="1276"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股票代码</w:t>
            </w:r>
          </w:p>
        </w:tc>
        <w:tc>
          <w:tcPr>
            <w:tcW w:w="155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股票名称</w:t>
            </w:r>
          </w:p>
        </w:tc>
        <w:tc>
          <w:tcPr>
            <w:tcW w:w="1701"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数量</w:t>
            </w:r>
            <w:r w:rsidR="00CB6AC9" w:rsidRPr="00324C76">
              <w:rPr>
                <w:color w:val="000000"/>
                <w:sz w:val="24"/>
              </w:rPr>
              <w:t>（股）</w:t>
            </w:r>
          </w:p>
        </w:tc>
        <w:tc>
          <w:tcPr>
            <w:tcW w:w="2126" w:type="dxa"/>
            <w:vAlign w:val="center"/>
          </w:tcPr>
          <w:p w:rsidR="00BA574A" w:rsidRPr="00324C76" w:rsidRDefault="00BA574A" w:rsidP="00B04217">
            <w:pPr>
              <w:autoSpaceDE w:val="0"/>
              <w:autoSpaceDN w:val="0"/>
              <w:adjustRightInd w:val="0"/>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04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占基金资产净值比例</w:t>
            </w:r>
            <w:r w:rsidR="00CB6AC9" w:rsidRPr="00324C76">
              <w:rPr>
                <w:color w:val="000000"/>
                <w:sz w:val="24"/>
              </w:rPr>
              <w:t>（％）</w:t>
            </w:r>
          </w:p>
        </w:tc>
      </w:tr>
      <w:tr w:rsidR="002912CC">
        <w:trPr>
          <w:jc w:val="center"/>
        </w:trPr>
        <w:tc>
          <w:tcPr>
            <w:tcW w:w="849" w:type="dxa"/>
            <w:vAlign w:val="center"/>
          </w:tcPr>
          <w:p w:rsidR="002912CC" w:rsidRDefault="0068103A">
            <w:pPr>
              <w:jc w:val="center"/>
            </w:pPr>
            <w:r>
              <w:rPr>
                <w:color w:val="000000"/>
                <w:sz w:val="24"/>
              </w:rPr>
              <w:t>1</w:t>
            </w:r>
          </w:p>
        </w:tc>
        <w:tc>
          <w:tcPr>
            <w:tcW w:w="1327" w:type="dxa"/>
            <w:vAlign w:val="center"/>
          </w:tcPr>
          <w:p w:rsidR="002912CC" w:rsidRDefault="0068103A">
            <w:pPr>
              <w:jc w:val="center"/>
            </w:pPr>
            <w:r>
              <w:rPr>
                <w:color w:val="000000"/>
                <w:sz w:val="24"/>
              </w:rPr>
              <w:t>000002</w:t>
            </w:r>
          </w:p>
        </w:tc>
        <w:tc>
          <w:tcPr>
            <w:tcW w:w="1621" w:type="dxa"/>
            <w:vAlign w:val="center"/>
          </w:tcPr>
          <w:p w:rsidR="002912CC" w:rsidRDefault="0068103A">
            <w:pPr>
              <w:jc w:val="center"/>
            </w:pPr>
            <w:r>
              <w:rPr>
                <w:color w:val="000000"/>
                <w:sz w:val="24"/>
              </w:rPr>
              <w:t>万</w:t>
            </w:r>
            <w:r>
              <w:rPr>
                <w:color w:val="000000"/>
                <w:sz w:val="24"/>
              </w:rPr>
              <w:t xml:space="preserve">  </w:t>
            </w:r>
            <w:r>
              <w:rPr>
                <w:color w:val="000000"/>
                <w:sz w:val="24"/>
              </w:rPr>
              <w:t>科Ａ</w:t>
            </w:r>
          </w:p>
        </w:tc>
        <w:tc>
          <w:tcPr>
            <w:tcW w:w="1769" w:type="dxa"/>
            <w:vAlign w:val="center"/>
          </w:tcPr>
          <w:p w:rsidR="002912CC" w:rsidRDefault="0068103A">
            <w:pPr>
              <w:jc w:val="right"/>
            </w:pPr>
            <w:r>
              <w:rPr>
                <w:color w:val="000000"/>
                <w:sz w:val="24"/>
              </w:rPr>
              <w:t>625</w:t>
            </w:r>
          </w:p>
        </w:tc>
        <w:tc>
          <w:tcPr>
            <w:tcW w:w="2211" w:type="dxa"/>
            <w:vAlign w:val="center"/>
          </w:tcPr>
          <w:p w:rsidR="002912CC" w:rsidRDefault="0068103A">
            <w:pPr>
              <w:jc w:val="right"/>
            </w:pPr>
            <w:r>
              <w:rPr>
                <w:color w:val="000000"/>
                <w:sz w:val="24"/>
              </w:rPr>
              <w:t>5,168.75</w:t>
            </w:r>
          </w:p>
        </w:tc>
        <w:tc>
          <w:tcPr>
            <w:tcW w:w="1091" w:type="dxa"/>
            <w:vAlign w:val="center"/>
          </w:tcPr>
          <w:p w:rsidR="002912CC" w:rsidRDefault="0068103A">
            <w:pPr>
              <w:jc w:val="right"/>
            </w:pPr>
            <w:r>
              <w:rPr>
                <w:color w:val="000000"/>
                <w:sz w:val="24"/>
              </w:rPr>
              <w:t>0.01</w:t>
            </w:r>
          </w:p>
        </w:tc>
      </w:tr>
      <w:tr w:rsidR="002912CC">
        <w:trPr>
          <w:jc w:val="center"/>
        </w:trPr>
        <w:tc>
          <w:tcPr>
            <w:tcW w:w="849" w:type="dxa"/>
            <w:vAlign w:val="center"/>
          </w:tcPr>
          <w:p w:rsidR="002912CC" w:rsidRDefault="0068103A">
            <w:pPr>
              <w:jc w:val="center"/>
            </w:pPr>
            <w:r>
              <w:rPr>
                <w:color w:val="000000"/>
                <w:sz w:val="24"/>
              </w:rPr>
              <w:t>2</w:t>
            </w:r>
          </w:p>
        </w:tc>
        <w:tc>
          <w:tcPr>
            <w:tcW w:w="1327" w:type="dxa"/>
            <w:vAlign w:val="center"/>
          </w:tcPr>
          <w:p w:rsidR="002912CC" w:rsidRDefault="0068103A">
            <w:pPr>
              <w:jc w:val="center"/>
            </w:pPr>
            <w:r>
              <w:rPr>
                <w:color w:val="000000"/>
                <w:sz w:val="24"/>
              </w:rPr>
              <w:t>000651</w:t>
            </w:r>
          </w:p>
        </w:tc>
        <w:tc>
          <w:tcPr>
            <w:tcW w:w="1621" w:type="dxa"/>
            <w:vAlign w:val="center"/>
          </w:tcPr>
          <w:p w:rsidR="002912CC" w:rsidRDefault="0068103A">
            <w:pPr>
              <w:jc w:val="center"/>
            </w:pPr>
            <w:r>
              <w:rPr>
                <w:color w:val="000000"/>
                <w:sz w:val="24"/>
              </w:rPr>
              <w:t>格力电器</w:t>
            </w:r>
          </w:p>
        </w:tc>
        <w:tc>
          <w:tcPr>
            <w:tcW w:w="1769" w:type="dxa"/>
            <w:vAlign w:val="center"/>
          </w:tcPr>
          <w:p w:rsidR="002912CC" w:rsidRDefault="0068103A">
            <w:pPr>
              <w:jc w:val="right"/>
            </w:pPr>
            <w:r>
              <w:rPr>
                <w:color w:val="000000"/>
                <w:sz w:val="24"/>
              </w:rPr>
              <w:t>140</w:t>
            </w:r>
          </w:p>
        </w:tc>
        <w:tc>
          <w:tcPr>
            <w:tcW w:w="2211" w:type="dxa"/>
            <w:vAlign w:val="center"/>
          </w:tcPr>
          <w:p w:rsidR="002912CC" w:rsidRDefault="0068103A">
            <w:pPr>
              <w:jc w:val="right"/>
            </w:pPr>
            <w:r>
              <w:rPr>
                <w:color w:val="000000"/>
                <w:sz w:val="24"/>
              </w:rPr>
              <w:t>4,123.00</w:t>
            </w:r>
          </w:p>
        </w:tc>
        <w:tc>
          <w:tcPr>
            <w:tcW w:w="1091" w:type="dxa"/>
            <w:vAlign w:val="center"/>
          </w:tcPr>
          <w:p w:rsidR="002912CC" w:rsidRDefault="0068103A">
            <w:pPr>
              <w:jc w:val="right"/>
            </w:pPr>
            <w:r>
              <w:rPr>
                <w:color w:val="000000"/>
                <w:sz w:val="24"/>
              </w:rPr>
              <w:t>0.01</w:t>
            </w:r>
          </w:p>
        </w:tc>
      </w:tr>
      <w:tr w:rsidR="002912CC">
        <w:trPr>
          <w:jc w:val="center"/>
        </w:trPr>
        <w:tc>
          <w:tcPr>
            <w:tcW w:w="849" w:type="dxa"/>
            <w:vAlign w:val="center"/>
          </w:tcPr>
          <w:p w:rsidR="002912CC" w:rsidRDefault="0068103A">
            <w:pPr>
              <w:jc w:val="center"/>
            </w:pPr>
            <w:r>
              <w:rPr>
                <w:color w:val="000000"/>
                <w:sz w:val="24"/>
              </w:rPr>
              <w:t>3</w:t>
            </w:r>
          </w:p>
        </w:tc>
        <w:tc>
          <w:tcPr>
            <w:tcW w:w="1327" w:type="dxa"/>
            <w:vAlign w:val="center"/>
          </w:tcPr>
          <w:p w:rsidR="002912CC" w:rsidRDefault="0068103A">
            <w:pPr>
              <w:jc w:val="center"/>
            </w:pPr>
            <w:r>
              <w:rPr>
                <w:color w:val="000000"/>
                <w:sz w:val="24"/>
              </w:rPr>
              <w:t>000001</w:t>
            </w:r>
          </w:p>
        </w:tc>
        <w:tc>
          <w:tcPr>
            <w:tcW w:w="1621" w:type="dxa"/>
            <w:vAlign w:val="center"/>
          </w:tcPr>
          <w:p w:rsidR="002912CC" w:rsidRDefault="0068103A">
            <w:pPr>
              <w:jc w:val="center"/>
            </w:pPr>
            <w:r>
              <w:rPr>
                <w:color w:val="000000"/>
                <w:sz w:val="24"/>
              </w:rPr>
              <w:t>平安银行</w:t>
            </w:r>
          </w:p>
        </w:tc>
        <w:tc>
          <w:tcPr>
            <w:tcW w:w="1769" w:type="dxa"/>
            <w:vAlign w:val="center"/>
          </w:tcPr>
          <w:p w:rsidR="002912CC" w:rsidRDefault="0068103A">
            <w:pPr>
              <w:jc w:val="right"/>
            </w:pPr>
            <w:r>
              <w:rPr>
                <w:color w:val="000000"/>
                <w:sz w:val="24"/>
              </w:rPr>
              <w:t>406</w:t>
            </w:r>
          </w:p>
        </w:tc>
        <w:tc>
          <w:tcPr>
            <w:tcW w:w="2211" w:type="dxa"/>
            <w:vAlign w:val="center"/>
          </w:tcPr>
          <w:p w:rsidR="002912CC" w:rsidRDefault="0068103A">
            <w:pPr>
              <w:jc w:val="right"/>
            </w:pPr>
            <w:r>
              <w:rPr>
                <w:color w:val="000000"/>
                <w:sz w:val="24"/>
              </w:rPr>
              <w:t>4,023.46</w:t>
            </w:r>
          </w:p>
        </w:tc>
        <w:tc>
          <w:tcPr>
            <w:tcW w:w="1091" w:type="dxa"/>
            <w:vAlign w:val="center"/>
          </w:tcPr>
          <w:p w:rsidR="002912CC" w:rsidRDefault="0068103A">
            <w:pPr>
              <w:jc w:val="right"/>
            </w:pPr>
            <w:r>
              <w:rPr>
                <w:color w:val="000000"/>
                <w:sz w:val="24"/>
              </w:rPr>
              <w:t>0.01</w:t>
            </w:r>
          </w:p>
        </w:tc>
      </w:tr>
      <w:tr w:rsidR="002912CC">
        <w:trPr>
          <w:jc w:val="center"/>
        </w:trPr>
        <w:tc>
          <w:tcPr>
            <w:tcW w:w="849" w:type="dxa"/>
            <w:vAlign w:val="center"/>
          </w:tcPr>
          <w:p w:rsidR="002912CC" w:rsidRDefault="0068103A">
            <w:pPr>
              <w:jc w:val="center"/>
            </w:pPr>
            <w:r>
              <w:rPr>
                <w:color w:val="000000"/>
                <w:sz w:val="24"/>
              </w:rPr>
              <w:t>4</w:t>
            </w:r>
          </w:p>
        </w:tc>
        <w:tc>
          <w:tcPr>
            <w:tcW w:w="1327" w:type="dxa"/>
            <w:vAlign w:val="center"/>
          </w:tcPr>
          <w:p w:rsidR="002912CC" w:rsidRDefault="0068103A">
            <w:pPr>
              <w:jc w:val="center"/>
            </w:pPr>
            <w:r>
              <w:rPr>
                <w:color w:val="000000"/>
                <w:sz w:val="24"/>
              </w:rPr>
              <w:t>000333</w:t>
            </w:r>
          </w:p>
        </w:tc>
        <w:tc>
          <w:tcPr>
            <w:tcW w:w="1621" w:type="dxa"/>
            <w:vAlign w:val="center"/>
          </w:tcPr>
          <w:p w:rsidR="002912CC" w:rsidRDefault="0068103A">
            <w:pPr>
              <w:jc w:val="center"/>
            </w:pPr>
            <w:r>
              <w:rPr>
                <w:color w:val="000000"/>
                <w:sz w:val="24"/>
              </w:rPr>
              <w:t>美的集团</w:t>
            </w:r>
          </w:p>
        </w:tc>
        <w:tc>
          <w:tcPr>
            <w:tcW w:w="1769" w:type="dxa"/>
            <w:vAlign w:val="center"/>
          </w:tcPr>
          <w:p w:rsidR="002912CC" w:rsidRDefault="0068103A">
            <w:pPr>
              <w:jc w:val="right"/>
            </w:pPr>
            <w:r>
              <w:rPr>
                <w:color w:val="000000"/>
                <w:sz w:val="24"/>
              </w:rPr>
              <w:t>112</w:t>
            </w:r>
          </w:p>
        </w:tc>
        <w:tc>
          <w:tcPr>
            <w:tcW w:w="2211" w:type="dxa"/>
            <w:vAlign w:val="center"/>
          </w:tcPr>
          <w:p w:rsidR="002912CC" w:rsidRDefault="0068103A">
            <w:pPr>
              <w:jc w:val="right"/>
            </w:pPr>
            <w:r>
              <w:rPr>
                <w:color w:val="000000"/>
                <w:sz w:val="24"/>
              </w:rPr>
              <w:t>2,163.84</w:t>
            </w:r>
          </w:p>
        </w:tc>
        <w:tc>
          <w:tcPr>
            <w:tcW w:w="1091" w:type="dxa"/>
            <w:vAlign w:val="center"/>
          </w:tcPr>
          <w:p w:rsidR="002912CC" w:rsidRDefault="0068103A">
            <w:pPr>
              <w:jc w:val="right"/>
            </w:pPr>
            <w:r>
              <w:rPr>
                <w:color w:val="000000"/>
                <w:sz w:val="24"/>
              </w:rPr>
              <w:t>0.01</w:t>
            </w:r>
          </w:p>
        </w:tc>
      </w:tr>
      <w:tr w:rsidR="002912CC">
        <w:trPr>
          <w:jc w:val="center"/>
        </w:trPr>
        <w:tc>
          <w:tcPr>
            <w:tcW w:w="849" w:type="dxa"/>
            <w:vAlign w:val="center"/>
          </w:tcPr>
          <w:p w:rsidR="002912CC" w:rsidRDefault="0068103A">
            <w:pPr>
              <w:jc w:val="center"/>
            </w:pPr>
            <w:r>
              <w:rPr>
                <w:color w:val="000000"/>
                <w:sz w:val="24"/>
              </w:rPr>
              <w:t>5</w:t>
            </w:r>
          </w:p>
        </w:tc>
        <w:tc>
          <w:tcPr>
            <w:tcW w:w="1327" w:type="dxa"/>
            <w:vAlign w:val="center"/>
          </w:tcPr>
          <w:p w:rsidR="002912CC" w:rsidRDefault="0068103A">
            <w:pPr>
              <w:jc w:val="center"/>
            </w:pPr>
            <w:r>
              <w:rPr>
                <w:color w:val="000000"/>
                <w:sz w:val="24"/>
              </w:rPr>
              <w:t>000858</w:t>
            </w:r>
          </w:p>
        </w:tc>
        <w:tc>
          <w:tcPr>
            <w:tcW w:w="1621" w:type="dxa"/>
            <w:vAlign w:val="center"/>
          </w:tcPr>
          <w:p w:rsidR="002912CC" w:rsidRDefault="0068103A">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769" w:type="dxa"/>
            <w:vAlign w:val="center"/>
          </w:tcPr>
          <w:p w:rsidR="002912CC" w:rsidRDefault="0068103A">
            <w:pPr>
              <w:jc w:val="right"/>
            </w:pPr>
            <w:r>
              <w:rPr>
                <w:color w:val="000000"/>
                <w:sz w:val="24"/>
              </w:rPr>
              <w:t>109</w:t>
            </w:r>
          </w:p>
        </w:tc>
        <w:tc>
          <w:tcPr>
            <w:tcW w:w="2211" w:type="dxa"/>
            <w:vAlign w:val="center"/>
          </w:tcPr>
          <w:p w:rsidR="002912CC" w:rsidRDefault="0068103A">
            <w:pPr>
              <w:jc w:val="right"/>
            </w:pPr>
            <w:r>
              <w:rPr>
                <w:color w:val="000000"/>
                <w:sz w:val="24"/>
              </w:rPr>
              <w:t>1,954.37</w:t>
            </w:r>
          </w:p>
        </w:tc>
        <w:tc>
          <w:tcPr>
            <w:tcW w:w="1091" w:type="dxa"/>
            <w:vAlign w:val="center"/>
          </w:tcPr>
          <w:p w:rsidR="002912CC" w:rsidRDefault="0068103A">
            <w:pPr>
              <w:jc w:val="right"/>
            </w:pPr>
            <w:r>
              <w:rPr>
                <w:color w:val="000000"/>
                <w:sz w:val="24"/>
              </w:rPr>
              <w:t>0.00</w:t>
            </w:r>
          </w:p>
        </w:tc>
      </w:tr>
      <w:tr w:rsidR="002912CC">
        <w:trPr>
          <w:jc w:val="center"/>
        </w:trPr>
        <w:tc>
          <w:tcPr>
            <w:tcW w:w="849" w:type="dxa"/>
            <w:vAlign w:val="center"/>
          </w:tcPr>
          <w:p w:rsidR="002912CC" w:rsidRDefault="0068103A">
            <w:pPr>
              <w:jc w:val="center"/>
            </w:pPr>
            <w:r>
              <w:rPr>
                <w:color w:val="000000"/>
                <w:sz w:val="24"/>
              </w:rPr>
              <w:t>6</w:t>
            </w:r>
          </w:p>
        </w:tc>
        <w:tc>
          <w:tcPr>
            <w:tcW w:w="1327" w:type="dxa"/>
            <w:vAlign w:val="center"/>
          </w:tcPr>
          <w:p w:rsidR="002912CC" w:rsidRDefault="0068103A">
            <w:pPr>
              <w:jc w:val="center"/>
            </w:pPr>
            <w:r>
              <w:rPr>
                <w:color w:val="000000"/>
                <w:sz w:val="24"/>
              </w:rPr>
              <w:t>000869</w:t>
            </w:r>
          </w:p>
        </w:tc>
        <w:tc>
          <w:tcPr>
            <w:tcW w:w="1621" w:type="dxa"/>
            <w:vAlign w:val="center"/>
          </w:tcPr>
          <w:p w:rsidR="002912CC" w:rsidRDefault="0068103A">
            <w:pPr>
              <w:jc w:val="center"/>
            </w:pPr>
            <w:r>
              <w:rPr>
                <w:color w:val="000000"/>
                <w:sz w:val="24"/>
              </w:rPr>
              <w:t>张</w:t>
            </w:r>
            <w:r>
              <w:rPr>
                <w:color w:val="000000"/>
                <w:sz w:val="24"/>
              </w:rPr>
              <w:t xml:space="preserve">  </w:t>
            </w:r>
            <w:r>
              <w:rPr>
                <w:color w:val="000000"/>
                <w:sz w:val="24"/>
              </w:rPr>
              <w:t>裕Ａ</w:t>
            </w:r>
          </w:p>
        </w:tc>
        <w:tc>
          <w:tcPr>
            <w:tcW w:w="1769" w:type="dxa"/>
            <w:vAlign w:val="center"/>
          </w:tcPr>
          <w:p w:rsidR="002912CC" w:rsidRDefault="0068103A">
            <w:pPr>
              <w:jc w:val="right"/>
            </w:pPr>
            <w:r>
              <w:rPr>
                <w:color w:val="000000"/>
                <w:sz w:val="24"/>
              </w:rPr>
              <w:t>64</w:t>
            </w:r>
          </w:p>
        </w:tc>
        <w:tc>
          <w:tcPr>
            <w:tcW w:w="2211" w:type="dxa"/>
            <w:vAlign w:val="center"/>
          </w:tcPr>
          <w:p w:rsidR="002912CC" w:rsidRDefault="0068103A">
            <w:pPr>
              <w:jc w:val="right"/>
            </w:pPr>
            <w:r>
              <w:rPr>
                <w:color w:val="000000"/>
                <w:sz w:val="24"/>
              </w:rPr>
              <w:t>1,543.04</w:t>
            </w:r>
          </w:p>
        </w:tc>
        <w:tc>
          <w:tcPr>
            <w:tcW w:w="1091" w:type="dxa"/>
            <w:vAlign w:val="center"/>
          </w:tcPr>
          <w:p w:rsidR="002912CC" w:rsidRDefault="0068103A">
            <w:pPr>
              <w:jc w:val="right"/>
            </w:pPr>
            <w:r>
              <w:rPr>
                <w:color w:val="000000"/>
                <w:sz w:val="24"/>
              </w:rPr>
              <w:t>0.00</w:t>
            </w:r>
          </w:p>
        </w:tc>
      </w:tr>
      <w:tr w:rsidR="002912CC">
        <w:trPr>
          <w:jc w:val="center"/>
        </w:trPr>
        <w:tc>
          <w:tcPr>
            <w:tcW w:w="849" w:type="dxa"/>
            <w:vAlign w:val="center"/>
          </w:tcPr>
          <w:p w:rsidR="002912CC" w:rsidRDefault="0068103A">
            <w:pPr>
              <w:jc w:val="center"/>
            </w:pPr>
            <w:r>
              <w:rPr>
                <w:color w:val="000000"/>
                <w:sz w:val="24"/>
              </w:rPr>
              <w:t>7</w:t>
            </w:r>
          </w:p>
        </w:tc>
        <w:tc>
          <w:tcPr>
            <w:tcW w:w="1327" w:type="dxa"/>
            <w:vAlign w:val="center"/>
          </w:tcPr>
          <w:p w:rsidR="002912CC" w:rsidRDefault="0068103A">
            <w:pPr>
              <w:jc w:val="center"/>
            </w:pPr>
            <w:r>
              <w:rPr>
                <w:color w:val="000000"/>
                <w:sz w:val="24"/>
              </w:rPr>
              <w:t>000725</w:t>
            </w:r>
          </w:p>
        </w:tc>
        <w:tc>
          <w:tcPr>
            <w:tcW w:w="1621" w:type="dxa"/>
            <w:vAlign w:val="center"/>
          </w:tcPr>
          <w:p w:rsidR="002912CC" w:rsidRDefault="0068103A">
            <w:pPr>
              <w:jc w:val="center"/>
            </w:pPr>
            <w:r>
              <w:rPr>
                <w:color w:val="000000"/>
                <w:sz w:val="24"/>
              </w:rPr>
              <w:t>京东方Ａ</w:t>
            </w:r>
          </w:p>
        </w:tc>
        <w:tc>
          <w:tcPr>
            <w:tcW w:w="1769" w:type="dxa"/>
            <w:vAlign w:val="center"/>
          </w:tcPr>
          <w:p w:rsidR="002912CC" w:rsidRDefault="0068103A">
            <w:pPr>
              <w:jc w:val="right"/>
            </w:pPr>
            <w:r>
              <w:rPr>
                <w:color w:val="000000"/>
                <w:sz w:val="24"/>
              </w:rPr>
              <w:t>700</w:t>
            </w:r>
          </w:p>
        </w:tc>
        <w:tc>
          <w:tcPr>
            <w:tcW w:w="2211" w:type="dxa"/>
            <w:vAlign w:val="center"/>
          </w:tcPr>
          <w:p w:rsidR="002912CC" w:rsidRDefault="0068103A">
            <w:pPr>
              <w:jc w:val="right"/>
            </w:pPr>
            <w:r>
              <w:rPr>
                <w:color w:val="000000"/>
                <w:sz w:val="24"/>
              </w:rPr>
              <w:t>1,519.00</w:t>
            </w:r>
          </w:p>
        </w:tc>
        <w:tc>
          <w:tcPr>
            <w:tcW w:w="1091" w:type="dxa"/>
            <w:vAlign w:val="center"/>
          </w:tcPr>
          <w:p w:rsidR="002912CC" w:rsidRDefault="0068103A">
            <w:pPr>
              <w:jc w:val="right"/>
            </w:pPr>
            <w:r>
              <w:rPr>
                <w:color w:val="000000"/>
                <w:sz w:val="24"/>
              </w:rPr>
              <w:t>0.00</w:t>
            </w:r>
          </w:p>
        </w:tc>
      </w:tr>
      <w:tr w:rsidR="002912CC">
        <w:trPr>
          <w:jc w:val="center"/>
        </w:trPr>
        <w:tc>
          <w:tcPr>
            <w:tcW w:w="849" w:type="dxa"/>
            <w:vAlign w:val="center"/>
          </w:tcPr>
          <w:p w:rsidR="002912CC" w:rsidRDefault="0068103A">
            <w:pPr>
              <w:jc w:val="center"/>
            </w:pPr>
            <w:r>
              <w:rPr>
                <w:color w:val="000000"/>
                <w:sz w:val="24"/>
              </w:rPr>
              <w:t>8</w:t>
            </w:r>
          </w:p>
        </w:tc>
        <w:tc>
          <w:tcPr>
            <w:tcW w:w="1327" w:type="dxa"/>
            <w:vAlign w:val="center"/>
          </w:tcPr>
          <w:p w:rsidR="002912CC" w:rsidRDefault="0068103A">
            <w:pPr>
              <w:jc w:val="center"/>
            </w:pPr>
            <w:r>
              <w:rPr>
                <w:color w:val="000000"/>
                <w:sz w:val="24"/>
              </w:rPr>
              <w:t>000100</w:t>
            </w:r>
          </w:p>
        </w:tc>
        <w:tc>
          <w:tcPr>
            <w:tcW w:w="1621" w:type="dxa"/>
            <w:vAlign w:val="center"/>
          </w:tcPr>
          <w:p w:rsidR="002912CC" w:rsidRDefault="0068103A">
            <w:pPr>
              <w:jc w:val="center"/>
            </w:pPr>
            <w:r>
              <w:rPr>
                <w:color w:val="000000"/>
                <w:sz w:val="24"/>
              </w:rPr>
              <w:t xml:space="preserve">TCL </w:t>
            </w:r>
            <w:r>
              <w:rPr>
                <w:color w:val="000000"/>
                <w:sz w:val="24"/>
              </w:rPr>
              <w:t>集团</w:t>
            </w:r>
          </w:p>
        </w:tc>
        <w:tc>
          <w:tcPr>
            <w:tcW w:w="1769" w:type="dxa"/>
            <w:vAlign w:val="center"/>
          </w:tcPr>
          <w:p w:rsidR="002912CC" w:rsidRDefault="0068103A">
            <w:pPr>
              <w:jc w:val="right"/>
            </w:pPr>
            <w:r>
              <w:rPr>
                <w:color w:val="000000"/>
                <w:sz w:val="24"/>
              </w:rPr>
              <w:t>566</w:t>
            </w:r>
          </w:p>
        </w:tc>
        <w:tc>
          <w:tcPr>
            <w:tcW w:w="2211" w:type="dxa"/>
            <w:vAlign w:val="center"/>
          </w:tcPr>
          <w:p w:rsidR="002912CC" w:rsidRDefault="0068103A">
            <w:pPr>
              <w:jc w:val="right"/>
            </w:pPr>
            <w:r>
              <w:rPr>
                <w:color w:val="000000"/>
                <w:sz w:val="24"/>
              </w:rPr>
              <w:t>1,290.48</w:t>
            </w:r>
          </w:p>
        </w:tc>
        <w:tc>
          <w:tcPr>
            <w:tcW w:w="1091" w:type="dxa"/>
            <w:vAlign w:val="center"/>
          </w:tcPr>
          <w:p w:rsidR="002912CC" w:rsidRDefault="0068103A">
            <w:pPr>
              <w:jc w:val="right"/>
            </w:pPr>
            <w:r>
              <w:rPr>
                <w:color w:val="000000"/>
                <w:sz w:val="24"/>
              </w:rPr>
              <w:t>0.00</w:t>
            </w:r>
          </w:p>
        </w:tc>
      </w:tr>
      <w:tr w:rsidR="002912CC">
        <w:trPr>
          <w:jc w:val="center"/>
        </w:trPr>
        <w:tc>
          <w:tcPr>
            <w:tcW w:w="849" w:type="dxa"/>
            <w:vAlign w:val="center"/>
          </w:tcPr>
          <w:p w:rsidR="002912CC" w:rsidRDefault="0068103A">
            <w:pPr>
              <w:jc w:val="center"/>
            </w:pPr>
            <w:r>
              <w:rPr>
                <w:color w:val="000000"/>
                <w:sz w:val="24"/>
              </w:rPr>
              <w:t>9</w:t>
            </w:r>
          </w:p>
        </w:tc>
        <w:tc>
          <w:tcPr>
            <w:tcW w:w="1327" w:type="dxa"/>
            <w:vAlign w:val="center"/>
          </w:tcPr>
          <w:p w:rsidR="002912CC" w:rsidRDefault="0068103A">
            <w:pPr>
              <w:jc w:val="center"/>
            </w:pPr>
            <w:r>
              <w:rPr>
                <w:color w:val="000000"/>
                <w:sz w:val="24"/>
              </w:rPr>
              <w:t>000069</w:t>
            </w:r>
          </w:p>
        </w:tc>
        <w:tc>
          <w:tcPr>
            <w:tcW w:w="1621" w:type="dxa"/>
            <w:vAlign w:val="center"/>
          </w:tcPr>
          <w:p w:rsidR="002912CC" w:rsidRDefault="0068103A">
            <w:pPr>
              <w:jc w:val="center"/>
            </w:pPr>
            <w:r>
              <w:rPr>
                <w:color w:val="000000"/>
                <w:sz w:val="24"/>
              </w:rPr>
              <w:t>华侨城Ａ</w:t>
            </w:r>
          </w:p>
        </w:tc>
        <w:tc>
          <w:tcPr>
            <w:tcW w:w="1769" w:type="dxa"/>
            <w:vAlign w:val="center"/>
          </w:tcPr>
          <w:p w:rsidR="002912CC" w:rsidRDefault="0068103A">
            <w:pPr>
              <w:jc w:val="right"/>
            </w:pPr>
            <w:r>
              <w:rPr>
                <w:color w:val="000000"/>
                <w:sz w:val="24"/>
              </w:rPr>
              <w:t>275</w:t>
            </w:r>
          </w:p>
        </w:tc>
        <w:tc>
          <w:tcPr>
            <w:tcW w:w="2211" w:type="dxa"/>
            <w:vAlign w:val="center"/>
          </w:tcPr>
          <w:p w:rsidR="002912CC" w:rsidRDefault="0068103A">
            <w:pPr>
              <w:jc w:val="right"/>
            </w:pPr>
            <w:r>
              <w:rPr>
                <w:color w:val="000000"/>
                <w:sz w:val="24"/>
              </w:rPr>
              <w:t>1,289.75</w:t>
            </w:r>
          </w:p>
        </w:tc>
        <w:tc>
          <w:tcPr>
            <w:tcW w:w="1091" w:type="dxa"/>
            <w:vAlign w:val="center"/>
          </w:tcPr>
          <w:p w:rsidR="002912CC" w:rsidRDefault="0068103A">
            <w:pPr>
              <w:jc w:val="right"/>
            </w:pPr>
            <w:r>
              <w:rPr>
                <w:color w:val="000000"/>
                <w:sz w:val="24"/>
              </w:rPr>
              <w:t>0.00</w:t>
            </w:r>
          </w:p>
        </w:tc>
      </w:tr>
      <w:tr w:rsidR="002912CC">
        <w:trPr>
          <w:jc w:val="center"/>
        </w:trPr>
        <w:tc>
          <w:tcPr>
            <w:tcW w:w="849" w:type="dxa"/>
            <w:vAlign w:val="center"/>
          </w:tcPr>
          <w:p w:rsidR="002912CC" w:rsidRDefault="0068103A">
            <w:pPr>
              <w:jc w:val="center"/>
            </w:pPr>
            <w:r>
              <w:rPr>
                <w:color w:val="000000"/>
                <w:sz w:val="24"/>
              </w:rPr>
              <w:t>10</w:t>
            </w:r>
          </w:p>
        </w:tc>
        <w:tc>
          <w:tcPr>
            <w:tcW w:w="1327" w:type="dxa"/>
            <w:vAlign w:val="center"/>
          </w:tcPr>
          <w:p w:rsidR="002912CC" w:rsidRDefault="0068103A">
            <w:pPr>
              <w:jc w:val="center"/>
            </w:pPr>
            <w:r>
              <w:rPr>
                <w:color w:val="000000"/>
                <w:sz w:val="24"/>
              </w:rPr>
              <w:t>002050</w:t>
            </w:r>
          </w:p>
        </w:tc>
        <w:tc>
          <w:tcPr>
            <w:tcW w:w="1621" w:type="dxa"/>
            <w:vAlign w:val="center"/>
          </w:tcPr>
          <w:p w:rsidR="002912CC" w:rsidRDefault="0068103A">
            <w:pPr>
              <w:jc w:val="center"/>
            </w:pPr>
            <w:r>
              <w:rPr>
                <w:color w:val="000000"/>
                <w:sz w:val="24"/>
              </w:rPr>
              <w:t>三花股份</w:t>
            </w:r>
          </w:p>
        </w:tc>
        <w:tc>
          <w:tcPr>
            <w:tcW w:w="1769" w:type="dxa"/>
            <w:vAlign w:val="center"/>
          </w:tcPr>
          <w:p w:rsidR="002912CC" w:rsidRDefault="0068103A">
            <w:pPr>
              <w:jc w:val="right"/>
            </w:pPr>
            <w:r>
              <w:rPr>
                <w:color w:val="000000"/>
                <w:sz w:val="24"/>
              </w:rPr>
              <w:t>117</w:t>
            </w:r>
          </w:p>
        </w:tc>
        <w:tc>
          <w:tcPr>
            <w:tcW w:w="2211" w:type="dxa"/>
            <w:vAlign w:val="center"/>
          </w:tcPr>
          <w:p w:rsidR="002912CC" w:rsidRDefault="0068103A">
            <w:pPr>
              <w:jc w:val="right"/>
            </w:pPr>
            <w:r>
              <w:rPr>
                <w:color w:val="000000"/>
                <w:sz w:val="24"/>
              </w:rPr>
              <w:t>1,270.62</w:t>
            </w:r>
          </w:p>
        </w:tc>
        <w:tc>
          <w:tcPr>
            <w:tcW w:w="1091" w:type="dxa"/>
            <w:vAlign w:val="center"/>
          </w:tcPr>
          <w:p w:rsidR="002912CC" w:rsidRDefault="0068103A">
            <w:pPr>
              <w:jc w:val="right"/>
            </w:pPr>
            <w:r>
              <w:rPr>
                <w:color w:val="000000"/>
                <w:sz w:val="24"/>
              </w:rPr>
              <w:t>0.00</w:t>
            </w:r>
          </w:p>
        </w:tc>
      </w:tr>
    </w:tbl>
    <w:p w:rsidR="00BA574A" w:rsidRPr="00324C76" w:rsidRDefault="00BA574A"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5 </w:t>
      </w:r>
      <w:r w:rsidR="00991257" w:rsidRPr="00324C76">
        <w:rPr>
          <w:b/>
          <w:kern w:val="0"/>
          <w:sz w:val="24"/>
        </w:rPr>
        <w:t xml:space="preserve"> </w:t>
      </w:r>
      <w:r w:rsidRPr="00324C76">
        <w:rPr>
          <w:b/>
          <w:kern w:val="0"/>
          <w:sz w:val="24"/>
        </w:rPr>
        <w:t>报告期末按债券品种分类的债券投资组合</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本基金本报告期末未持有债券。</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6 </w:t>
      </w:r>
      <w:r w:rsidRPr="00324C76">
        <w:rPr>
          <w:b/>
          <w:kern w:val="0"/>
          <w:sz w:val="24"/>
        </w:rPr>
        <w:t>报告期末按公允价值占基金资产净值比例大小排</w:t>
      </w:r>
      <w:r w:rsidR="00E34648" w:rsidRPr="00324C76">
        <w:rPr>
          <w:b/>
          <w:kern w:val="0"/>
          <w:sz w:val="24"/>
        </w:rPr>
        <w:t>序</w:t>
      </w:r>
      <w:r w:rsidRPr="00324C76">
        <w:rPr>
          <w:b/>
          <w:kern w:val="0"/>
          <w:sz w:val="24"/>
        </w:rPr>
        <w:t>的前五名债券投资明细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本基金本报告期末未持有债券。</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7</w:t>
      </w:r>
      <w:r w:rsidR="006F5B9A" w:rsidRPr="00324C76">
        <w:rPr>
          <w:b/>
          <w:kern w:val="0"/>
          <w:sz w:val="24"/>
        </w:rPr>
        <w:t xml:space="preserve"> </w:t>
      </w:r>
      <w:r w:rsidRPr="00324C76">
        <w:rPr>
          <w:b/>
          <w:kern w:val="0"/>
          <w:sz w:val="24"/>
        </w:rPr>
        <w:t>报告期末按公允价值占基金资产净值比例大小排</w:t>
      </w:r>
      <w:r w:rsidR="002A089C" w:rsidRPr="00324C76">
        <w:rPr>
          <w:b/>
          <w:kern w:val="0"/>
          <w:sz w:val="24"/>
        </w:rPr>
        <w:t>序</w:t>
      </w:r>
      <w:r w:rsidRPr="00324C76">
        <w:rPr>
          <w:b/>
          <w:kern w:val="0"/>
          <w:sz w:val="24"/>
        </w:rPr>
        <w:t>的前十名资产支持证券投资明细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本基金本报告期末未持有资产支持证券。</w:t>
      </w:r>
    </w:p>
    <w:p w:rsidR="00220542" w:rsidRPr="00324C76" w:rsidRDefault="00220542" w:rsidP="00B04217">
      <w:pPr>
        <w:autoSpaceDE w:val="0"/>
        <w:autoSpaceDN w:val="0"/>
        <w:adjustRightInd w:val="0"/>
        <w:spacing w:before="29" w:line="288" w:lineRule="auto"/>
        <w:jc w:val="left"/>
        <w:rPr>
          <w:kern w:val="0"/>
          <w:sz w:val="24"/>
        </w:rPr>
      </w:pPr>
    </w:p>
    <w:p w:rsidR="002A089C" w:rsidRPr="00324C76" w:rsidRDefault="002A089C" w:rsidP="00B04217">
      <w:pPr>
        <w:autoSpaceDE w:val="0"/>
        <w:autoSpaceDN w:val="0"/>
        <w:adjustRightInd w:val="0"/>
        <w:spacing w:before="29" w:line="288" w:lineRule="auto"/>
        <w:jc w:val="left"/>
        <w:rPr>
          <w:kern w:val="0"/>
          <w:sz w:val="24"/>
        </w:rPr>
      </w:pPr>
      <w:r w:rsidRPr="00324C76">
        <w:rPr>
          <w:rFonts w:eastAsiaTheme="minorEastAsia"/>
          <w:b/>
          <w:bCs/>
          <w:color w:val="000000"/>
          <w:kern w:val="0"/>
          <w:sz w:val="24"/>
        </w:rPr>
        <w:t xml:space="preserve">5.8 </w:t>
      </w:r>
      <w:r w:rsidRPr="00324C76">
        <w:rPr>
          <w:rFonts w:hAnsi="宋体"/>
          <w:b/>
          <w:bCs/>
          <w:color w:val="000000"/>
          <w:kern w:val="0"/>
          <w:sz w:val="24"/>
        </w:rPr>
        <w:t>报告期末按公允价值占基金资产净值比例大小排序的前五名贵金属投资明细</w:t>
      </w:r>
    </w:p>
    <w:p w:rsidR="002A089C" w:rsidRPr="00324C76" w:rsidRDefault="002A089C" w:rsidP="00B04217">
      <w:pPr>
        <w:autoSpaceDE w:val="0"/>
        <w:autoSpaceDN w:val="0"/>
        <w:adjustRightInd w:val="0"/>
        <w:spacing w:before="29" w:line="288" w:lineRule="auto"/>
        <w:jc w:val="left"/>
        <w:rPr>
          <w:szCs w:val="21"/>
        </w:rPr>
      </w:pPr>
      <w:r w:rsidRPr="00324C76">
        <w:rPr>
          <w:szCs w:val="21"/>
        </w:rPr>
        <w:t>本基金本报告期末未持有贵金属。</w:t>
      </w:r>
    </w:p>
    <w:p w:rsidR="002A089C" w:rsidRPr="00324C76" w:rsidRDefault="002A089C" w:rsidP="00B04217">
      <w:pPr>
        <w:autoSpaceDE w:val="0"/>
        <w:autoSpaceDN w:val="0"/>
        <w:adjustRightInd w:val="0"/>
        <w:spacing w:before="29" w:line="288" w:lineRule="auto"/>
        <w:jc w:val="left"/>
        <w:rPr>
          <w:kern w:val="0"/>
          <w:sz w:val="24"/>
        </w:rPr>
      </w:pPr>
    </w:p>
    <w:p w:rsidR="008D6BC7" w:rsidRPr="00324C76" w:rsidRDefault="008D6BC7" w:rsidP="00B04217">
      <w:pPr>
        <w:autoSpaceDE w:val="0"/>
        <w:autoSpaceDN w:val="0"/>
        <w:adjustRightInd w:val="0"/>
        <w:spacing w:before="29" w:line="288" w:lineRule="auto"/>
        <w:jc w:val="left"/>
        <w:rPr>
          <w:b/>
          <w:kern w:val="0"/>
          <w:sz w:val="24"/>
        </w:rPr>
      </w:pPr>
      <w:r w:rsidRPr="00324C76">
        <w:rPr>
          <w:b/>
          <w:kern w:val="0"/>
          <w:sz w:val="24"/>
        </w:rPr>
        <w:t xml:space="preserve">5.9 </w:t>
      </w:r>
      <w:r w:rsidRPr="00324C76">
        <w:rPr>
          <w:b/>
          <w:bCs/>
          <w:sz w:val="24"/>
        </w:rPr>
        <w:t>报告期末按公允价值占基金资产净值比例大小排</w:t>
      </w:r>
      <w:r w:rsidR="002A089C" w:rsidRPr="00324C76">
        <w:rPr>
          <w:b/>
          <w:kern w:val="0"/>
          <w:sz w:val="24"/>
        </w:rPr>
        <w:t>序</w:t>
      </w:r>
      <w:r w:rsidRPr="00324C76">
        <w:rPr>
          <w:b/>
          <w:bCs/>
          <w:sz w:val="24"/>
        </w:rPr>
        <w:t>的前五名权证投资明细</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本基金本报告期末未持有权证。</w:t>
      </w:r>
    </w:p>
    <w:p w:rsidR="008D6BC7" w:rsidRPr="00324C76" w:rsidRDefault="008D6BC7" w:rsidP="00B04217">
      <w:pPr>
        <w:autoSpaceDE w:val="0"/>
        <w:autoSpaceDN w:val="0"/>
        <w:adjustRightInd w:val="0"/>
        <w:spacing w:before="29" w:line="288" w:lineRule="auto"/>
        <w:jc w:val="left"/>
        <w:rPr>
          <w:kern w:val="0"/>
          <w:sz w:val="24"/>
        </w:rPr>
      </w:pPr>
    </w:p>
    <w:p w:rsidR="00C73818" w:rsidRPr="00324C76" w:rsidRDefault="006003EC" w:rsidP="00B04217">
      <w:pPr>
        <w:adjustRightInd w:val="0"/>
        <w:snapToGrid w:val="0"/>
        <w:spacing w:before="29" w:line="288" w:lineRule="auto"/>
        <w:rPr>
          <w:b/>
          <w:sz w:val="24"/>
        </w:rPr>
      </w:pPr>
      <w:r w:rsidRPr="00324C76">
        <w:rPr>
          <w:b/>
          <w:sz w:val="24"/>
        </w:rPr>
        <w:t>5.</w:t>
      </w:r>
      <w:r w:rsidR="007D10B0" w:rsidRPr="00324C76">
        <w:rPr>
          <w:b/>
          <w:sz w:val="24"/>
        </w:rPr>
        <w:t>10</w:t>
      </w:r>
      <w:r w:rsidR="00C73818" w:rsidRPr="00324C76">
        <w:rPr>
          <w:b/>
          <w:sz w:val="24"/>
        </w:rPr>
        <w:t xml:space="preserve"> </w:t>
      </w:r>
      <w:r w:rsidR="00C73818" w:rsidRPr="00324C76">
        <w:rPr>
          <w:b/>
          <w:sz w:val="24"/>
        </w:rPr>
        <w:t>报告期末本基金投资的股指期货交易情况说明</w:t>
      </w:r>
    </w:p>
    <w:p w:rsidR="00C73818" w:rsidRPr="00324C76" w:rsidRDefault="00046A8E" w:rsidP="00B04217">
      <w:pPr>
        <w:autoSpaceDE w:val="0"/>
        <w:autoSpaceDN w:val="0"/>
        <w:adjustRightInd w:val="0"/>
        <w:spacing w:before="29" w:line="288" w:lineRule="auto"/>
        <w:jc w:val="left"/>
        <w:rPr>
          <w:sz w:val="24"/>
        </w:rPr>
      </w:pPr>
      <w:r w:rsidRPr="00324C76">
        <w:rPr>
          <w:sz w:val="24"/>
        </w:rPr>
        <w:t>本基金本报告期末未持有股指期货。</w:t>
      </w:r>
    </w:p>
    <w:p w:rsidR="00046A8E" w:rsidRPr="00324C76" w:rsidRDefault="00046A8E" w:rsidP="00B04217">
      <w:pPr>
        <w:autoSpaceDE w:val="0"/>
        <w:autoSpaceDN w:val="0"/>
        <w:adjustRightInd w:val="0"/>
        <w:spacing w:before="29" w:line="288" w:lineRule="auto"/>
        <w:jc w:val="left"/>
        <w:rPr>
          <w:sz w:val="24"/>
        </w:rPr>
      </w:pPr>
    </w:p>
    <w:p w:rsidR="008D6BC7" w:rsidRPr="00324C76" w:rsidRDefault="008D6BC7" w:rsidP="00B04217">
      <w:pPr>
        <w:adjustRightInd w:val="0"/>
        <w:snapToGrid w:val="0"/>
        <w:spacing w:before="29" w:line="288" w:lineRule="auto"/>
        <w:rPr>
          <w:b/>
          <w:sz w:val="24"/>
        </w:rPr>
      </w:pPr>
      <w:r w:rsidRPr="00324C76">
        <w:rPr>
          <w:b/>
          <w:sz w:val="24"/>
        </w:rPr>
        <w:t>5.11</w:t>
      </w:r>
      <w:r w:rsidR="00486365" w:rsidRPr="00324C76">
        <w:rPr>
          <w:b/>
          <w:sz w:val="24"/>
        </w:rPr>
        <w:t xml:space="preserve"> </w:t>
      </w:r>
      <w:r w:rsidRPr="00324C76">
        <w:rPr>
          <w:b/>
          <w:sz w:val="24"/>
        </w:rPr>
        <w:t>报告期末本基金投资的国债期货交易情况说明</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本基金本报告期末未持有国债期货。</w:t>
      </w:r>
    </w:p>
    <w:p w:rsidR="000A7493" w:rsidRPr="009D46D9" w:rsidRDefault="000A7493"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
          <w:kern w:val="0"/>
          <w:sz w:val="24"/>
        </w:rPr>
      </w:pPr>
      <w:r w:rsidRPr="00324C76">
        <w:rPr>
          <w:b/>
          <w:kern w:val="0"/>
          <w:sz w:val="24"/>
        </w:rPr>
        <w:t>5</w:t>
      </w:r>
      <w:r w:rsidR="00220542" w:rsidRPr="00324C76">
        <w:rPr>
          <w:b/>
          <w:kern w:val="0"/>
          <w:sz w:val="24"/>
        </w:rPr>
        <w:t>.</w:t>
      </w:r>
      <w:r w:rsidRPr="00324C76">
        <w:rPr>
          <w:b/>
          <w:kern w:val="0"/>
          <w:sz w:val="24"/>
        </w:rPr>
        <w:t>12</w:t>
      </w:r>
      <w:r w:rsidR="001378A4" w:rsidRPr="00324C76">
        <w:rPr>
          <w:b/>
          <w:kern w:val="0"/>
          <w:sz w:val="24"/>
        </w:rPr>
        <w:t xml:space="preserve"> </w:t>
      </w:r>
      <w:r w:rsidR="00220542" w:rsidRPr="00324C76">
        <w:rPr>
          <w:b/>
          <w:kern w:val="0"/>
          <w:sz w:val="24"/>
        </w:rPr>
        <w:t>投资组合报告附注</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5.12.1</w:t>
      </w:r>
      <w:r w:rsidRPr="00120EC8">
        <w:rPr>
          <w:kern w:val="0"/>
          <w:sz w:val="24"/>
        </w:rPr>
        <w:t>报告期内本基金投资的前十名证券的发行主体未被监管部门立案调查，在本报告编制日前一年内本基金投资的前十名证券的发行主体未受到公开谴责和处罚。</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5.12.2</w:t>
      </w:r>
      <w:r w:rsidRPr="00120EC8">
        <w:rPr>
          <w:kern w:val="0"/>
          <w:sz w:val="24"/>
        </w:rPr>
        <w:t>本基金投资的前十名股票中，没有超出基金合同规定的备选股票库之外的股票。</w:t>
      </w:r>
    </w:p>
    <w:p w:rsidR="00220542" w:rsidRPr="00120EC8" w:rsidRDefault="007D10B0" w:rsidP="00B04217">
      <w:pPr>
        <w:autoSpaceDE w:val="0"/>
        <w:autoSpaceDN w:val="0"/>
        <w:adjustRightInd w:val="0"/>
        <w:spacing w:before="29" w:line="288" w:lineRule="auto"/>
        <w:rPr>
          <w:kern w:val="0"/>
          <w:sz w:val="24"/>
        </w:rPr>
      </w:pPr>
      <w:r w:rsidRPr="00120EC8">
        <w:rPr>
          <w:kern w:val="0"/>
          <w:sz w:val="24"/>
        </w:rPr>
        <w:t>5</w:t>
      </w:r>
      <w:r w:rsidR="00220542" w:rsidRPr="00120EC8">
        <w:rPr>
          <w:kern w:val="0"/>
          <w:sz w:val="24"/>
        </w:rPr>
        <w:t>.</w:t>
      </w:r>
      <w:r w:rsidRPr="00120EC8">
        <w:rPr>
          <w:kern w:val="0"/>
          <w:sz w:val="24"/>
        </w:rPr>
        <w:t>12.3</w:t>
      </w:r>
      <w:r w:rsidR="00486365" w:rsidRPr="00120EC8">
        <w:rPr>
          <w:kern w:val="0"/>
          <w:sz w:val="24"/>
        </w:rPr>
        <w:t xml:space="preserve"> </w:t>
      </w:r>
      <w:r w:rsidR="00220542" w:rsidRPr="00120EC8">
        <w:rPr>
          <w:kern w:val="0"/>
          <w:sz w:val="24"/>
        </w:rPr>
        <w:t>其他资产构成</w:t>
      </w:r>
    </w:p>
    <w:tbl>
      <w:tblPr>
        <w:tblStyle w:val="af7"/>
        <w:tblW w:w="8868" w:type="dxa"/>
        <w:jc w:val="center"/>
        <w:tblInd w:w="15" w:type="dxa"/>
        <w:tblLook w:val="04A0"/>
      </w:tblPr>
      <w:tblGrid>
        <w:gridCol w:w="984"/>
        <w:gridCol w:w="2876"/>
        <w:gridCol w:w="5008"/>
      </w:tblGrid>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序号</w:t>
            </w:r>
          </w:p>
        </w:tc>
        <w:tc>
          <w:tcPr>
            <w:tcW w:w="2761"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名称</w:t>
            </w:r>
          </w:p>
        </w:tc>
        <w:tc>
          <w:tcPr>
            <w:tcW w:w="4808"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金额</w:t>
            </w:r>
            <w:r w:rsidR="00527176" w:rsidRPr="00324C76">
              <w:rPr>
                <w:color w:val="000000"/>
                <w:kern w:val="0"/>
                <w:sz w:val="24"/>
              </w:rPr>
              <w:t>（元）</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kern w:val="0"/>
                <w:sz w:val="24"/>
              </w:rPr>
            </w:pPr>
            <w:r w:rsidRPr="00324C76">
              <w:rPr>
                <w:color w:val="000000"/>
                <w:sz w:val="24"/>
              </w:rPr>
              <w:t>1</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存出保证金</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9,605.99</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2</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应收证券清算款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18,447.75</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3</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应收股利</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4</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应收利息</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476.32</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5</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应收申购款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11,259.63</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6</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其他应收款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7</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sz w:val="24"/>
              </w:rPr>
            </w:pPr>
            <w:r w:rsidRPr="00324C76">
              <w:rPr>
                <w:color w:val="000000"/>
                <w:sz w:val="24"/>
              </w:rPr>
              <w:t>待摊费用</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sz w:val="24"/>
              </w:rPr>
            </w:pPr>
            <w:r w:rsidRPr="00324C76">
              <w:rPr>
                <w:color w:val="00000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8</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9</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合计</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39,789.69</w:t>
            </w:r>
          </w:p>
        </w:tc>
      </w:tr>
    </w:tbl>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kern w:val="0"/>
          <w:sz w:val="24"/>
        </w:rPr>
      </w:pPr>
      <w:r w:rsidRPr="00324C76">
        <w:rPr>
          <w:kern w:val="0"/>
          <w:sz w:val="24"/>
        </w:rPr>
        <w:t>5</w:t>
      </w:r>
      <w:r w:rsidR="00220542" w:rsidRPr="00324C76">
        <w:rPr>
          <w:kern w:val="0"/>
          <w:sz w:val="24"/>
        </w:rPr>
        <w:t>.</w:t>
      </w:r>
      <w:r w:rsidRPr="00324C76">
        <w:rPr>
          <w:kern w:val="0"/>
          <w:sz w:val="24"/>
        </w:rPr>
        <w:t>12.4</w:t>
      </w:r>
      <w:r w:rsidR="0084595F" w:rsidRPr="00324C76">
        <w:rPr>
          <w:kern w:val="0"/>
          <w:sz w:val="24"/>
        </w:rPr>
        <w:t xml:space="preserve"> </w:t>
      </w:r>
      <w:r w:rsidR="00220542" w:rsidRPr="00324C76">
        <w:rPr>
          <w:kern w:val="0"/>
          <w:sz w:val="24"/>
        </w:rPr>
        <w:t>报告期末持有的处于转股期的可转换债券明细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本基金本报告期末未持有处于转股期的可转换债券。</w:t>
      </w:r>
    </w:p>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Cs/>
          <w:sz w:val="24"/>
        </w:rPr>
      </w:pPr>
      <w:r w:rsidRPr="00324C76">
        <w:rPr>
          <w:kern w:val="0"/>
          <w:sz w:val="24"/>
        </w:rPr>
        <w:t>5.12.5</w:t>
      </w:r>
      <w:r w:rsidR="00B34FD9" w:rsidRPr="00324C76">
        <w:rPr>
          <w:kern w:val="0"/>
          <w:sz w:val="24"/>
        </w:rPr>
        <w:t xml:space="preserve"> </w:t>
      </w:r>
      <w:r w:rsidR="00220542" w:rsidRPr="00324C76">
        <w:rPr>
          <w:bCs/>
          <w:sz w:val="24"/>
        </w:rPr>
        <w:t>报告期末前十名股票中存在流通受限情况的说明</w:t>
      </w:r>
    </w:p>
    <w:p w:rsidR="00220542" w:rsidRPr="00324C76" w:rsidRDefault="00A40C1C" w:rsidP="00B04217">
      <w:pPr>
        <w:autoSpaceDE w:val="0"/>
        <w:autoSpaceDN w:val="0"/>
        <w:adjustRightInd w:val="0"/>
        <w:spacing w:before="29" w:line="288" w:lineRule="auto"/>
        <w:jc w:val="left"/>
        <w:rPr>
          <w:sz w:val="24"/>
        </w:rPr>
      </w:pPr>
      <w:r w:rsidRPr="00324C76">
        <w:rPr>
          <w:sz w:val="24"/>
        </w:rPr>
        <w:t>本基金本报告期末前十名股票中不存在流通受限的情况。</w:t>
      </w:r>
    </w:p>
    <w:p w:rsidR="00163AE8" w:rsidRPr="00324C76" w:rsidRDefault="00163AE8" w:rsidP="00B04217">
      <w:pPr>
        <w:spacing w:before="29" w:line="288" w:lineRule="auto"/>
        <w:rPr>
          <w:sz w:val="24"/>
        </w:rPr>
      </w:pPr>
    </w:p>
    <w:p w:rsidR="00A40C1C" w:rsidRPr="00324C76" w:rsidRDefault="007D10B0" w:rsidP="00B04217">
      <w:pPr>
        <w:spacing w:before="29" w:line="288" w:lineRule="auto"/>
        <w:rPr>
          <w:color w:val="000000"/>
          <w:kern w:val="0"/>
          <w:sz w:val="24"/>
        </w:rPr>
      </w:pPr>
      <w:r w:rsidRPr="00324C76">
        <w:rPr>
          <w:kern w:val="0"/>
          <w:sz w:val="24"/>
        </w:rPr>
        <w:t>5.12.6</w:t>
      </w:r>
      <w:r w:rsidR="0084595F" w:rsidRPr="00324C76">
        <w:rPr>
          <w:kern w:val="0"/>
          <w:sz w:val="24"/>
        </w:rPr>
        <w:t xml:space="preserve"> </w:t>
      </w:r>
      <w:r w:rsidR="00A40C1C" w:rsidRPr="00324C76">
        <w:rPr>
          <w:color w:val="000000"/>
          <w:kern w:val="0"/>
          <w:sz w:val="24"/>
        </w:rPr>
        <w:t>投资组合报告附注的其他文字描述部分</w:t>
      </w:r>
    </w:p>
    <w:p w:rsidR="002620C9" w:rsidRPr="00324C76" w:rsidRDefault="00A40C1C" w:rsidP="00B04217">
      <w:pPr>
        <w:spacing w:before="29" w:line="288" w:lineRule="auto"/>
        <w:rPr>
          <w:color w:val="000000"/>
          <w:sz w:val="24"/>
        </w:rPr>
      </w:pPr>
      <w:r w:rsidRPr="00324C76">
        <w:rPr>
          <w:color w:val="000000"/>
          <w:sz w:val="24"/>
        </w:rPr>
        <w:t>由于四舍五入的原因，分项之和与合计项之间可能存在尾差。</w:t>
      </w:r>
    </w:p>
    <w:p w:rsidR="00232D92" w:rsidRPr="00324C76" w:rsidRDefault="00232D92" w:rsidP="00B04217">
      <w:pPr>
        <w:spacing w:before="29" w:line="288" w:lineRule="auto"/>
        <w:rPr>
          <w:color w:val="000000"/>
          <w:sz w:val="24"/>
        </w:rPr>
      </w:pPr>
    </w:p>
    <w:p w:rsidR="00220542" w:rsidRPr="00324C76" w:rsidRDefault="00220542" w:rsidP="000D1073">
      <w:pPr>
        <w:pStyle w:val="1"/>
        <w:spacing w:beforeLines="100" w:afterLines="100" w:line="288" w:lineRule="auto"/>
        <w:jc w:val="center"/>
        <w:rPr>
          <w:kern w:val="0"/>
          <w:sz w:val="24"/>
          <w:szCs w:val="24"/>
        </w:rPr>
      </w:pPr>
      <w:r w:rsidRPr="00324C76">
        <w:rPr>
          <w:kern w:val="0"/>
          <w:sz w:val="24"/>
          <w:szCs w:val="24"/>
        </w:rPr>
        <w:t>§6</w:t>
      </w:r>
      <w:r w:rsidR="006F2F56" w:rsidRPr="00324C76">
        <w:rPr>
          <w:kern w:val="0"/>
          <w:sz w:val="24"/>
          <w:szCs w:val="24"/>
        </w:rPr>
        <w:t xml:space="preserve"> </w:t>
      </w:r>
      <w:r w:rsidRPr="00324C76">
        <w:rPr>
          <w:kern w:val="0"/>
          <w:sz w:val="24"/>
          <w:szCs w:val="24"/>
        </w:rPr>
        <w:t>开放式基金份额变动</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单位：份</w:t>
      </w:r>
    </w:p>
    <w:tbl>
      <w:tblPr>
        <w:tblW w:w="8868" w:type="dxa"/>
        <w:jc w:val="center"/>
        <w:tblLayout w:type="fixed"/>
        <w:tblLook w:val="0000"/>
      </w:tblPr>
      <w:tblGrid>
        <w:gridCol w:w="4734"/>
        <w:gridCol w:w="4134"/>
      </w:tblGrid>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本报告期期初基金份额总额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49,740,452.18</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A40C1C" w:rsidRPr="00324C76">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2,027,555.51</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减：</w:t>
            </w:r>
            <w:r w:rsidR="006973EC" w:rsidRPr="00324C76">
              <w:rPr>
                <w:color w:val="000000"/>
                <w:kern w:val="0"/>
                <w:sz w:val="24"/>
              </w:rPr>
              <w:t>本报告期</w:t>
            </w:r>
            <w:r w:rsidRPr="00324C76">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2,943,425.87</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A40C1C" w:rsidRPr="00324C76">
              <w:rPr>
                <w:color w:val="000000"/>
                <w:kern w:val="0"/>
                <w:sz w:val="24"/>
              </w:rPr>
              <w:t>基金拆分变动份额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本报告期期末基金份额总额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48,824,581.82</w:t>
            </w:r>
          </w:p>
        </w:tc>
      </w:tr>
    </w:tbl>
    <w:p w:rsidR="002912CC" w:rsidRDefault="0068103A">
      <w:pPr>
        <w:autoSpaceDE w:val="0"/>
        <w:autoSpaceDN w:val="0"/>
        <w:adjustRightInd w:val="0"/>
        <w:spacing w:before="29" w:line="288" w:lineRule="auto"/>
        <w:jc w:val="left"/>
        <w:rPr>
          <w:sz w:val="24"/>
        </w:rPr>
      </w:pPr>
      <w:r>
        <w:rPr>
          <w:sz w:val="24"/>
        </w:rPr>
        <w:t>注：</w:t>
      </w:r>
      <w:r>
        <w:rPr>
          <w:sz w:val="24"/>
        </w:rPr>
        <w:t>1</w:t>
      </w:r>
      <w:r>
        <w:rPr>
          <w:sz w:val="24"/>
        </w:rPr>
        <w:t>、如果本报告期间发生转换入、红利再投业务，则总申购份额中包含该业务；</w:t>
      </w:r>
    </w:p>
    <w:p w:rsidR="00220542" w:rsidRPr="00324C76" w:rsidRDefault="00A40C1C" w:rsidP="00B04217">
      <w:pPr>
        <w:autoSpaceDE w:val="0"/>
        <w:autoSpaceDN w:val="0"/>
        <w:adjustRightInd w:val="0"/>
        <w:spacing w:before="29" w:line="288" w:lineRule="auto"/>
        <w:jc w:val="left"/>
        <w:rPr>
          <w:sz w:val="24"/>
        </w:rPr>
      </w:pPr>
      <w:r w:rsidRPr="00324C76">
        <w:rPr>
          <w:sz w:val="24"/>
        </w:rPr>
        <w:t xml:space="preserve">    2</w:t>
      </w:r>
      <w:r w:rsidRPr="00324C76">
        <w:rPr>
          <w:sz w:val="24"/>
        </w:rPr>
        <w:t>、如果本报告期间发生转换出业务，则总赎回份额中包含该业务。</w:t>
      </w:r>
    </w:p>
    <w:p w:rsidR="00035465" w:rsidRDefault="00035465" w:rsidP="00B04217">
      <w:pPr>
        <w:autoSpaceDE w:val="0"/>
        <w:autoSpaceDN w:val="0"/>
        <w:adjustRightInd w:val="0"/>
        <w:spacing w:before="29" w:line="288" w:lineRule="auto"/>
        <w:jc w:val="left"/>
        <w:rPr>
          <w:sz w:val="24"/>
        </w:rPr>
      </w:pPr>
    </w:p>
    <w:p w:rsidR="00F229B7" w:rsidRPr="00F229B7" w:rsidRDefault="00F229B7" w:rsidP="000D1073">
      <w:pPr>
        <w:pStyle w:val="1"/>
        <w:tabs>
          <w:tab w:val="center" w:pos="4156"/>
          <w:tab w:val="right" w:pos="8312"/>
        </w:tabs>
        <w:spacing w:beforeLines="100" w:afterLines="100" w:line="288" w:lineRule="auto"/>
        <w:jc w:val="center"/>
        <w:rPr>
          <w:sz w:val="24"/>
          <w:szCs w:val="24"/>
        </w:rPr>
      </w:pPr>
      <w:r w:rsidRPr="00F229B7">
        <w:rPr>
          <w:rFonts w:eastAsiaTheme="minorEastAsia"/>
          <w:color w:val="000000"/>
          <w:kern w:val="0"/>
          <w:sz w:val="24"/>
          <w:szCs w:val="24"/>
        </w:rPr>
        <w:t xml:space="preserve">§7  </w:t>
      </w:r>
      <w:r w:rsidRPr="00F229B7">
        <w:rPr>
          <w:sz w:val="24"/>
          <w:szCs w:val="24"/>
        </w:rPr>
        <w:t>基金管理人运用固有资金投资本基金情况</w:t>
      </w:r>
    </w:p>
    <w:p w:rsidR="00F229B7" w:rsidRPr="00F229B7" w:rsidRDefault="00F229B7" w:rsidP="00B04217">
      <w:pPr>
        <w:spacing w:line="288" w:lineRule="auto"/>
        <w:jc w:val="left"/>
        <w:rPr>
          <w:sz w:val="24"/>
        </w:rPr>
      </w:pPr>
      <w:r w:rsidRPr="00F229B7">
        <w:rPr>
          <w:b/>
          <w:sz w:val="24"/>
        </w:rPr>
        <w:t xml:space="preserve">7.1 </w:t>
      </w:r>
      <w:r w:rsidRPr="00F229B7">
        <w:rPr>
          <w:b/>
          <w:sz w:val="24"/>
        </w:rPr>
        <w:t>基金管理人持有本基金份额变动情况</w:t>
      </w:r>
    </w:p>
    <w:p w:rsidR="00F20F7C" w:rsidRDefault="00F229B7" w:rsidP="00B04217">
      <w:pPr>
        <w:autoSpaceDE w:val="0"/>
        <w:autoSpaceDN w:val="0"/>
        <w:adjustRightInd w:val="0"/>
        <w:spacing w:before="29" w:line="288" w:lineRule="auto"/>
        <w:jc w:val="left"/>
        <w:rPr>
          <w:rFonts w:eastAsiaTheme="minorEastAsia"/>
          <w:color w:val="000000"/>
          <w:sz w:val="24"/>
        </w:rPr>
      </w:pPr>
      <w:r w:rsidRPr="00F229B7">
        <w:rPr>
          <w:rFonts w:eastAsiaTheme="minorEastAsia"/>
          <w:color w:val="000000"/>
          <w:sz w:val="24"/>
        </w:rPr>
        <w:t>本报告期内未发生基金管理人运用固有资金投资本基金的情况。</w:t>
      </w:r>
    </w:p>
    <w:p w:rsidR="00F20F7C" w:rsidRDefault="00F20F7C" w:rsidP="00B04217">
      <w:pPr>
        <w:autoSpaceDE w:val="0"/>
        <w:autoSpaceDN w:val="0"/>
        <w:adjustRightInd w:val="0"/>
        <w:spacing w:before="29" w:line="288" w:lineRule="auto"/>
        <w:jc w:val="left"/>
        <w:rPr>
          <w:rFonts w:eastAsiaTheme="minorEastAsia"/>
          <w:color w:val="000000"/>
          <w:sz w:val="24"/>
        </w:rPr>
      </w:pPr>
    </w:p>
    <w:p w:rsidR="00EF07DC" w:rsidRDefault="00F229B7" w:rsidP="00B04217">
      <w:pPr>
        <w:autoSpaceDE w:val="0"/>
        <w:autoSpaceDN w:val="0"/>
        <w:adjustRightInd w:val="0"/>
        <w:spacing w:before="29" w:line="288" w:lineRule="auto"/>
        <w:jc w:val="left"/>
        <w:rPr>
          <w:b/>
          <w:sz w:val="24"/>
        </w:rPr>
      </w:pPr>
      <w:r w:rsidRPr="00F20F7C">
        <w:rPr>
          <w:b/>
          <w:sz w:val="24"/>
        </w:rPr>
        <w:t xml:space="preserve">7.2 </w:t>
      </w:r>
      <w:r w:rsidRPr="00F20F7C">
        <w:rPr>
          <w:rFonts w:hint="eastAsia"/>
          <w:b/>
          <w:sz w:val="24"/>
        </w:rPr>
        <w:t>基金管理人运用固有资金投资本基金交易明细</w:t>
      </w:r>
    </w:p>
    <w:p w:rsidR="00EF07DC" w:rsidRPr="00324C76" w:rsidRDefault="00EF07DC" w:rsidP="00B04217">
      <w:pPr>
        <w:autoSpaceDE w:val="0"/>
        <w:autoSpaceDN w:val="0"/>
        <w:adjustRightInd w:val="0"/>
        <w:spacing w:before="29" w:line="288" w:lineRule="auto"/>
        <w:jc w:val="left"/>
        <w:rPr>
          <w:color w:val="000000"/>
          <w:sz w:val="24"/>
        </w:rPr>
      </w:pPr>
      <w:r w:rsidRPr="00324C76">
        <w:rPr>
          <w:color w:val="000000"/>
          <w:sz w:val="24"/>
        </w:rPr>
        <w:t>本基金管理人本报告期内未进行本基金的申购、赎回、红利再投等。</w:t>
      </w:r>
    </w:p>
    <w:p w:rsidR="00016A56" w:rsidRPr="00324C76" w:rsidRDefault="00016A56" w:rsidP="00B04217">
      <w:pPr>
        <w:autoSpaceDE w:val="0"/>
        <w:autoSpaceDN w:val="0"/>
        <w:adjustRightInd w:val="0"/>
        <w:spacing w:before="29" w:line="288" w:lineRule="auto"/>
        <w:jc w:val="left"/>
        <w:rPr>
          <w:color w:val="000000"/>
          <w:sz w:val="24"/>
        </w:rPr>
      </w:pPr>
    </w:p>
    <w:p w:rsidR="006A0A24" w:rsidRPr="00495FAB" w:rsidRDefault="00220542" w:rsidP="000D1073">
      <w:pPr>
        <w:pStyle w:val="1"/>
        <w:spacing w:beforeLines="100" w:afterLines="100" w:line="288" w:lineRule="auto"/>
        <w:jc w:val="center"/>
        <w:rPr>
          <w:kern w:val="0"/>
          <w:sz w:val="24"/>
          <w:szCs w:val="24"/>
        </w:rPr>
      </w:pPr>
      <w:r w:rsidRPr="00324C76">
        <w:rPr>
          <w:kern w:val="0"/>
          <w:sz w:val="24"/>
          <w:szCs w:val="24"/>
        </w:rPr>
        <w:t>§</w:t>
      </w:r>
      <w:r w:rsidR="00B31ADE" w:rsidRPr="00324C76">
        <w:rPr>
          <w:kern w:val="0"/>
          <w:sz w:val="24"/>
          <w:szCs w:val="24"/>
        </w:rPr>
        <w:t>8</w:t>
      </w:r>
      <w:r w:rsidR="005348C7" w:rsidRPr="00324C76">
        <w:rPr>
          <w:kern w:val="0"/>
          <w:sz w:val="24"/>
          <w:szCs w:val="24"/>
        </w:rPr>
        <w:t xml:space="preserve"> </w:t>
      </w:r>
      <w:r w:rsidRPr="00324C76">
        <w:rPr>
          <w:kern w:val="0"/>
          <w:sz w:val="24"/>
          <w:szCs w:val="24"/>
        </w:rPr>
        <w:t>备查文件目录</w:t>
      </w:r>
    </w:p>
    <w:p w:rsidR="00220542" w:rsidRPr="00324C76" w:rsidRDefault="00B31ADE" w:rsidP="00B04217">
      <w:pPr>
        <w:spacing w:before="29" w:line="288" w:lineRule="auto"/>
        <w:rPr>
          <w:b/>
          <w:sz w:val="24"/>
        </w:rPr>
      </w:pPr>
      <w:r w:rsidRPr="00324C76">
        <w:rPr>
          <w:b/>
          <w:sz w:val="24"/>
        </w:rPr>
        <w:t>8</w:t>
      </w:r>
      <w:r w:rsidR="00220542" w:rsidRPr="00324C76">
        <w:rPr>
          <w:b/>
          <w:sz w:val="24"/>
        </w:rPr>
        <w:t>.</w:t>
      </w:r>
      <w:r w:rsidR="0083066D" w:rsidRPr="00324C76">
        <w:rPr>
          <w:b/>
          <w:sz w:val="24"/>
        </w:rPr>
        <w:t>1</w:t>
      </w:r>
      <w:r w:rsidR="00446862" w:rsidRPr="00324C76">
        <w:rPr>
          <w:b/>
          <w:sz w:val="24"/>
        </w:rPr>
        <w:t xml:space="preserve"> </w:t>
      </w:r>
      <w:r w:rsidR="00220542" w:rsidRPr="00324C76">
        <w:rPr>
          <w:b/>
          <w:sz w:val="24"/>
        </w:rPr>
        <w:t>备查文件目录</w:t>
      </w:r>
    </w:p>
    <w:p w:rsidR="002912CC" w:rsidRDefault="0068103A">
      <w:pPr>
        <w:spacing w:before="29" w:line="288" w:lineRule="auto"/>
        <w:ind w:firstLineChars="200" w:firstLine="480"/>
        <w:rPr>
          <w:color w:val="000000"/>
          <w:sz w:val="24"/>
        </w:rPr>
      </w:pPr>
      <w:r>
        <w:rPr>
          <w:color w:val="000000"/>
          <w:sz w:val="24"/>
        </w:rPr>
        <w:t>1</w:t>
      </w:r>
      <w:r>
        <w:rPr>
          <w:color w:val="000000"/>
          <w:sz w:val="24"/>
        </w:rPr>
        <w:t>、中国证监会核准交银施罗德深证</w:t>
      </w:r>
      <w:r>
        <w:rPr>
          <w:color w:val="000000"/>
          <w:sz w:val="24"/>
        </w:rPr>
        <w:t>300</w:t>
      </w:r>
      <w:r>
        <w:rPr>
          <w:color w:val="000000"/>
          <w:sz w:val="24"/>
        </w:rPr>
        <w:t>价值交易型开放式指数证券投资基金联接基金募集的文件；</w:t>
      </w:r>
    </w:p>
    <w:p w:rsidR="002912CC" w:rsidRDefault="0068103A">
      <w:pPr>
        <w:spacing w:before="29" w:line="288" w:lineRule="auto"/>
        <w:ind w:firstLineChars="200" w:firstLine="480"/>
        <w:rPr>
          <w:color w:val="000000"/>
          <w:sz w:val="24"/>
        </w:rPr>
      </w:pPr>
      <w:r>
        <w:rPr>
          <w:color w:val="000000"/>
          <w:sz w:val="24"/>
        </w:rPr>
        <w:t>2</w:t>
      </w:r>
      <w:r>
        <w:rPr>
          <w:color w:val="000000"/>
          <w:sz w:val="24"/>
        </w:rPr>
        <w:t>、《交银施罗德深证</w:t>
      </w:r>
      <w:r>
        <w:rPr>
          <w:color w:val="000000"/>
          <w:sz w:val="24"/>
        </w:rPr>
        <w:t>300</w:t>
      </w:r>
      <w:r>
        <w:rPr>
          <w:color w:val="000000"/>
          <w:sz w:val="24"/>
        </w:rPr>
        <w:t>价值交易型开放式指数证券投资基金联接基金基金合同》；</w:t>
      </w:r>
      <w:r>
        <w:rPr>
          <w:color w:val="000000"/>
          <w:sz w:val="24"/>
        </w:rPr>
        <w:t xml:space="preserve"> </w:t>
      </w:r>
    </w:p>
    <w:p w:rsidR="002912CC" w:rsidRDefault="0068103A">
      <w:pPr>
        <w:spacing w:before="29" w:line="288" w:lineRule="auto"/>
        <w:ind w:firstLineChars="200" w:firstLine="480"/>
        <w:rPr>
          <w:color w:val="000000"/>
          <w:sz w:val="24"/>
        </w:rPr>
      </w:pPr>
      <w:r>
        <w:rPr>
          <w:color w:val="000000"/>
          <w:sz w:val="24"/>
        </w:rPr>
        <w:t>3</w:t>
      </w:r>
      <w:r>
        <w:rPr>
          <w:color w:val="000000"/>
          <w:sz w:val="24"/>
        </w:rPr>
        <w:t>、《交银施罗德深证</w:t>
      </w:r>
      <w:r>
        <w:rPr>
          <w:color w:val="000000"/>
          <w:sz w:val="24"/>
        </w:rPr>
        <w:t>300</w:t>
      </w:r>
      <w:r>
        <w:rPr>
          <w:color w:val="000000"/>
          <w:sz w:val="24"/>
        </w:rPr>
        <w:t>价值交易型开放式指数证券投资基金联接基金招募说明书》；</w:t>
      </w:r>
    </w:p>
    <w:p w:rsidR="002912CC" w:rsidRDefault="0068103A">
      <w:pPr>
        <w:spacing w:before="29" w:line="288" w:lineRule="auto"/>
        <w:ind w:firstLineChars="200" w:firstLine="480"/>
        <w:rPr>
          <w:color w:val="000000"/>
          <w:sz w:val="24"/>
        </w:rPr>
      </w:pPr>
      <w:r>
        <w:rPr>
          <w:color w:val="000000"/>
          <w:sz w:val="24"/>
        </w:rPr>
        <w:t>4</w:t>
      </w:r>
      <w:r>
        <w:rPr>
          <w:color w:val="000000"/>
          <w:sz w:val="24"/>
        </w:rPr>
        <w:t>、《交银施罗德深证</w:t>
      </w:r>
      <w:r>
        <w:rPr>
          <w:color w:val="000000"/>
          <w:sz w:val="24"/>
        </w:rPr>
        <w:t>300</w:t>
      </w:r>
      <w:r>
        <w:rPr>
          <w:color w:val="000000"/>
          <w:sz w:val="24"/>
        </w:rPr>
        <w:t>价值交易型开放式指数证券投资基金联接基金托管协议》；</w:t>
      </w:r>
    </w:p>
    <w:p w:rsidR="002912CC" w:rsidRDefault="0068103A">
      <w:pPr>
        <w:spacing w:before="29" w:line="288" w:lineRule="auto"/>
        <w:ind w:firstLineChars="200" w:firstLine="480"/>
        <w:rPr>
          <w:color w:val="000000"/>
          <w:sz w:val="24"/>
        </w:rPr>
      </w:pPr>
      <w:r>
        <w:rPr>
          <w:color w:val="000000"/>
          <w:sz w:val="24"/>
        </w:rPr>
        <w:t>5</w:t>
      </w:r>
      <w:r>
        <w:rPr>
          <w:color w:val="000000"/>
          <w:sz w:val="24"/>
        </w:rPr>
        <w:t>、关于申请募集交银施罗德深证</w:t>
      </w:r>
      <w:r>
        <w:rPr>
          <w:color w:val="000000"/>
          <w:sz w:val="24"/>
        </w:rPr>
        <w:t>300</w:t>
      </w:r>
      <w:r>
        <w:rPr>
          <w:color w:val="000000"/>
          <w:sz w:val="24"/>
        </w:rPr>
        <w:t>价值交易型开放式指数证券投资基金联接基金之法律意见书；</w:t>
      </w:r>
    </w:p>
    <w:p w:rsidR="002912CC" w:rsidRDefault="0068103A">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2912CC" w:rsidRDefault="0068103A">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24C76" w:rsidRDefault="00A40C1C" w:rsidP="00B04217">
      <w:pPr>
        <w:spacing w:before="29" w:line="288" w:lineRule="auto"/>
        <w:ind w:firstLineChars="200" w:firstLine="480"/>
        <w:rPr>
          <w:color w:val="000000"/>
          <w:sz w:val="24"/>
        </w:rPr>
      </w:pPr>
      <w:r w:rsidRPr="00324C76">
        <w:rPr>
          <w:color w:val="000000"/>
          <w:sz w:val="24"/>
        </w:rPr>
        <w:t>8</w:t>
      </w:r>
      <w:r w:rsidRPr="00324C76">
        <w:rPr>
          <w:color w:val="000000"/>
          <w:sz w:val="24"/>
        </w:rPr>
        <w:t>、报告期内交银施罗德深证</w:t>
      </w:r>
      <w:r w:rsidRPr="00324C76">
        <w:rPr>
          <w:color w:val="000000"/>
          <w:sz w:val="24"/>
        </w:rPr>
        <w:t>300</w:t>
      </w:r>
      <w:r w:rsidRPr="00324C76">
        <w:rPr>
          <w:color w:val="000000"/>
          <w:sz w:val="24"/>
        </w:rPr>
        <w:t>价值交易型开放式指数证券投资基金联接基金在指定报刊上各项公告的原稿。</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8.2</w:t>
      </w:r>
      <w:r w:rsidR="00446862" w:rsidRPr="00324C76">
        <w:rPr>
          <w:b/>
          <w:sz w:val="24"/>
        </w:rPr>
        <w:t xml:space="preserve"> </w:t>
      </w:r>
      <w:r w:rsidR="00220542" w:rsidRPr="00324C76">
        <w:rPr>
          <w:b/>
          <w:sz w:val="24"/>
        </w:rPr>
        <w:t>存放地点</w:t>
      </w:r>
    </w:p>
    <w:p w:rsidR="00220542" w:rsidRPr="00324C76" w:rsidRDefault="00A40C1C" w:rsidP="00B04217">
      <w:pPr>
        <w:spacing w:before="29" w:line="288" w:lineRule="auto"/>
        <w:ind w:firstLineChars="200" w:firstLine="480"/>
        <w:rPr>
          <w:color w:val="000000"/>
          <w:sz w:val="24"/>
        </w:rPr>
      </w:pPr>
      <w:r w:rsidRPr="00324C76">
        <w:rPr>
          <w:color w:val="000000"/>
          <w:sz w:val="24"/>
        </w:rPr>
        <w:t>备查文件存放于基金管理人的办公场所。</w:t>
      </w:r>
    </w:p>
    <w:p w:rsidR="001E7CAE" w:rsidRPr="00324C76" w:rsidRDefault="001E7CAE" w:rsidP="00B04217">
      <w:pPr>
        <w:spacing w:before="29" w:line="288" w:lineRule="auto"/>
        <w:ind w:firstLineChars="200" w:firstLine="480"/>
        <w:rPr>
          <w:color w:val="000000"/>
          <w:sz w:val="24"/>
        </w:rPr>
      </w:pPr>
    </w:p>
    <w:p w:rsidR="00220542" w:rsidRPr="00324C76" w:rsidRDefault="0083066D" w:rsidP="00B04217">
      <w:pPr>
        <w:spacing w:before="29" w:line="288" w:lineRule="auto"/>
        <w:rPr>
          <w:b/>
          <w:sz w:val="24"/>
        </w:rPr>
      </w:pPr>
      <w:r w:rsidRPr="00324C76">
        <w:rPr>
          <w:b/>
          <w:sz w:val="24"/>
        </w:rPr>
        <w:t>8.3</w:t>
      </w:r>
      <w:r w:rsidR="00446862" w:rsidRPr="00324C76">
        <w:rPr>
          <w:b/>
          <w:sz w:val="24"/>
        </w:rPr>
        <w:t xml:space="preserve"> </w:t>
      </w:r>
      <w:r w:rsidR="00220542" w:rsidRPr="00324C76">
        <w:rPr>
          <w:b/>
          <w:sz w:val="24"/>
        </w:rPr>
        <w:t>查阅方式</w:t>
      </w:r>
    </w:p>
    <w:p w:rsidR="002912CC" w:rsidRDefault="0068103A">
      <w:pPr>
        <w:spacing w:before="29" w:line="288" w:lineRule="auto"/>
        <w:ind w:firstLineChars="200" w:firstLine="480"/>
        <w:rPr>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E33DCE" w:rsidRPr="00324C76" w:rsidRDefault="00A40C1C" w:rsidP="00B04217">
      <w:pPr>
        <w:spacing w:before="29" w:line="288" w:lineRule="auto"/>
        <w:ind w:firstLineChars="200" w:firstLine="480"/>
        <w:rPr>
          <w:sz w:val="24"/>
        </w:rPr>
      </w:pPr>
      <w:r w:rsidRPr="00324C76">
        <w:rPr>
          <w:color w:val="000000"/>
          <w:sz w:val="24"/>
        </w:rPr>
        <w:t>投资者对本报告书如有疑问，可咨询本基金管理人交银施罗德基金管理有限公司。本公司客户服务中心电话：</w:t>
      </w:r>
      <w:r w:rsidRPr="00324C76">
        <w:rPr>
          <w:color w:val="000000"/>
          <w:sz w:val="24"/>
        </w:rPr>
        <w:t>400-700-5000</w:t>
      </w:r>
      <w:r w:rsidRPr="00324C76">
        <w:rPr>
          <w:color w:val="000000"/>
          <w:sz w:val="24"/>
        </w:rPr>
        <w:t>（免长途话费），</w:t>
      </w:r>
      <w:r w:rsidRPr="00324C76">
        <w:rPr>
          <w:color w:val="000000"/>
          <w:sz w:val="24"/>
        </w:rPr>
        <w:t>021-61055000</w:t>
      </w:r>
      <w:r w:rsidRPr="00324C76">
        <w:rPr>
          <w:color w:val="000000"/>
          <w:sz w:val="24"/>
        </w:rPr>
        <w:t>，电子邮件：</w:t>
      </w:r>
      <w:r w:rsidRPr="00324C76">
        <w:rPr>
          <w:color w:val="000000"/>
          <w:sz w:val="24"/>
        </w:rPr>
        <w:t>services@jysld.com</w:t>
      </w:r>
      <w:r w:rsidRPr="00324C76">
        <w:rPr>
          <w:color w:val="000000"/>
          <w:sz w:val="24"/>
        </w:rPr>
        <w:t>。</w:t>
      </w:r>
    </w:p>
    <w:p w:rsidR="00897EC2" w:rsidRPr="00324C76" w:rsidRDefault="00897EC2" w:rsidP="00B04217">
      <w:pPr>
        <w:spacing w:before="29" w:line="288" w:lineRule="auto"/>
        <w:ind w:firstLineChars="200" w:firstLine="480"/>
        <w:rPr>
          <w:sz w:val="24"/>
        </w:rPr>
      </w:pPr>
    </w:p>
    <w:sectPr w:rsidR="00897EC2" w:rsidRPr="00324C76" w:rsidSect="00412E7F">
      <w:footerReference w:type="even" r:id="rId11"/>
      <w:pgSz w:w="11906" w:h="16838" w:code="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6C19" w:rsidRDefault="00676C19">
      <w:r>
        <w:separator/>
      </w:r>
    </w:p>
  </w:endnote>
  <w:endnote w:type="continuationSeparator" w:id="1">
    <w:p w:rsidR="00676C19" w:rsidRDefault="00676C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631" w:rsidRPr="001D0DB0" w:rsidRDefault="00FC3631" w:rsidP="00DB4EE7">
    <w:pPr>
      <w:pStyle w:val="a6"/>
      <w:jc w:val="center"/>
    </w:pPr>
    <w:r>
      <w:rPr>
        <w:rFonts w:hint="eastAsia"/>
        <w:kern w:val="0"/>
        <w:szCs w:val="21"/>
      </w:rPr>
      <w:t>第</w:t>
    </w:r>
    <w:r w:rsidR="00227DE4">
      <w:rPr>
        <w:kern w:val="0"/>
        <w:szCs w:val="21"/>
      </w:rPr>
      <w:fldChar w:fldCharType="begin"/>
    </w:r>
    <w:r>
      <w:rPr>
        <w:kern w:val="0"/>
        <w:szCs w:val="21"/>
      </w:rPr>
      <w:instrText xml:space="preserve"> PAGE </w:instrText>
    </w:r>
    <w:r w:rsidR="00227DE4">
      <w:rPr>
        <w:kern w:val="0"/>
        <w:szCs w:val="21"/>
      </w:rPr>
      <w:fldChar w:fldCharType="separate"/>
    </w:r>
    <w:r w:rsidR="000D1073">
      <w:rPr>
        <w:noProof/>
        <w:kern w:val="0"/>
        <w:szCs w:val="21"/>
      </w:rPr>
      <w:t>1</w:t>
    </w:r>
    <w:r w:rsidR="00227DE4">
      <w:rPr>
        <w:kern w:val="0"/>
        <w:szCs w:val="21"/>
      </w:rPr>
      <w:fldChar w:fldCharType="end"/>
    </w:r>
    <w:r>
      <w:rPr>
        <w:rFonts w:hint="eastAsia"/>
        <w:kern w:val="0"/>
        <w:szCs w:val="21"/>
      </w:rPr>
      <w:t>页共</w:t>
    </w:r>
    <w:r w:rsidR="00227DE4">
      <w:rPr>
        <w:kern w:val="0"/>
        <w:szCs w:val="21"/>
      </w:rPr>
      <w:fldChar w:fldCharType="begin"/>
    </w:r>
    <w:r>
      <w:rPr>
        <w:kern w:val="0"/>
        <w:szCs w:val="21"/>
      </w:rPr>
      <w:instrText xml:space="preserve"> NUMPAGES </w:instrText>
    </w:r>
    <w:r w:rsidR="00227DE4">
      <w:rPr>
        <w:kern w:val="0"/>
        <w:szCs w:val="21"/>
      </w:rPr>
      <w:fldChar w:fldCharType="separate"/>
    </w:r>
    <w:r w:rsidR="000D1073">
      <w:rPr>
        <w:noProof/>
        <w:kern w:val="0"/>
        <w:szCs w:val="21"/>
      </w:rPr>
      <w:t>1</w:t>
    </w:r>
    <w:r w:rsidR="00227DE4">
      <w:rPr>
        <w:kern w:val="0"/>
        <w:szCs w:val="21"/>
      </w:rPr>
      <w:fldChar w:fldCharType="end"/>
    </w:r>
    <w:r>
      <w:rPr>
        <w:rFonts w:hint="eastAsia"/>
        <w:kern w:val="0"/>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631" w:rsidRDefault="00227DE4">
    <w:pPr>
      <w:pStyle w:val="a6"/>
      <w:framePr w:wrap="around" w:vAnchor="text" w:hAnchor="margin" w:xAlign="center" w:y="1"/>
      <w:rPr>
        <w:rStyle w:val="a7"/>
      </w:rPr>
    </w:pPr>
    <w:r>
      <w:rPr>
        <w:rStyle w:val="a7"/>
      </w:rPr>
      <w:fldChar w:fldCharType="begin"/>
    </w:r>
    <w:r w:rsidR="00FC3631">
      <w:rPr>
        <w:rStyle w:val="a7"/>
      </w:rPr>
      <w:instrText xml:space="preserve">PAGE  </w:instrText>
    </w:r>
    <w:r>
      <w:rPr>
        <w:rStyle w:val="a7"/>
      </w:rPr>
      <w:fldChar w:fldCharType="end"/>
    </w:r>
  </w:p>
  <w:p w:rsidR="00FC3631" w:rsidRDefault="00FC363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6C19" w:rsidRDefault="00676C19">
      <w:r>
        <w:separator/>
      </w:r>
    </w:p>
  </w:footnote>
  <w:footnote w:type="continuationSeparator" w:id="1">
    <w:p w:rsidR="00676C19" w:rsidRDefault="00676C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3631" w:rsidRPr="006B198C" w:rsidRDefault="00A54580" w:rsidP="00C6357C">
    <w:pPr>
      <w:pStyle w:val="a9"/>
      <w:pBdr>
        <w:bottom w:val="single" w:sz="6" w:space="0" w:color="auto"/>
      </w:pBdr>
      <w:ind w:right="90"/>
      <w:jc w:val="right"/>
    </w:pPr>
    <w:r>
      <w:rPr>
        <w:noProof/>
      </w:rPr>
      <w:drawing>
        <wp:anchor distT="0" distB="0" distL="114300" distR="114300" simplePos="0" relativeHeight="251658240" behindDoc="0" locked="0" layoutInCell="1" allowOverlap="1">
          <wp:simplePos x="0" y="0"/>
          <wp:positionH relativeFrom="column">
            <wp:posOffset>-52705</wp:posOffset>
          </wp:positionH>
          <wp:positionV relativeFrom="paragraph">
            <wp:posOffset>-330835</wp:posOffset>
          </wp:positionV>
          <wp:extent cx="2085975" cy="457200"/>
          <wp:effectExtent l="19050" t="0" r="9525"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BC330C7"/>
    <w:multiLevelType w:val="multilevel"/>
    <w:tmpl w:val="0E80B9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nsid w:val="491157F5"/>
    <w:multiLevelType w:val="multilevel"/>
    <w:tmpl w:val="4E30F4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6">
    <w:abstractNumId w:val="2"/>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attachedTemplate r:id="rId1"/>
  <w:stylePaneFormatFilter w:val="3F01"/>
  <w:trackRevisions/>
  <w:defaultTabStop w:val="420"/>
  <w:drawingGridVerticalSpacing w:val="156"/>
  <w:displayHorizontalDrawingGridEvery w:val="0"/>
  <w:displayVerticalDrawingGridEvery w:val="2"/>
  <w:characterSpacingControl w:val="compressPunctuation"/>
  <w:savePreviewPicture/>
  <w:hdrShapeDefaults>
    <o:shapedefaults v:ext="edit" spidmax="14131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6302"/>
    <w:rsid w:val="0000403B"/>
    <w:rsid w:val="00005911"/>
    <w:rsid w:val="00006B68"/>
    <w:rsid w:val="00010A83"/>
    <w:rsid w:val="00010A8E"/>
    <w:rsid w:val="00010AC3"/>
    <w:rsid w:val="00011250"/>
    <w:rsid w:val="00011EB5"/>
    <w:rsid w:val="0001280C"/>
    <w:rsid w:val="00016A56"/>
    <w:rsid w:val="00017581"/>
    <w:rsid w:val="000176FE"/>
    <w:rsid w:val="00020583"/>
    <w:rsid w:val="00021C28"/>
    <w:rsid w:val="00021DD4"/>
    <w:rsid w:val="00023BE7"/>
    <w:rsid w:val="00027D15"/>
    <w:rsid w:val="00035465"/>
    <w:rsid w:val="00037FCF"/>
    <w:rsid w:val="000421B8"/>
    <w:rsid w:val="00043ABF"/>
    <w:rsid w:val="000445E4"/>
    <w:rsid w:val="00045A7E"/>
    <w:rsid w:val="00046A8E"/>
    <w:rsid w:val="000510AB"/>
    <w:rsid w:val="00052864"/>
    <w:rsid w:val="00053B07"/>
    <w:rsid w:val="00055AF1"/>
    <w:rsid w:val="00064AE3"/>
    <w:rsid w:val="00066524"/>
    <w:rsid w:val="00070CD1"/>
    <w:rsid w:val="0007171B"/>
    <w:rsid w:val="00076821"/>
    <w:rsid w:val="00081D05"/>
    <w:rsid w:val="0008252F"/>
    <w:rsid w:val="00087CF7"/>
    <w:rsid w:val="0009414A"/>
    <w:rsid w:val="00094876"/>
    <w:rsid w:val="00095912"/>
    <w:rsid w:val="000959DF"/>
    <w:rsid w:val="00095CE0"/>
    <w:rsid w:val="00096933"/>
    <w:rsid w:val="00097230"/>
    <w:rsid w:val="000A056F"/>
    <w:rsid w:val="000A06A0"/>
    <w:rsid w:val="000A457E"/>
    <w:rsid w:val="000A53FD"/>
    <w:rsid w:val="000A549A"/>
    <w:rsid w:val="000A72F2"/>
    <w:rsid w:val="000A7493"/>
    <w:rsid w:val="000B0C56"/>
    <w:rsid w:val="000B3E43"/>
    <w:rsid w:val="000B5CC0"/>
    <w:rsid w:val="000B666F"/>
    <w:rsid w:val="000C027D"/>
    <w:rsid w:val="000C0871"/>
    <w:rsid w:val="000C14B1"/>
    <w:rsid w:val="000C1723"/>
    <w:rsid w:val="000C1B20"/>
    <w:rsid w:val="000C4107"/>
    <w:rsid w:val="000C45E7"/>
    <w:rsid w:val="000C6634"/>
    <w:rsid w:val="000D01F4"/>
    <w:rsid w:val="000D1073"/>
    <w:rsid w:val="000D1519"/>
    <w:rsid w:val="000D1C1A"/>
    <w:rsid w:val="000D1E9C"/>
    <w:rsid w:val="000E0611"/>
    <w:rsid w:val="000E186B"/>
    <w:rsid w:val="000E4456"/>
    <w:rsid w:val="000F175F"/>
    <w:rsid w:val="000F17D1"/>
    <w:rsid w:val="000F5C95"/>
    <w:rsid w:val="000F60FF"/>
    <w:rsid w:val="000F635F"/>
    <w:rsid w:val="000F6C61"/>
    <w:rsid w:val="00100C12"/>
    <w:rsid w:val="001049B6"/>
    <w:rsid w:val="001051C6"/>
    <w:rsid w:val="0011177A"/>
    <w:rsid w:val="00116E31"/>
    <w:rsid w:val="00120EC8"/>
    <w:rsid w:val="0012304E"/>
    <w:rsid w:val="001248EF"/>
    <w:rsid w:val="001257C7"/>
    <w:rsid w:val="00125830"/>
    <w:rsid w:val="0012658D"/>
    <w:rsid w:val="00126DDF"/>
    <w:rsid w:val="001270BF"/>
    <w:rsid w:val="00127A39"/>
    <w:rsid w:val="00127BAC"/>
    <w:rsid w:val="001378A4"/>
    <w:rsid w:val="00140A14"/>
    <w:rsid w:val="00142A56"/>
    <w:rsid w:val="00144DF5"/>
    <w:rsid w:val="00145A97"/>
    <w:rsid w:val="00146485"/>
    <w:rsid w:val="00150AD6"/>
    <w:rsid w:val="00153B40"/>
    <w:rsid w:val="00154ADA"/>
    <w:rsid w:val="0015531A"/>
    <w:rsid w:val="00156E40"/>
    <w:rsid w:val="00163AE8"/>
    <w:rsid w:val="00163B27"/>
    <w:rsid w:val="00165317"/>
    <w:rsid w:val="00165E22"/>
    <w:rsid w:val="00171067"/>
    <w:rsid w:val="00171BAD"/>
    <w:rsid w:val="00171C61"/>
    <w:rsid w:val="00174121"/>
    <w:rsid w:val="001744B4"/>
    <w:rsid w:val="001756A1"/>
    <w:rsid w:val="001761EE"/>
    <w:rsid w:val="00176EAA"/>
    <w:rsid w:val="0017725A"/>
    <w:rsid w:val="00177C4B"/>
    <w:rsid w:val="00180BE7"/>
    <w:rsid w:val="0018325A"/>
    <w:rsid w:val="00186199"/>
    <w:rsid w:val="001928F7"/>
    <w:rsid w:val="00192EC8"/>
    <w:rsid w:val="00194537"/>
    <w:rsid w:val="0019563C"/>
    <w:rsid w:val="00197779"/>
    <w:rsid w:val="001A21A9"/>
    <w:rsid w:val="001A2984"/>
    <w:rsid w:val="001A59D8"/>
    <w:rsid w:val="001A5FA6"/>
    <w:rsid w:val="001A6E56"/>
    <w:rsid w:val="001A78A4"/>
    <w:rsid w:val="001B2F0C"/>
    <w:rsid w:val="001B3F9C"/>
    <w:rsid w:val="001C078E"/>
    <w:rsid w:val="001C2E42"/>
    <w:rsid w:val="001C37F6"/>
    <w:rsid w:val="001C4587"/>
    <w:rsid w:val="001C6288"/>
    <w:rsid w:val="001D0F6A"/>
    <w:rsid w:val="001D1D94"/>
    <w:rsid w:val="001D20D5"/>
    <w:rsid w:val="001D21BC"/>
    <w:rsid w:val="001D2FA5"/>
    <w:rsid w:val="001D35E0"/>
    <w:rsid w:val="001D5045"/>
    <w:rsid w:val="001D5A44"/>
    <w:rsid w:val="001D5A49"/>
    <w:rsid w:val="001D724B"/>
    <w:rsid w:val="001E11D3"/>
    <w:rsid w:val="001E2A6A"/>
    <w:rsid w:val="001E3DC2"/>
    <w:rsid w:val="001E429A"/>
    <w:rsid w:val="001E5689"/>
    <w:rsid w:val="001E56FF"/>
    <w:rsid w:val="001E5C6B"/>
    <w:rsid w:val="001E7CAE"/>
    <w:rsid w:val="001F03E1"/>
    <w:rsid w:val="001F0853"/>
    <w:rsid w:val="001F38BB"/>
    <w:rsid w:val="001F3CC6"/>
    <w:rsid w:val="001F4530"/>
    <w:rsid w:val="002005FD"/>
    <w:rsid w:val="00200C9F"/>
    <w:rsid w:val="002010DE"/>
    <w:rsid w:val="00202968"/>
    <w:rsid w:val="00202C32"/>
    <w:rsid w:val="00203AEF"/>
    <w:rsid w:val="002070DE"/>
    <w:rsid w:val="0021023C"/>
    <w:rsid w:val="00211A26"/>
    <w:rsid w:val="002125F7"/>
    <w:rsid w:val="00214463"/>
    <w:rsid w:val="00214756"/>
    <w:rsid w:val="00215CF2"/>
    <w:rsid w:val="00220542"/>
    <w:rsid w:val="00221174"/>
    <w:rsid w:val="00221233"/>
    <w:rsid w:val="00221540"/>
    <w:rsid w:val="00225ADC"/>
    <w:rsid w:val="00227DE4"/>
    <w:rsid w:val="00232D92"/>
    <w:rsid w:val="00234D01"/>
    <w:rsid w:val="002359EB"/>
    <w:rsid w:val="002363AB"/>
    <w:rsid w:val="00237963"/>
    <w:rsid w:val="002404C7"/>
    <w:rsid w:val="00240E66"/>
    <w:rsid w:val="0024260D"/>
    <w:rsid w:val="00245012"/>
    <w:rsid w:val="0024504E"/>
    <w:rsid w:val="0024651F"/>
    <w:rsid w:val="0024740E"/>
    <w:rsid w:val="0025007E"/>
    <w:rsid w:val="00250970"/>
    <w:rsid w:val="00251392"/>
    <w:rsid w:val="0025158D"/>
    <w:rsid w:val="0025281A"/>
    <w:rsid w:val="00253D3C"/>
    <w:rsid w:val="00255292"/>
    <w:rsid w:val="00260200"/>
    <w:rsid w:val="00261468"/>
    <w:rsid w:val="002620C9"/>
    <w:rsid w:val="00263E8D"/>
    <w:rsid w:val="002648D8"/>
    <w:rsid w:val="00273F86"/>
    <w:rsid w:val="002774F0"/>
    <w:rsid w:val="00282506"/>
    <w:rsid w:val="0028459B"/>
    <w:rsid w:val="00284C5F"/>
    <w:rsid w:val="00284CBC"/>
    <w:rsid w:val="002873F0"/>
    <w:rsid w:val="002912CC"/>
    <w:rsid w:val="0029290C"/>
    <w:rsid w:val="00294DD0"/>
    <w:rsid w:val="002964F9"/>
    <w:rsid w:val="002A089C"/>
    <w:rsid w:val="002A1F14"/>
    <w:rsid w:val="002A24FD"/>
    <w:rsid w:val="002A2678"/>
    <w:rsid w:val="002A2E01"/>
    <w:rsid w:val="002A398F"/>
    <w:rsid w:val="002A5C6B"/>
    <w:rsid w:val="002A5D31"/>
    <w:rsid w:val="002A5D65"/>
    <w:rsid w:val="002A714F"/>
    <w:rsid w:val="002A7558"/>
    <w:rsid w:val="002B1851"/>
    <w:rsid w:val="002B27FF"/>
    <w:rsid w:val="002B6793"/>
    <w:rsid w:val="002B6FAE"/>
    <w:rsid w:val="002C0867"/>
    <w:rsid w:val="002C1726"/>
    <w:rsid w:val="002C21A6"/>
    <w:rsid w:val="002C26D5"/>
    <w:rsid w:val="002C42F9"/>
    <w:rsid w:val="002C5777"/>
    <w:rsid w:val="002C5D69"/>
    <w:rsid w:val="002D32E3"/>
    <w:rsid w:val="002D4360"/>
    <w:rsid w:val="002E0FEB"/>
    <w:rsid w:val="002F0F79"/>
    <w:rsid w:val="002F280E"/>
    <w:rsid w:val="002F3709"/>
    <w:rsid w:val="002F3A6C"/>
    <w:rsid w:val="002F4296"/>
    <w:rsid w:val="002F46DA"/>
    <w:rsid w:val="00300951"/>
    <w:rsid w:val="00300FD7"/>
    <w:rsid w:val="003019BF"/>
    <w:rsid w:val="003023C9"/>
    <w:rsid w:val="00302CA8"/>
    <w:rsid w:val="00302DE9"/>
    <w:rsid w:val="003030C2"/>
    <w:rsid w:val="00304ADD"/>
    <w:rsid w:val="00304C05"/>
    <w:rsid w:val="00305084"/>
    <w:rsid w:val="0031189A"/>
    <w:rsid w:val="00314308"/>
    <w:rsid w:val="003204E9"/>
    <w:rsid w:val="00321E8C"/>
    <w:rsid w:val="003225A9"/>
    <w:rsid w:val="00322A86"/>
    <w:rsid w:val="00323AE8"/>
    <w:rsid w:val="00324548"/>
    <w:rsid w:val="00324C5F"/>
    <w:rsid w:val="00324C76"/>
    <w:rsid w:val="003251EE"/>
    <w:rsid w:val="003251F4"/>
    <w:rsid w:val="003303E3"/>
    <w:rsid w:val="003329EA"/>
    <w:rsid w:val="00333E4E"/>
    <w:rsid w:val="003404B6"/>
    <w:rsid w:val="003407A5"/>
    <w:rsid w:val="00341188"/>
    <w:rsid w:val="0034147B"/>
    <w:rsid w:val="00343D0F"/>
    <w:rsid w:val="00350238"/>
    <w:rsid w:val="0035109C"/>
    <w:rsid w:val="00351F0A"/>
    <w:rsid w:val="0035432B"/>
    <w:rsid w:val="003567DA"/>
    <w:rsid w:val="00357F6A"/>
    <w:rsid w:val="00360A1E"/>
    <w:rsid w:val="00361E7E"/>
    <w:rsid w:val="003634D5"/>
    <w:rsid w:val="00370748"/>
    <w:rsid w:val="00370AA4"/>
    <w:rsid w:val="00371FF4"/>
    <w:rsid w:val="00372D64"/>
    <w:rsid w:val="00377520"/>
    <w:rsid w:val="00380D36"/>
    <w:rsid w:val="003822D3"/>
    <w:rsid w:val="00386630"/>
    <w:rsid w:val="00390B25"/>
    <w:rsid w:val="00397156"/>
    <w:rsid w:val="0039770F"/>
    <w:rsid w:val="00397960"/>
    <w:rsid w:val="003A3BC4"/>
    <w:rsid w:val="003A458A"/>
    <w:rsid w:val="003A7129"/>
    <w:rsid w:val="003B1FB8"/>
    <w:rsid w:val="003B2F13"/>
    <w:rsid w:val="003B405E"/>
    <w:rsid w:val="003B460A"/>
    <w:rsid w:val="003B57D3"/>
    <w:rsid w:val="003C044A"/>
    <w:rsid w:val="003C1F58"/>
    <w:rsid w:val="003C6409"/>
    <w:rsid w:val="003C792F"/>
    <w:rsid w:val="003D124B"/>
    <w:rsid w:val="003D1893"/>
    <w:rsid w:val="003D18F3"/>
    <w:rsid w:val="003D3D37"/>
    <w:rsid w:val="003D78B5"/>
    <w:rsid w:val="003E10F5"/>
    <w:rsid w:val="003E244F"/>
    <w:rsid w:val="003E62A6"/>
    <w:rsid w:val="003E695F"/>
    <w:rsid w:val="003E6C9B"/>
    <w:rsid w:val="003E709C"/>
    <w:rsid w:val="003E7B89"/>
    <w:rsid w:val="003F4241"/>
    <w:rsid w:val="003F48E7"/>
    <w:rsid w:val="003F5DE1"/>
    <w:rsid w:val="003F780A"/>
    <w:rsid w:val="003F7C45"/>
    <w:rsid w:val="004011B3"/>
    <w:rsid w:val="0040132C"/>
    <w:rsid w:val="00402A3A"/>
    <w:rsid w:val="00402ED1"/>
    <w:rsid w:val="00405085"/>
    <w:rsid w:val="004066FC"/>
    <w:rsid w:val="00407C10"/>
    <w:rsid w:val="004113B4"/>
    <w:rsid w:val="00411C09"/>
    <w:rsid w:val="00412E7F"/>
    <w:rsid w:val="00414827"/>
    <w:rsid w:val="00416C10"/>
    <w:rsid w:val="00422543"/>
    <w:rsid w:val="00424EF3"/>
    <w:rsid w:val="004253A2"/>
    <w:rsid w:val="004268BB"/>
    <w:rsid w:val="00427037"/>
    <w:rsid w:val="00431047"/>
    <w:rsid w:val="004318D9"/>
    <w:rsid w:val="00431B86"/>
    <w:rsid w:val="004408EC"/>
    <w:rsid w:val="00441E6A"/>
    <w:rsid w:val="0044240C"/>
    <w:rsid w:val="00442EB8"/>
    <w:rsid w:val="00443810"/>
    <w:rsid w:val="00443C8F"/>
    <w:rsid w:val="004445C7"/>
    <w:rsid w:val="00446302"/>
    <w:rsid w:val="00446862"/>
    <w:rsid w:val="00452481"/>
    <w:rsid w:val="00456BE4"/>
    <w:rsid w:val="00456CEF"/>
    <w:rsid w:val="00457804"/>
    <w:rsid w:val="004646BF"/>
    <w:rsid w:val="00464744"/>
    <w:rsid w:val="004665E3"/>
    <w:rsid w:val="004721FE"/>
    <w:rsid w:val="004731F1"/>
    <w:rsid w:val="00480BC8"/>
    <w:rsid w:val="00481265"/>
    <w:rsid w:val="004814BF"/>
    <w:rsid w:val="00481E6C"/>
    <w:rsid w:val="00483508"/>
    <w:rsid w:val="0048587E"/>
    <w:rsid w:val="00486365"/>
    <w:rsid w:val="00486D56"/>
    <w:rsid w:val="00487C2B"/>
    <w:rsid w:val="00487E29"/>
    <w:rsid w:val="004909BF"/>
    <w:rsid w:val="00490A9D"/>
    <w:rsid w:val="00491506"/>
    <w:rsid w:val="0049297D"/>
    <w:rsid w:val="004929F2"/>
    <w:rsid w:val="0049550C"/>
    <w:rsid w:val="00495A03"/>
    <w:rsid w:val="00495FAB"/>
    <w:rsid w:val="00497079"/>
    <w:rsid w:val="004A15F0"/>
    <w:rsid w:val="004A1BBA"/>
    <w:rsid w:val="004A3E3C"/>
    <w:rsid w:val="004A5F76"/>
    <w:rsid w:val="004A6C88"/>
    <w:rsid w:val="004A6ECD"/>
    <w:rsid w:val="004B0E6D"/>
    <w:rsid w:val="004B16E8"/>
    <w:rsid w:val="004B6250"/>
    <w:rsid w:val="004B6F8A"/>
    <w:rsid w:val="004B76B1"/>
    <w:rsid w:val="004C0057"/>
    <w:rsid w:val="004C0541"/>
    <w:rsid w:val="004C2C46"/>
    <w:rsid w:val="004C4CF1"/>
    <w:rsid w:val="004C575D"/>
    <w:rsid w:val="004C7235"/>
    <w:rsid w:val="004C7955"/>
    <w:rsid w:val="004D047F"/>
    <w:rsid w:val="004D3D96"/>
    <w:rsid w:val="004D55B2"/>
    <w:rsid w:val="004D650F"/>
    <w:rsid w:val="004D6E34"/>
    <w:rsid w:val="004D6F1D"/>
    <w:rsid w:val="004E2133"/>
    <w:rsid w:val="004E386C"/>
    <w:rsid w:val="004E60FB"/>
    <w:rsid w:val="004F779C"/>
    <w:rsid w:val="004F7846"/>
    <w:rsid w:val="005000D4"/>
    <w:rsid w:val="00504850"/>
    <w:rsid w:val="00510CAF"/>
    <w:rsid w:val="005128C5"/>
    <w:rsid w:val="0051478B"/>
    <w:rsid w:val="0051566A"/>
    <w:rsid w:val="00515D7B"/>
    <w:rsid w:val="005166E9"/>
    <w:rsid w:val="0052009E"/>
    <w:rsid w:val="00525E59"/>
    <w:rsid w:val="00526BBC"/>
    <w:rsid w:val="00527176"/>
    <w:rsid w:val="005318CC"/>
    <w:rsid w:val="005348C7"/>
    <w:rsid w:val="005349B1"/>
    <w:rsid w:val="00535766"/>
    <w:rsid w:val="005374BC"/>
    <w:rsid w:val="00542355"/>
    <w:rsid w:val="00542CC1"/>
    <w:rsid w:val="00543188"/>
    <w:rsid w:val="00543367"/>
    <w:rsid w:val="00543BFA"/>
    <w:rsid w:val="00547D9C"/>
    <w:rsid w:val="00547DA1"/>
    <w:rsid w:val="0055513C"/>
    <w:rsid w:val="0055753F"/>
    <w:rsid w:val="00560C94"/>
    <w:rsid w:val="0056291C"/>
    <w:rsid w:val="005629AF"/>
    <w:rsid w:val="00563A3F"/>
    <w:rsid w:val="00565A63"/>
    <w:rsid w:val="00566588"/>
    <w:rsid w:val="0057275D"/>
    <w:rsid w:val="005742B7"/>
    <w:rsid w:val="00575252"/>
    <w:rsid w:val="005800A9"/>
    <w:rsid w:val="00580488"/>
    <w:rsid w:val="0058074D"/>
    <w:rsid w:val="00580FD1"/>
    <w:rsid w:val="00582FAD"/>
    <w:rsid w:val="00583489"/>
    <w:rsid w:val="00583771"/>
    <w:rsid w:val="00590FE4"/>
    <w:rsid w:val="00591D9C"/>
    <w:rsid w:val="00593440"/>
    <w:rsid w:val="00597057"/>
    <w:rsid w:val="00597D8B"/>
    <w:rsid w:val="005A1C30"/>
    <w:rsid w:val="005A3295"/>
    <w:rsid w:val="005A44A3"/>
    <w:rsid w:val="005A46FF"/>
    <w:rsid w:val="005B011E"/>
    <w:rsid w:val="005B1C89"/>
    <w:rsid w:val="005B2E84"/>
    <w:rsid w:val="005B323C"/>
    <w:rsid w:val="005B7B0E"/>
    <w:rsid w:val="005B7DCD"/>
    <w:rsid w:val="005C0751"/>
    <w:rsid w:val="005C2C2B"/>
    <w:rsid w:val="005C5409"/>
    <w:rsid w:val="005C69AC"/>
    <w:rsid w:val="005C722E"/>
    <w:rsid w:val="005D01A4"/>
    <w:rsid w:val="005D259B"/>
    <w:rsid w:val="005D278A"/>
    <w:rsid w:val="005D45B3"/>
    <w:rsid w:val="005D4CEB"/>
    <w:rsid w:val="005D5E5B"/>
    <w:rsid w:val="005D6496"/>
    <w:rsid w:val="005E004D"/>
    <w:rsid w:val="005E43A2"/>
    <w:rsid w:val="005F04E6"/>
    <w:rsid w:val="005F43B9"/>
    <w:rsid w:val="005F68CB"/>
    <w:rsid w:val="006003EC"/>
    <w:rsid w:val="006033E3"/>
    <w:rsid w:val="00606088"/>
    <w:rsid w:val="00607134"/>
    <w:rsid w:val="0061321C"/>
    <w:rsid w:val="0062317C"/>
    <w:rsid w:val="0062386E"/>
    <w:rsid w:val="00623D9A"/>
    <w:rsid w:val="00623F01"/>
    <w:rsid w:val="006242FB"/>
    <w:rsid w:val="006243DC"/>
    <w:rsid w:val="00626E2D"/>
    <w:rsid w:val="006272BD"/>
    <w:rsid w:val="0062756F"/>
    <w:rsid w:val="00627D94"/>
    <w:rsid w:val="00630B42"/>
    <w:rsid w:val="006344D2"/>
    <w:rsid w:val="00641808"/>
    <w:rsid w:val="00642072"/>
    <w:rsid w:val="006440ED"/>
    <w:rsid w:val="00645293"/>
    <w:rsid w:val="00651B78"/>
    <w:rsid w:val="00652263"/>
    <w:rsid w:val="00652881"/>
    <w:rsid w:val="00656F35"/>
    <w:rsid w:val="00660146"/>
    <w:rsid w:val="00661974"/>
    <w:rsid w:val="0066200A"/>
    <w:rsid w:val="0066232F"/>
    <w:rsid w:val="00664551"/>
    <w:rsid w:val="006676A0"/>
    <w:rsid w:val="00670857"/>
    <w:rsid w:val="00671124"/>
    <w:rsid w:val="00671F44"/>
    <w:rsid w:val="00671F51"/>
    <w:rsid w:val="006727B0"/>
    <w:rsid w:val="0067307E"/>
    <w:rsid w:val="00676126"/>
    <w:rsid w:val="00676C19"/>
    <w:rsid w:val="0068082B"/>
    <w:rsid w:val="0068103A"/>
    <w:rsid w:val="0068640F"/>
    <w:rsid w:val="00687AD5"/>
    <w:rsid w:val="00691921"/>
    <w:rsid w:val="00695251"/>
    <w:rsid w:val="00695ADE"/>
    <w:rsid w:val="00695C0D"/>
    <w:rsid w:val="00696356"/>
    <w:rsid w:val="006973EC"/>
    <w:rsid w:val="006A0A24"/>
    <w:rsid w:val="006A1874"/>
    <w:rsid w:val="006A72C6"/>
    <w:rsid w:val="006A7FC4"/>
    <w:rsid w:val="006B02DA"/>
    <w:rsid w:val="006B198C"/>
    <w:rsid w:val="006B2065"/>
    <w:rsid w:val="006B207C"/>
    <w:rsid w:val="006B3940"/>
    <w:rsid w:val="006B4145"/>
    <w:rsid w:val="006B4B1E"/>
    <w:rsid w:val="006B7149"/>
    <w:rsid w:val="006B7F36"/>
    <w:rsid w:val="006C168D"/>
    <w:rsid w:val="006C615F"/>
    <w:rsid w:val="006C642C"/>
    <w:rsid w:val="006C6FC6"/>
    <w:rsid w:val="006E2F89"/>
    <w:rsid w:val="006E34B7"/>
    <w:rsid w:val="006F2F56"/>
    <w:rsid w:val="006F4CD8"/>
    <w:rsid w:val="006F53D9"/>
    <w:rsid w:val="006F5B9A"/>
    <w:rsid w:val="007004DC"/>
    <w:rsid w:val="00703E8A"/>
    <w:rsid w:val="00711522"/>
    <w:rsid w:val="007124FE"/>
    <w:rsid w:val="00713186"/>
    <w:rsid w:val="00713757"/>
    <w:rsid w:val="00714C63"/>
    <w:rsid w:val="00714DCA"/>
    <w:rsid w:val="00717772"/>
    <w:rsid w:val="00721AF1"/>
    <w:rsid w:val="00721C61"/>
    <w:rsid w:val="0072280F"/>
    <w:rsid w:val="00722B5E"/>
    <w:rsid w:val="0072708F"/>
    <w:rsid w:val="00732D1D"/>
    <w:rsid w:val="00733D9B"/>
    <w:rsid w:val="00733FB9"/>
    <w:rsid w:val="00736034"/>
    <w:rsid w:val="0073681C"/>
    <w:rsid w:val="00736C89"/>
    <w:rsid w:val="0073709A"/>
    <w:rsid w:val="00741EBE"/>
    <w:rsid w:val="00746130"/>
    <w:rsid w:val="00746A40"/>
    <w:rsid w:val="00750358"/>
    <w:rsid w:val="00750E0C"/>
    <w:rsid w:val="00755CDF"/>
    <w:rsid w:val="00756731"/>
    <w:rsid w:val="00757A4C"/>
    <w:rsid w:val="00764A94"/>
    <w:rsid w:val="007651E5"/>
    <w:rsid w:val="007670DC"/>
    <w:rsid w:val="00771003"/>
    <w:rsid w:val="0077111A"/>
    <w:rsid w:val="00772272"/>
    <w:rsid w:val="0077542F"/>
    <w:rsid w:val="007756ED"/>
    <w:rsid w:val="0078047B"/>
    <w:rsid w:val="00784955"/>
    <w:rsid w:val="00786656"/>
    <w:rsid w:val="007870FC"/>
    <w:rsid w:val="00787CD0"/>
    <w:rsid w:val="00790B94"/>
    <w:rsid w:val="00791053"/>
    <w:rsid w:val="00791A3A"/>
    <w:rsid w:val="00792F67"/>
    <w:rsid w:val="00794196"/>
    <w:rsid w:val="00797637"/>
    <w:rsid w:val="00797CBF"/>
    <w:rsid w:val="007A0B2A"/>
    <w:rsid w:val="007A3680"/>
    <w:rsid w:val="007A59B8"/>
    <w:rsid w:val="007B0E0E"/>
    <w:rsid w:val="007B1A39"/>
    <w:rsid w:val="007B2862"/>
    <w:rsid w:val="007B2A4A"/>
    <w:rsid w:val="007B662A"/>
    <w:rsid w:val="007C099F"/>
    <w:rsid w:val="007C57FC"/>
    <w:rsid w:val="007C67DA"/>
    <w:rsid w:val="007D10B0"/>
    <w:rsid w:val="007D23E1"/>
    <w:rsid w:val="007D28C9"/>
    <w:rsid w:val="007D3CC8"/>
    <w:rsid w:val="007D62F9"/>
    <w:rsid w:val="007D63A4"/>
    <w:rsid w:val="007E1AA2"/>
    <w:rsid w:val="007E4C1F"/>
    <w:rsid w:val="007E5469"/>
    <w:rsid w:val="007F0759"/>
    <w:rsid w:val="007F156E"/>
    <w:rsid w:val="007F25C0"/>
    <w:rsid w:val="007F5F52"/>
    <w:rsid w:val="007F77C6"/>
    <w:rsid w:val="008003A1"/>
    <w:rsid w:val="008006B7"/>
    <w:rsid w:val="00800FDB"/>
    <w:rsid w:val="00802081"/>
    <w:rsid w:val="00802299"/>
    <w:rsid w:val="00806461"/>
    <w:rsid w:val="0080742F"/>
    <w:rsid w:val="0081096D"/>
    <w:rsid w:val="00810EAD"/>
    <w:rsid w:val="00811833"/>
    <w:rsid w:val="00814DCE"/>
    <w:rsid w:val="008174D4"/>
    <w:rsid w:val="00820FE6"/>
    <w:rsid w:val="00821545"/>
    <w:rsid w:val="00821A66"/>
    <w:rsid w:val="00822476"/>
    <w:rsid w:val="00822882"/>
    <w:rsid w:val="00822A0F"/>
    <w:rsid w:val="00825F68"/>
    <w:rsid w:val="0083066D"/>
    <w:rsid w:val="0083349B"/>
    <w:rsid w:val="00834467"/>
    <w:rsid w:val="00834F45"/>
    <w:rsid w:val="00835408"/>
    <w:rsid w:val="008359DA"/>
    <w:rsid w:val="00836321"/>
    <w:rsid w:val="00837CEF"/>
    <w:rsid w:val="00840035"/>
    <w:rsid w:val="008428A9"/>
    <w:rsid w:val="00844112"/>
    <w:rsid w:val="008456C9"/>
    <w:rsid w:val="0084595F"/>
    <w:rsid w:val="0084611D"/>
    <w:rsid w:val="00850C62"/>
    <w:rsid w:val="00857C90"/>
    <w:rsid w:val="00863011"/>
    <w:rsid w:val="00865075"/>
    <w:rsid w:val="0086748F"/>
    <w:rsid w:val="008726BA"/>
    <w:rsid w:val="00872CE4"/>
    <w:rsid w:val="00877B62"/>
    <w:rsid w:val="00881015"/>
    <w:rsid w:val="008810B0"/>
    <w:rsid w:val="008819B6"/>
    <w:rsid w:val="00881AAC"/>
    <w:rsid w:val="008836B7"/>
    <w:rsid w:val="008841D3"/>
    <w:rsid w:val="00886CF9"/>
    <w:rsid w:val="00887DE6"/>
    <w:rsid w:val="00894C2A"/>
    <w:rsid w:val="00896BE4"/>
    <w:rsid w:val="00897708"/>
    <w:rsid w:val="00897C60"/>
    <w:rsid w:val="00897D88"/>
    <w:rsid w:val="00897EC2"/>
    <w:rsid w:val="008A17AF"/>
    <w:rsid w:val="008A1B66"/>
    <w:rsid w:val="008A22A5"/>
    <w:rsid w:val="008A2F16"/>
    <w:rsid w:val="008A6913"/>
    <w:rsid w:val="008B15AF"/>
    <w:rsid w:val="008B1823"/>
    <w:rsid w:val="008B6E16"/>
    <w:rsid w:val="008B7110"/>
    <w:rsid w:val="008C1E76"/>
    <w:rsid w:val="008C2029"/>
    <w:rsid w:val="008C4A0E"/>
    <w:rsid w:val="008C550C"/>
    <w:rsid w:val="008C61D6"/>
    <w:rsid w:val="008C64F1"/>
    <w:rsid w:val="008D1BB0"/>
    <w:rsid w:val="008D20FF"/>
    <w:rsid w:val="008D3DE6"/>
    <w:rsid w:val="008D4223"/>
    <w:rsid w:val="008D44CC"/>
    <w:rsid w:val="008D46E3"/>
    <w:rsid w:val="008D6709"/>
    <w:rsid w:val="008D6BC7"/>
    <w:rsid w:val="008E083A"/>
    <w:rsid w:val="008E2450"/>
    <w:rsid w:val="008E7896"/>
    <w:rsid w:val="008F2477"/>
    <w:rsid w:val="0090000A"/>
    <w:rsid w:val="009010F0"/>
    <w:rsid w:val="00901162"/>
    <w:rsid w:val="00902123"/>
    <w:rsid w:val="0090223A"/>
    <w:rsid w:val="009028E2"/>
    <w:rsid w:val="00903E90"/>
    <w:rsid w:val="009110CF"/>
    <w:rsid w:val="00913200"/>
    <w:rsid w:val="00914613"/>
    <w:rsid w:val="00914EAB"/>
    <w:rsid w:val="00916017"/>
    <w:rsid w:val="0091769F"/>
    <w:rsid w:val="00920CBA"/>
    <w:rsid w:val="0092140D"/>
    <w:rsid w:val="00922D49"/>
    <w:rsid w:val="00925563"/>
    <w:rsid w:val="00925E37"/>
    <w:rsid w:val="00925EDD"/>
    <w:rsid w:val="009274EF"/>
    <w:rsid w:val="00927D0E"/>
    <w:rsid w:val="0093042A"/>
    <w:rsid w:val="009309DA"/>
    <w:rsid w:val="00932C9E"/>
    <w:rsid w:val="00933EAB"/>
    <w:rsid w:val="00936688"/>
    <w:rsid w:val="00937CFA"/>
    <w:rsid w:val="009406B3"/>
    <w:rsid w:val="00943748"/>
    <w:rsid w:val="009457CF"/>
    <w:rsid w:val="00945CF5"/>
    <w:rsid w:val="00947E6A"/>
    <w:rsid w:val="009500A1"/>
    <w:rsid w:val="0095037E"/>
    <w:rsid w:val="00952AAD"/>
    <w:rsid w:val="00954567"/>
    <w:rsid w:val="00955B04"/>
    <w:rsid w:val="00956671"/>
    <w:rsid w:val="00957466"/>
    <w:rsid w:val="0096260B"/>
    <w:rsid w:val="009664D5"/>
    <w:rsid w:val="00970C69"/>
    <w:rsid w:val="00971114"/>
    <w:rsid w:val="00971F1C"/>
    <w:rsid w:val="0097211D"/>
    <w:rsid w:val="00972E10"/>
    <w:rsid w:val="009746CA"/>
    <w:rsid w:val="0097516E"/>
    <w:rsid w:val="00980733"/>
    <w:rsid w:val="00981963"/>
    <w:rsid w:val="00983C82"/>
    <w:rsid w:val="00984520"/>
    <w:rsid w:val="0098545C"/>
    <w:rsid w:val="00991257"/>
    <w:rsid w:val="00992BA2"/>
    <w:rsid w:val="00992F83"/>
    <w:rsid w:val="00994970"/>
    <w:rsid w:val="0099508A"/>
    <w:rsid w:val="0099581D"/>
    <w:rsid w:val="00995D0B"/>
    <w:rsid w:val="009974EB"/>
    <w:rsid w:val="009A1126"/>
    <w:rsid w:val="009A59AD"/>
    <w:rsid w:val="009A7A14"/>
    <w:rsid w:val="009B1584"/>
    <w:rsid w:val="009B1B32"/>
    <w:rsid w:val="009B21CA"/>
    <w:rsid w:val="009B2648"/>
    <w:rsid w:val="009B6BB3"/>
    <w:rsid w:val="009C03E5"/>
    <w:rsid w:val="009C196C"/>
    <w:rsid w:val="009C3730"/>
    <w:rsid w:val="009C37BD"/>
    <w:rsid w:val="009C3AAC"/>
    <w:rsid w:val="009C4D19"/>
    <w:rsid w:val="009C5FDB"/>
    <w:rsid w:val="009C693E"/>
    <w:rsid w:val="009C70CB"/>
    <w:rsid w:val="009D1EA4"/>
    <w:rsid w:val="009D27AA"/>
    <w:rsid w:val="009D46D9"/>
    <w:rsid w:val="009D4991"/>
    <w:rsid w:val="009D54B7"/>
    <w:rsid w:val="009D5BB5"/>
    <w:rsid w:val="009D696D"/>
    <w:rsid w:val="009D6ED2"/>
    <w:rsid w:val="009E0F1A"/>
    <w:rsid w:val="009E140D"/>
    <w:rsid w:val="009E4465"/>
    <w:rsid w:val="009E56E9"/>
    <w:rsid w:val="009E6401"/>
    <w:rsid w:val="009E6C54"/>
    <w:rsid w:val="009F2A25"/>
    <w:rsid w:val="009F2BEF"/>
    <w:rsid w:val="009F5235"/>
    <w:rsid w:val="009F531A"/>
    <w:rsid w:val="009F6550"/>
    <w:rsid w:val="009F786E"/>
    <w:rsid w:val="00A00902"/>
    <w:rsid w:val="00A039FF"/>
    <w:rsid w:val="00A03E55"/>
    <w:rsid w:val="00A05ACE"/>
    <w:rsid w:val="00A13A08"/>
    <w:rsid w:val="00A14AE3"/>
    <w:rsid w:val="00A16675"/>
    <w:rsid w:val="00A22CD6"/>
    <w:rsid w:val="00A22EB0"/>
    <w:rsid w:val="00A234EC"/>
    <w:rsid w:val="00A2417A"/>
    <w:rsid w:val="00A26668"/>
    <w:rsid w:val="00A27804"/>
    <w:rsid w:val="00A27FCA"/>
    <w:rsid w:val="00A31937"/>
    <w:rsid w:val="00A36822"/>
    <w:rsid w:val="00A36AB5"/>
    <w:rsid w:val="00A37DE4"/>
    <w:rsid w:val="00A40C1C"/>
    <w:rsid w:val="00A411D1"/>
    <w:rsid w:val="00A43389"/>
    <w:rsid w:val="00A43E71"/>
    <w:rsid w:val="00A45753"/>
    <w:rsid w:val="00A45CAA"/>
    <w:rsid w:val="00A46683"/>
    <w:rsid w:val="00A4764D"/>
    <w:rsid w:val="00A47B15"/>
    <w:rsid w:val="00A52F84"/>
    <w:rsid w:val="00A54580"/>
    <w:rsid w:val="00A560AC"/>
    <w:rsid w:val="00A56B05"/>
    <w:rsid w:val="00A5725E"/>
    <w:rsid w:val="00A57678"/>
    <w:rsid w:val="00A6082D"/>
    <w:rsid w:val="00A60E2F"/>
    <w:rsid w:val="00A63284"/>
    <w:rsid w:val="00A64CB8"/>
    <w:rsid w:val="00A67018"/>
    <w:rsid w:val="00A672F3"/>
    <w:rsid w:val="00A673DC"/>
    <w:rsid w:val="00A7041B"/>
    <w:rsid w:val="00A7076E"/>
    <w:rsid w:val="00A709BE"/>
    <w:rsid w:val="00A7162E"/>
    <w:rsid w:val="00A7234B"/>
    <w:rsid w:val="00A72D71"/>
    <w:rsid w:val="00A73958"/>
    <w:rsid w:val="00A75705"/>
    <w:rsid w:val="00A77C69"/>
    <w:rsid w:val="00A83953"/>
    <w:rsid w:val="00A8400B"/>
    <w:rsid w:val="00A8678F"/>
    <w:rsid w:val="00A903B6"/>
    <w:rsid w:val="00A9064E"/>
    <w:rsid w:val="00A90F4F"/>
    <w:rsid w:val="00A947AA"/>
    <w:rsid w:val="00AA1B53"/>
    <w:rsid w:val="00AA3556"/>
    <w:rsid w:val="00AA35FD"/>
    <w:rsid w:val="00AA3DB7"/>
    <w:rsid w:val="00AA687B"/>
    <w:rsid w:val="00AB01AA"/>
    <w:rsid w:val="00AB3012"/>
    <w:rsid w:val="00AB321C"/>
    <w:rsid w:val="00AB5C7D"/>
    <w:rsid w:val="00AB660F"/>
    <w:rsid w:val="00AB688F"/>
    <w:rsid w:val="00AB75EA"/>
    <w:rsid w:val="00AB7AA2"/>
    <w:rsid w:val="00AC1269"/>
    <w:rsid w:val="00AC26A8"/>
    <w:rsid w:val="00AC2FFC"/>
    <w:rsid w:val="00AC4BC1"/>
    <w:rsid w:val="00AD036A"/>
    <w:rsid w:val="00AD04BD"/>
    <w:rsid w:val="00AD18BE"/>
    <w:rsid w:val="00AD7214"/>
    <w:rsid w:val="00AE1066"/>
    <w:rsid w:val="00AE4518"/>
    <w:rsid w:val="00AE5D7F"/>
    <w:rsid w:val="00AE5DDF"/>
    <w:rsid w:val="00AE79F0"/>
    <w:rsid w:val="00AF2DE8"/>
    <w:rsid w:val="00AF650B"/>
    <w:rsid w:val="00AF6EC1"/>
    <w:rsid w:val="00B00331"/>
    <w:rsid w:val="00B01A80"/>
    <w:rsid w:val="00B04217"/>
    <w:rsid w:val="00B046DF"/>
    <w:rsid w:val="00B07B1C"/>
    <w:rsid w:val="00B07C27"/>
    <w:rsid w:val="00B10017"/>
    <w:rsid w:val="00B10CA9"/>
    <w:rsid w:val="00B10DE1"/>
    <w:rsid w:val="00B10FF8"/>
    <w:rsid w:val="00B15902"/>
    <w:rsid w:val="00B16848"/>
    <w:rsid w:val="00B203C4"/>
    <w:rsid w:val="00B2042E"/>
    <w:rsid w:val="00B22E81"/>
    <w:rsid w:val="00B23996"/>
    <w:rsid w:val="00B23CB2"/>
    <w:rsid w:val="00B2561A"/>
    <w:rsid w:val="00B25A64"/>
    <w:rsid w:val="00B31ADE"/>
    <w:rsid w:val="00B32AB3"/>
    <w:rsid w:val="00B34E7C"/>
    <w:rsid w:val="00B34FD9"/>
    <w:rsid w:val="00B368EA"/>
    <w:rsid w:val="00B37EEF"/>
    <w:rsid w:val="00B41DF9"/>
    <w:rsid w:val="00B41E22"/>
    <w:rsid w:val="00B51C7C"/>
    <w:rsid w:val="00B53831"/>
    <w:rsid w:val="00B54370"/>
    <w:rsid w:val="00B55185"/>
    <w:rsid w:val="00B558A4"/>
    <w:rsid w:val="00B61923"/>
    <w:rsid w:val="00B621D6"/>
    <w:rsid w:val="00B65D6F"/>
    <w:rsid w:val="00B67C23"/>
    <w:rsid w:val="00B70973"/>
    <w:rsid w:val="00B70DC7"/>
    <w:rsid w:val="00B72596"/>
    <w:rsid w:val="00B731D5"/>
    <w:rsid w:val="00B75735"/>
    <w:rsid w:val="00B77142"/>
    <w:rsid w:val="00B80A2C"/>
    <w:rsid w:val="00B81F60"/>
    <w:rsid w:val="00B841AC"/>
    <w:rsid w:val="00B865B0"/>
    <w:rsid w:val="00B90780"/>
    <w:rsid w:val="00B9240D"/>
    <w:rsid w:val="00BA22A8"/>
    <w:rsid w:val="00BA3E48"/>
    <w:rsid w:val="00BA4BD3"/>
    <w:rsid w:val="00BA574A"/>
    <w:rsid w:val="00BA6DE7"/>
    <w:rsid w:val="00BB0187"/>
    <w:rsid w:val="00BB1EB3"/>
    <w:rsid w:val="00BB2678"/>
    <w:rsid w:val="00BB2A42"/>
    <w:rsid w:val="00BC013A"/>
    <w:rsid w:val="00BC2343"/>
    <w:rsid w:val="00BC3740"/>
    <w:rsid w:val="00BD0A0A"/>
    <w:rsid w:val="00BD2F87"/>
    <w:rsid w:val="00BD30C8"/>
    <w:rsid w:val="00BD3C9B"/>
    <w:rsid w:val="00BD3EB4"/>
    <w:rsid w:val="00BD5C65"/>
    <w:rsid w:val="00BD6051"/>
    <w:rsid w:val="00BE03A5"/>
    <w:rsid w:val="00BE6018"/>
    <w:rsid w:val="00BF1F57"/>
    <w:rsid w:val="00BF3BE6"/>
    <w:rsid w:val="00BF4086"/>
    <w:rsid w:val="00BF426C"/>
    <w:rsid w:val="00BF58D0"/>
    <w:rsid w:val="00BF7D6A"/>
    <w:rsid w:val="00C013E1"/>
    <w:rsid w:val="00C01611"/>
    <w:rsid w:val="00C02D59"/>
    <w:rsid w:val="00C030B6"/>
    <w:rsid w:val="00C03284"/>
    <w:rsid w:val="00C050D7"/>
    <w:rsid w:val="00C05B5F"/>
    <w:rsid w:val="00C104CC"/>
    <w:rsid w:val="00C136D7"/>
    <w:rsid w:val="00C152FE"/>
    <w:rsid w:val="00C16739"/>
    <w:rsid w:val="00C1675B"/>
    <w:rsid w:val="00C1697D"/>
    <w:rsid w:val="00C1750D"/>
    <w:rsid w:val="00C22CCE"/>
    <w:rsid w:val="00C23BA2"/>
    <w:rsid w:val="00C26024"/>
    <w:rsid w:val="00C30F79"/>
    <w:rsid w:val="00C32AF2"/>
    <w:rsid w:val="00C33204"/>
    <w:rsid w:val="00C338EB"/>
    <w:rsid w:val="00C3465D"/>
    <w:rsid w:val="00C379E9"/>
    <w:rsid w:val="00C438E2"/>
    <w:rsid w:val="00C439FB"/>
    <w:rsid w:val="00C43F23"/>
    <w:rsid w:val="00C50011"/>
    <w:rsid w:val="00C56CC6"/>
    <w:rsid w:val="00C6357C"/>
    <w:rsid w:val="00C640D9"/>
    <w:rsid w:val="00C645E6"/>
    <w:rsid w:val="00C64D82"/>
    <w:rsid w:val="00C64FBC"/>
    <w:rsid w:val="00C65A83"/>
    <w:rsid w:val="00C66CBE"/>
    <w:rsid w:val="00C704E8"/>
    <w:rsid w:val="00C72B6C"/>
    <w:rsid w:val="00C72C6F"/>
    <w:rsid w:val="00C73818"/>
    <w:rsid w:val="00C77C8A"/>
    <w:rsid w:val="00C80F23"/>
    <w:rsid w:val="00C81151"/>
    <w:rsid w:val="00C82CC6"/>
    <w:rsid w:val="00C83E51"/>
    <w:rsid w:val="00C850A3"/>
    <w:rsid w:val="00C85C32"/>
    <w:rsid w:val="00C87568"/>
    <w:rsid w:val="00C90DB6"/>
    <w:rsid w:val="00C9394F"/>
    <w:rsid w:val="00C93B1A"/>
    <w:rsid w:val="00C96F5F"/>
    <w:rsid w:val="00CA5927"/>
    <w:rsid w:val="00CA79EC"/>
    <w:rsid w:val="00CB39C2"/>
    <w:rsid w:val="00CB4C8C"/>
    <w:rsid w:val="00CB6782"/>
    <w:rsid w:val="00CB6AC9"/>
    <w:rsid w:val="00CC02A5"/>
    <w:rsid w:val="00CC080A"/>
    <w:rsid w:val="00CC0D0F"/>
    <w:rsid w:val="00CC33C2"/>
    <w:rsid w:val="00CC6971"/>
    <w:rsid w:val="00CD076B"/>
    <w:rsid w:val="00CD08CC"/>
    <w:rsid w:val="00CD4512"/>
    <w:rsid w:val="00CE2E10"/>
    <w:rsid w:val="00CE4C23"/>
    <w:rsid w:val="00CE5277"/>
    <w:rsid w:val="00CE6358"/>
    <w:rsid w:val="00CE695A"/>
    <w:rsid w:val="00CF2161"/>
    <w:rsid w:val="00CF2D54"/>
    <w:rsid w:val="00CF6A2C"/>
    <w:rsid w:val="00D03538"/>
    <w:rsid w:val="00D038C4"/>
    <w:rsid w:val="00D049B8"/>
    <w:rsid w:val="00D0516C"/>
    <w:rsid w:val="00D05EE7"/>
    <w:rsid w:val="00D068D0"/>
    <w:rsid w:val="00D078D1"/>
    <w:rsid w:val="00D129A8"/>
    <w:rsid w:val="00D12FB9"/>
    <w:rsid w:val="00D200BD"/>
    <w:rsid w:val="00D22399"/>
    <w:rsid w:val="00D260E1"/>
    <w:rsid w:val="00D33374"/>
    <w:rsid w:val="00D33751"/>
    <w:rsid w:val="00D33822"/>
    <w:rsid w:val="00D33A3D"/>
    <w:rsid w:val="00D36125"/>
    <w:rsid w:val="00D36F6E"/>
    <w:rsid w:val="00D37343"/>
    <w:rsid w:val="00D41291"/>
    <w:rsid w:val="00D4205E"/>
    <w:rsid w:val="00D5574C"/>
    <w:rsid w:val="00D6057D"/>
    <w:rsid w:val="00D61982"/>
    <w:rsid w:val="00D6267A"/>
    <w:rsid w:val="00D63BBA"/>
    <w:rsid w:val="00D67D12"/>
    <w:rsid w:val="00D72602"/>
    <w:rsid w:val="00D734A9"/>
    <w:rsid w:val="00D7585A"/>
    <w:rsid w:val="00D759A7"/>
    <w:rsid w:val="00D76DD5"/>
    <w:rsid w:val="00D80618"/>
    <w:rsid w:val="00D82494"/>
    <w:rsid w:val="00D83335"/>
    <w:rsid w:val="00D84264"/>
    <w:rsid w:val="00D84A4B"/>
    <w:rsid w:val="00D92168"/>
    <w:rsid w:val="00D940B5"/>
    <w:rsid w:val="00D95CB0"/>
    <w:rsid w:val="00D96099"/>
    <w:rsid w:val="00D96765"/>
    <w:rsid w:val="00D977C0"/>
    <w:rsid w:val="00DA00A3"/>
    <w:rsid w:val="00DA0D88"/>
    <w:rsid w:val="00DA13F3"/>
    <w:rsid w:val="00DA2DE3"/>
    <w:rsid w:val="00DA7146"/>
    <w:rsid w:val="00DA716A"/>
    <w:rsid w:val="00DB1F4F"/>
    <w:rsid w:val="00DB37EE"/>
    <w:rsid w:val="00DB4450"/>
    <w:rsid w:val="00DB4EE7"/>
    <w:rsid w:val="00DB7B69"/>
    <w:rsid w:val="00DC234A"/>
    <w:rsid w:val="00DC3788"/>
    <w:rsid w:val="00DC41E4"/>
    <w:rsid w:val="00DC5116"/>
    <w:rsid w:val="00DC7C77"/>
    <w:rsid w:val="00DD7E19"/>
    <w:rsid w:val="00DD7EA2"/>
    <w:rsid w:val="00DE00F2"/>
    <w:rsid w:val="00DE117F"/>
    <w:rsid w:val="00DE401C"/>
    <w:rsid w:val="00DF63FA"/>
    <w:rsid w:val="00E00A1C"/>
    <w:rsid w:val="00E012CC"/>
    <w:rsid w:val="00E02A1E"/>
    <w:rsid w:val="00E02B71"/>
    <w:rsid w:val="00E02DEB"/>
    <w:rsid w:val="00E03D58"/>
    <w:rsid w:val="00E042A1"/>
    <w:rsid w:val="00E07093"/>
    <w:rsid w:val="00E104FA"/>
    <w:rsid w:val="00E1082A"/>
    <w:rsid w:val="00E11166"/>
    <w:rsid w:val="00E13182"/>
    <w:rsid w:val="00E147F9"/>
    <w:rsid w:val="00E15383"/>
    <w:rsid w:val="00E16722"/>
    <w:rsid w:val="00E1738C"/>
    <w:rsid w:val="00E20793"/>
    <w:rsid w:val="00E22B9D"/>
    <w:rsid w:val="00E22D28"/>
    <w:rsid w:val="00E230E3"/>
    <w:rsid w:val="00E2336E"/>
    <w:rsid w:val="00E27AF2"/>
    <w:rsid w:val="00E30EDF"/>
    <w:rsid w:val="00E3112B"/>
    <w:rsid w:val="00E31FBA"/>
    <w:rsid w:val="00E3387E"/>
    <w:rsid w:val="00E33A9F"/>
    <w:rsid w:val="00E33DCE"/>
    <w:rsid w:val="00E34648"/>
    <w:rsid w:val="00E350EA"/>
    <w:rsid w:val="00E36AAE"/>
    <w:rsid w:val="00E36D79"/>
    <w:rsid w:val="00E3741F"/>
    <w:rsid w:val="00E41773"/>
    <w:rsid w:val="00E42623"/>
    <w:rsid w:val="00E42759"/>
    <w:rsid w:val="00E44758"/>
    <w:rsid w:val="00E44E28"/>
    <w:rsid w:val="00E513F6"/>
    <w:rsid w:val="00E5188E"/>
    <w:rsid w:val="00E51A6A"/>
    <w:rsid w:val="00E52EBA"/>
    <w:rsid w:val="00E52F3B"/>
    <w:rsid w:val="00E53D94"/>
    <w:rsid w:val="00E53DEA"/>
    <w:rsid w:val="00E616DB"/>
    <w:rsid w:val="00E627A4"/>
    <w:rsid w:val="00E62FCD"/>
    <w:rsid w:val="00E630ED"/>
    <w:rsid w:val="00E6357F"/>
    <w:rsid w:val="00E74EC5"/>
    <w:rsid w:val="00E76B86"/>
    <w:rsid w:val="00E81ABD"/>
    <w:rsid w:val="00E8342F"/>
    <w:rsid w:val="00E847A7"/>
    <w:rsid w:val="00E85E29"/>
    <w:rsid w:val="00E86E79"/>
    <w:rsid w:val="00E906B4"/>
    <w:rsid w:val="00E9095B"/>
    <w:rsid w:val="00E91C4F"/>
    <w:rsid w:val="00E92040"/>
    <w:rsid w:val="00E926B8"/>
    <w:rsid w:val="00E9399B"/>
    <w:rsid w:val="00E94008"/>
    <w:rsid w:val="00E94762"/>
    <w:rsid w:val="00E96B52"/>
    <w:rsid w:val="00EA10BE"/>
    <w:rsid w:val="00EA2244"/>
    <w:rsid w:val="00EA52F2"/>
    <w:rsid w:val="00EA6B24"/>
    <w:rsid w:val="00EA6FA7"/>
    <w:rsid w:val="00EB067F"/>
    <w:rsid w:val="00EB1F02"/>
    <w:rsid w:val="00EB2D20"/>
    <w:rsid w:val="00EB5BC5"/>
    <w:rsid w:val="00EB6233"/>
    <w:rsid w:val="00EC086C"/>
    <w:rsid w:val="00EC2832"/>
    <w:rsid w:val="00EC42D0"/>
    <w:rsid w:val="00EC638F"/>
    <w:rsid w:val="00EC7E46"/>
    <w:rsid w:val="00ED6C22"/>
    <w:rsid w:val="00ED7363"/>
    <w:rsid w:val="00EE16C9"/>
    <w:rsid w:val="00EE4874"/>
    <w:rsid w:val="00EE574D"/>
    <w:rsid w:val="00EE79A6"/>
    <w:rsid w:val="00EF07DC"/>
    <w:rsid w:val="00EF1D5B"/>
    <w:rsid w:val="00EF6111"/>
    <w:rsid w:val="00EF673D"/>
    <w:rsid w:val="00F005A0"/>
    <w:rsid w:val="00F00C35"/>
    <w:rsid w:val="00F06616"/>
    <w:rsid w:val="00F10BC6"/>
    <w:rsid w:val="00F11352"/>
    <w:rsid w:val="00F1498D"/>
    <w:rsid w:val="00F14DDF"/>
    <w:rsid w:val="00F152AD"/>
    <w:rsid w:val="00F15335"/>
    <w:rsid w:val="00F16161"/>
    <w:rsid w:val="00F20F7C"/>
    <w:rsid w:val="00F21C76"/>
    <w:rsid w:val="00F2285F"/>
    <w:rsid w:val="00F229B7"/>
    <w:rsid w:val="00F23155"/>
    <w:rsid w:val="00F237A6"/>
    <w:rsid w:val="00F24236"/>
    <w:rsid w:val="00F24E0E"/>
    <w:rsid w:val="00F250F9"/>
    <w:rsid w:val="00F26693"/>
    <w:rsid w:val="00F31F40"/>
    <w:rsid w:val="00F36130"/>
    <w:rsid w:val="00F40444"/>
    <w:rsid w:val="00F423BD"/>
    <w:rsid w:val="00F432FF"/>
    <w:rsid w:val="00F4715C"/>
    <w:rsid w:val="00F532A8"/>
    <w:rsid w:val="00F538F6"/>
    <w:rsid w:val="00F53C6A"/>
    <w:rsid w:val="00F54869"/>
    <w:rsid w:val="00F54A02"/>
    <w:rsid w:val="00F556B2"/>
    <w:rsid w:val="00F5754B"/>
    <w:rsid w:val="00F576DE"/>
    <w:rsid w:val="00F63979"/>
    <w:rsid w:val="00F63BF7"/>
    <w:rsid w:val="00F65617"/>
    <w:rsid w:val="00F70F32"/>
    <w:rsid w:val="00F710BE"/>
    <w:rsid w:val="00F736D2"/>
    <w:rsid w:val="00F741F2"/>
    <w:rsid w:val="00F7564C"/>
    <w:rsid w:val="00F76220"/>
    <w:rsid w:val="00F769BE"/>
    <w:rsid w:val="00F81953"/>
    <w:rsid w:val="00F81F0D"/>
    <w:rsid w:val="00F82E6B"/>
    <w:rsid w:val="00F840F0"/>
    <w:rsid w:val="00F92701"/>
    <w:rsid w:val="00F97B71"/>
    <w:rsid w:val="00F97C28"/>
    <w:rsid w:val="00FA1245"/>
    <w:rsid w:val="00FA2DDA"/>
    <w:rsid w:val="00FA34CA"/>
    <w:rsid w:val="00FA4A55"/>
    <w:rsid w:val="00FA4D4F"/>
    <w:rsid w:val="00FA54E8"/>
    <w:rsid w:val="00FB2D17"/>
    <w:rsid w:val="00FB2F69"/>
    <w:rsid w:val="00FB368B"/>
    <w:rsid w:val="00FB45FF"/>
    <w:rsid w:val="00FB5D97"/>
    <w:rsid w:val="00FC1CA5"/>
    <w:rsid w:val="00FC2979"/>
    <w:rsid w:val="00FC3631"/>
    <w:rsid w:val="00FD1C3C"/>
    <w:rsid w:val="00FD38A8"/>
    <w:rsid w:val="00FD4AC8"/>
    <w:rsid w:val="00FD6AC8"/>
    <w:rsid w:val="00FE24FC"/>
    <w:rsid w:val="00FE3EA1"/>
    <w:rsid w:val="00FE4818"/>
    <w:rsid w:val="00FE5D80"/>
    <w:rsid w:val="00FE6190"/>
    <w:rsid w:val="00FE7458"/>
    <w:rsid w:val="00FF1577"/>
    <w:rsid w:val="00FF507C"/>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41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6973EC"/>
    <w:pPr>
      <w:keepNext/>
      <w:keepLines/>
      <w:spacing w:before="340" w:after="330" w:line="578" w:lineRule="auto"/>
      <w:outlineLvl w:val="0"/>
    </w:pPr>
    <w:rPr>
      <w:b/>
      <w:bCs/>
      <w:kern w:val="44"/>
      <w:sz w:val="44"/>
      <w:szCs w:val="44"/>
    </w:rPr>
  </w:style>
  <w:style w:type="paragraph" w:styleId="2">
    <w:name w:val="heading 2"/>
    <w:basedOn w:val="a"/>
    <w:next w:val="a0"/>
    <w:qFormat/>
    <w:rsid w:val="00171067"/>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71067"/>
    <w:pPr>
      <w:ind w:firstLineChars="200" w:firstLine="420"/>
    </w:pPr>
  </w:style>
  <w:style w:type="paragraph" w:styleId="a4">
    <w:name w:val="Body Text Indent"/>
    <w:basedOn w:val="a"/>
    <w:rsid w:val="00171067"/>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171067"/>
    <w:rPr>
      <w:rFonts w:ascii="宋体" w:hAnsi="Courier New"/>
      <w:szCs w:val="21"/>
    </w:rPr>
  </w:style>
  <w:style w:type="paragraph" w:styleId="20">
    <w:name w:val="Body Text Indent 2"/>
    <w:basedOn w:val="a"/>
    <w:rsid w:val="00171067"/>
    <w:pPr>
      <w:spacing w:line="560" w:lineRule="exact"/>
      <w:ind w:firstLineChars="200" w:firstLine="480"/>
    </w:pPr>
    <w:rPr>
      <w:rFonts w:ascii="宋体" w:hAnsi="宋体"/>
      <w:color w:val="FF0000"/>
      <w:sz w:val="24"/>
    </w:rPr>
  </w:style>
  <w:style w:type="paragraph" w:styleId="a6">
    <w:name w:val="footer"/>
    <w:basedOn w:val="a"/>
    <w:rsid w:val="00171067"/>
    <w:pPr>
      <w:tabs>
        <w:tab w:val="center" w:pos="4153"/>
        <w:tab w:val="right" w:pos="8306"/>
      </w:tabs>
      <w:snapToGrid w:val="0"/>
      <w:jc w:val="left"/>
    </w:pPr>
    <w:rPr>
      <w:sz w:val="18"/>
      <w:szCs w:val="18"/>
    </w:rPr>
  </w:style>
  <w:style w:type="character" w:styleId="a7">
    <w:name w:val="page number"/>
    <w:basedOn w:val="a1"/>
    <w:rsid w:val="00171067"/>
  </w:style>
  <w:style w:type="character" w:styleId="a8">
    <w:name w:val="Hyperlink"/>
    <w:basedOn w:val="a1"/>
    <w:rsid w:val="00171067"/>
    <w:rPr>
      <w:color w:val="0000FF"/>
      <w:u w:val="single"/>
    </w:rPr>
  </w:style>
  <w:style w:type="paragraph" w:styleId="3">
    <w:name w:val="Body Text Indent 3"/>
    <w:basedOn w:val="a"/>
    <w:rsid w:val="00171067"/>
    <w:pPr>
      <w:spacing w:line="560" w:lineRule="exact"/>
      <w:ind w:firstLineChars="200" w:firstLine="420"/>
    </w:pPr>
    <w:rPr>
      <w:rFonts w:ascii="Arial" w:hAnsi="Arial" w:cs="Arial"/>
      <w:color w:val="FF0000"/>
    </w:rPr>
  </w:style>
  <w:style w:type="paragraph" w:styleId="a9">
    <w:name w:val="header"/>
    <w:basedOn w:val="a"/>
    <w:link w:val="Char0"/>
    <w:uiPriority w:val="99"/>
    <w:rsid w:val="00171067"/>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171067"/>
    <w:rPr>
      <w:color w:val="800080"/>
      <w:u w:val="single"/>
    </w:rPr>
  </w:style>
  <w:style w:type="paragraph" w:styleId="ab">
    <w:name w:val="List"/>
    <w:basedOn w:val="ac"/>
    <w:rsid w:val="00171067"/>
    <w:pPr>
      <w:spacing w:after="220" w:line="220" w:lineRule="atLeast"/>
      <w:ind w:left="1440" w:hanging="360"/>
    </w:pPr>
    <w:rPr>
      <w:szCs w:val="20"/>
    </w:rPr>
  </w:style>
  <w:style w:type="paragraph" w:styleId="ac">
    <w:name w:val="Body Text"/>
    <w:basedOn w:val="a"/>
    <w:rsid w:val="00171067"/>
    <w:pPr>
      <w:spacing w:after="120"/>
    </w:pPr>
  </w:style>
  <w:style w:type="paragraph" w:styleId="ad">
    <w:name w:val="Date"/>
    <w:basedOn w:val="a"/>
    <w:next w:val="a"/>
    <w:link w:val="Char1"/>
    <w:rsid w:val="00171067"/>
    <w:rPr>
      <w:sz w:val="24"/>
      <w:szCs w:val="20"/>
    </w:rPr>
  </w:style>
  <w:style w:type="character" w:customStyle="1" w:styleId="c1">
    <w:name w:val="c1"/>
    <w:basedOn w:val="a1"/>
    <w:rsid w:val="00171067"/>
    <w:rPr>
      <w:color w:val="000000"/>
      <w:sz w:val="18"/>
      <w:szCs w:val="18"/>
    </w:rPr>
  </w:style>
  <w:style w:type="paragraph" w:styleId="10">
    <w:name w:val="index 1"/>
    <w:basedOn w:val="a"/>
    <w:next w:val="a"/>
    <w:autoRedefine/>
    <w:semiHidden/>
    <w:rsid w:val="00171067"/>
    <w:pPr>
      <w:jc w:val="right"/>
    </w:pPr>
    <w:rPr>
      <w:color w:val="008000"/>
    </w:rPr>
  </w:style>
  <w:style w:type="paragraph" w:customStyle="1" w:styleId="font5">
    <w:name w:val="font5"/>
    <w:basedOn w:val="a"/>
    <w:rsid w:val="00171067"/>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171067"/>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171067"/>
    <w:rPr>
      <w:sz w:val="18"/>
      <w:szCs w:val="18"/>
    </w:rPr>
  </w:style>
  <w:style w:type="character" w:styleId="af">
    <w:name w:val="annotation reference"/>
    <w:basedOn w:val="a1"/>
    <w:semiHidden/>
    <w:rsid w:val="00171067"/>
    <w:rPr>
      <w:sz w:val="21"/>
      <w:szCs w:val="21"/>
    </w:rPr>
  </w:style>
  <w:style w:type="paragraph" w:styleId="af0">
    <w:name w:val="annotation text"/>
    <w:basedOn w:val="a"/>
    <w:semiHidden/>
    <w:rsid w:val="00171067"/>
    <w:pPr>
      <w:jc w:val="left"/>
    </w:pPr>
  </w:style>
  <w:style w:type="paragraph" w:styleId="af1">
    <w:name w:val="annotation subject"/>
    <w:basedOn w:val="af0"/>
    <w:next w:val="af0"/>
    <w:semiHidden/>
    <w:rsid w:val="00171067"/>
    <w:rPr>
      <w:b/>
      <w:bCs/>
    </w:rPr>
  </w:style>
  <w:style w:type="paragraph" w:customStyle="1" w:styleId="Char2">
    <w:name w:val="Char"/>
    <w:basedOn w:val="a"/>
    <w:rsid w:val="00171067"/>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5">
    <w:name w:val="样式5"/>
    <w:rsid w:val="00B72596"/>
    <w:pPr>
      <w:numPr>
        <w:numId w:val="6"/>
      </w:numPr>
    </w:pPr>
  </w:style>
  <w:style w:type="character" w:customStyle="1" w:styleId="t1">
    <w:name w:val="t1"/>
    <w:rsid w:val="004E386C"/>
    <w:rPr>
      <w:color w:val="990000"/>
    </w:rPr>
  </w:style>
  <w:style w:type="character" w:customStyle="1" w:styleId="m1">
    <w:name w:val="m1"/>
    <w:rsid w:val="004E386C"/>
    <w:rPr>
      <w:color w:val="0000FF"/>
    </w:rPr>
  </w:style>
  <w:style w:type="character" w:customStyle="1" w:styleId="Char">
    <w:name w:val="纯文本 Char"/>
    <w:link w:val="a5"/>
    <w:uiPriority w:val="99"/>
    <w:rsid w:val="00402ED1"/>
    <w:rPr>
      <w:rFonts w:ascii="宋体" w:hAnsi="Courier New"/>
      <w:kern w:val="2"/>
      <w:sz w:val="21"/>
      <w:szCs w:val="21"/>
    </w:rPr>
  </w:style>
  <w:style w:type="paragraph" w:customStyle="1" w:styleId="Default">
    <w:name w:val="Default"/>
    <w:rsid w:val="00C73818"/>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C136D7"/>
    <w:rPr>
      <w:kern w:val="2"/>
      <w:sz w:val="18"/>
      <w:szCs w:val="18"/>
    </w:rPr>
  </w:style>
  <w:style w:type="character" w:customStyle="1" w:styleId="1Char">
    <w:name w:val="标题 1 Char"/>
    <w:basedOn w:val="a1"/>
    <w:link w:val="1"/>
    <w:rsid w:val="006973EC"/>
    <w:rPr>
      <w:b/>
      <w:bCs/>
      <w:kern w:val="44"/>
      <w:sz w:val="44"/>
      <w:szCs w:val="44"/>
    </w:rPr>
  </w:style>
  <w:style w:type="character" w:customStyle="1" w:styleId="Char1">
    <w:name w:val="日期 Char"/>
    <w:basedOn w:val="a1"/>
    <w:link w:val="ad"/>
    <w:rsid w:val="00294DD0"/>
    <w:rPr>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A5D31"/>
    <w:pPr>
      <w:widowControl w:val="0"/>
      <w:jc w:val="both"/>
    </w:pPr>
    <w:rPr>
      <w:kern w:val="2"/>
      <w:sz w:val="21"/>
      <w:szCs w:val="2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Body Text Indent"/>
    <w:basedOn w:val="a"/>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rPr>
      <w:rFonts w:ascii="宋体" w:hAnsi="Courier New"/>
      <w:szCs w:val="21"/>
    </w:rPr>
  </w:style>
  <w:style w:type="paragraph" w:styleId="20">
    <w:name w:val="Body Text Indent 2"/>
    <w:basedOn w:val="a"/>
    <w:pPr>
      <w:spacing w:line="560" w:lineRule="exact"/>
      <w:ind w:firstLineChars="200" w:firstLine="480"/>
    </w:pPr>
    <w:rPr>
      <w:rFonts w:ascii="宋体" w:hAnsi="宋体"/>
      <w:color w:val="FF0000"/>
      <w:sz w:val="24"/>
    </w:rPr>
  </w:style>
  <w:style w:type="paragraph" w:styleId="a6">
    <w:name w:val="footer"/>
    <w:basedOn w:val="a"/>
    <w:pPr>
      <w:tabs>
        <w:tab w:val="center" w:pos="4153"/>
        <w:tab w:val="right" w:pos="8306"/>
      </w:tabs>
      <w:snapToGrid w:val="0"/>
      <w:jc w:val="left"/>
    </w:pPr>
    <w:rPr>
      <w:sz w:val="18"/>
      <w:szCs w:val="18"/>
    </w:rPr>
  </w:style>
  <w:style w:type="character" w:styleId="a7">
    <w:name w:val="page number"/>
    <w:basedOn w:val="a1"/>
  </w:style>
  <w:style w:type="character" w:styleId="a8">
    <w:name w:val="Hyperlink"/>
    <w:basedOn w:val="a1"/>
    <w:rPr>
      <w:color w:val="0000FF"/>
      <w:u w:val="single"/>
    </w:rPr>
  </w:style>
  <w:style w:type="paragraph" w:styleId="3">
    <w:name w:val="Body Text Indent 3"/>
    <w:basedOn w:val="a"/>
    <w:pPr>
      <w:spacing w:line="560" w:lineRule="exact"/>
      <w:ind w:firstLineChars="200" w:firstLine="420"/>
    </w:pPr>
    <w:rPr>
      <w:rFonts w:ascii="Arial" w:hAnsi="Arial" w:cs="Arial"/>
      <w:color w:val="FF0000"/>
    </w:rPr>
  </w:style>
  <w:style w:type="paragraph" w:styleId="a9">
    <w:name w:val="header"/>
    <w:basedOn w:val="a"/>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Pr>
      <w:color w:val="800080"/>
      <w:u w:val="single"/>
    </w:rPr>
  </w:style>
  <w:style w:type="paragraph" w:styleId="ab">
    <w:name w:val="List"/>
    <w:basedOn w:val="ac"/>
    <w:pPr>
      <w:spacing w:after="220" w:line="220" w:lineRule="atLeast"/>
      <w:ind w:left="1440" w:hanging="360"/>
    </w:pPr>
    <w:rPr>
      <w:szCs w:val="20"/>
    </w:rPr>
  </w:style>
  <w:style w:type="paragraph" w:styleId="ac">
    <w:name w:val="Body Text"/>
    <w:basedOn w:val="a"/>
    <w:pPr>
      <w:spacing w:after="120"/>
    </w:pPr>
  </w:style>
  <w:style w:type="paragraph" w:styleId="ad">
    <w:name w:val="Date"/>
    <w:basedOn w:val="a"/>
    <w:next w:val="a"/>
    <w:rPr>
      <w:sz w:val="24"/>
      <w:szCs w:val="20"/>
    </w:rPr>
  </w:style>
  <w:style w:type="character" w:customStyle="1" w:styleId="c1">
    <w:name w:val="c1"/>
    <w:basedOn w:val="a1"/>
    <w:rPr>
      <w:color w:val="000000"/>
      <w:sz w:val="18"/>
      <w:szCs w:val="18"/>
    </w:rPr>
  </w:style>
  <w:style w:type="paragraph" w:styleId="10">
    <w:name w:val="index 1"/>
    <w:basedOn w:val="a"/>
    <w:next w:val="a"/>
    <w:autoRedefine/>
    <w:semiHidden/>
    <w:pPr>
      <w:jc w:val="right"/>
    </w:pPr>
    <w:rPr>
      <w:color w:val="008000"/>
    </w:rPr>
  </w:style>
  <w:style w:type="paragraph" w:customStyle="1" w:styleId="font5">
    <w:name w:val="font5"/>
    <w:basedOn w:val="a"/>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Pr>
      <w:sz w:val="18"/>
      <w:szCs w:val="18"/>
    </w:rPr>
  </w:style>
  <w:style w:type="character" w:styleId="af">
    <w:name w:val="annotation reference"/>
    <w:basedOn w:val="a1"/>
    <w:semiHidden/>
    <w:rPr>
      <w:sz w:val="21"/>
      <w:szCs w:val="21"/>
    </w:rPr>
  </w:style>
  <w:style w:type="paragraph" w:styleId="af0">
    <w:name w:val="annotation text"/>
    <w:basedOn w:val="a"/>
    <w:semiHidden/>
    <w:pPr>
      <w:jc w:val="left"/>
    </w:pPr>
  </w:style>
  <w:style w:type="paragraph" w:styleId="af1">
    <w:name w:val="annotation subject"/>
    <w:basedOn w:val="af0"/>
    <w:next w:val="af0"/>
    <w:semiHidden/>
    <w:rPr>
      <w:b/>
      <w:bCs/>
    </w:rPr>
  </w:style>
  <w:style w:type="paragraph" w:customStyle="1" w:styleId="Char2">
    <w:name w:val="Char"/>
    <w:basedOn w:val="a"/>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5">
    <w:name w:val="样式5"/>
    <w:rsid w:val="00B72596"/>
    <w:pPr>
      <w:numPr>
        <w:numId w:val="6"/>
      </w:numPr>
    </w:pPr>
  </w:style>
  <w:style w:type="character" w:customStyle="1" w:styleId="t1">
    <w:name w:val="t1"/>
    <w:rsid w:val="004E386C"/>
    <w:rPr>
      <w:color w:val="990000"/>
    </w:rPr>
  </w:style>
  <w:style w:type="character" w:customStyle="1" w:styleId="m1">
    <w:name w:val="m1"/>
    <w:rsid w:val="004E386C"/>
    <w:rPr>
      <w:color w:val="0000FF"/>
    </w:rPr>
  </w:style>
</w:styles>
</file>

<file path=word/webSettings.xml><?xml version="1.0" encoding="utf-8"?>
<w:webSettings xmlns:r="http://schemas.openxmlformats.org/officeDocument/2006/relationships" xmlns:w="http://schemas.openxmlformats.org/wordprocessingml/2006/main">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06975386">
      <w:bodyDiv w:val="1"/>
      <w:marLeft w:val="0"/>
      <w:marRight w:val="0"/>
      <w:marTop w:val="0"/>
      <w:marBottom w:val="0"/>
      <w:divBdr>
        <w:top w:val="none" w:sz="0" w:space="0" w:color="auto"/>
        <w:left w:val="none" w:sz="0" w:space="0" w:color="auto"/>
        <w:bottom w:val="none" w:sz="0" w:space="0" w:color="auto"/>
        <w:right w:val="none" w:sz="0" w:space="0" w:color="auto"/>
      </w:divBdr>
    </w:div>
    <w:div w:id="108742882">
      <w:bodyDiv w:val="1"/>
      <w:marLeft w:val="0"/>
      <w:marRight w:val="0"/>
      <w:marTop w:val="0"/>
      <w:marBottom w:val="0"/>
      <w:divBdr>
        <w:top w:val="none" w:sz="0" w:space="0" w:color="auto"/>
        <w:left w:val="none" w:sz="0" w:space="0" w:color="auto"/>
        <w:bottom w:val="none" w:sz="0" w:space="0" w:color="auto"/>
        <w:right w:val="none" w:sz="0" w:space="0" w:color="auto"/>
      </w:divBdr>
    </w:div>
    <w:div w:id="188841736">
      <w:bodyDiv w:val="1"/>
      <w:marLeft w:val="0"/>
      <w:marRight w:val="0"/>
      <w:marTop w:val="0"/>
      <w:marBottom w:val="0"/>
      <w:divBdr>
        <w:top w:val="none" w:sz="0" w:space="0" w:color="auto"/>
        <w:left w:val="none" w:sz="0" w:space="0" w:color="auto"/>
        <w:bottom w:val="none" w:sz="0" w:space="0" w:color="auto"/>
        <w:right w:val="none" w:sz="0" w:space="0" w:color="auto"/>
      </w:divBdr>
    </w:div>
    <w:div w:id="223832582">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31490476">
      <w:bodyDiv w:val="1"/>
      <w:marLeft w:val="0"/>
      <w:marRight w:val="0"/>
      <w:marTop w:val="0"/>
      <w:marBottom w:val="0"/>
      <w:divBdr>
        <w:top w:val="none" w:sz="0" w:space="0" w:color="auto"/>
        <w:left w:val="none" w:sz="0" w:space="0" w:color="auto"/>
        <w:bottom w:val="none" w:sz="0" w:space="0" w:color="auto"/>
        <w:right w:val="none" w:sz="0" w:space="0" w:color="auto"/>
      </w:divBdr>
    </w:div>
    <w:div w:id="655113944">
      <w:bodyDiv w:val="1"/>
      <w:marLeft w:val="0"/>
      <w:marRight w:val="0"/>
      <w:marTop w:val="0"/>
      <w:marBottom w:val="0"/>
      <w:divBdr>
        <w:top w:val="none" w:sz="0" w:space="0" w:color="auto"/>
        <w:left w:val="none" w:sz="0" w:space="0" w:color="auto"/>
        <w:bottom w:val="none" w:sz="0" w:space="0" w:color="auto"/>
        <w:right w:val="none" w:sz="0" w:space="0" w:color="auto"/>
      </w:divBdr>
    </w:div>
    <w:div w:id="665864550">
      <w:bodyDiv w:val="1"/>
      <w:marLeft w:val="0"/>
      <w:marRight w:val="0"/>
      <w:marTop w:val="0"/>
      <w:marBottom w:val="0"/>
      <w:divBdr>
        <w:top w:val="none" w:sz="0" w:space="0" w:color="auto"/>
        <w:left w:val="none" w:sz="0" w:space="0" w:color="auto"/>
        <w:bottom w:val="none" w:sz="0" w:space="0" w:color="auto"/>
        <w:right w:val="none" w:sz="0" w:space="0" w:color="auto"/>
      </w:divBdr>
    </w:div>
    <w:div w:id="673456134">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02306911">
      <w:bodyDiv w:val="1"/>
      <w:marLeft w:val="0"/>
      <w:marRight w:val="0"/>
      <w:marTop w:val="0"/>
      <w:marBottom w:val="0"/>
      <w:divBdr>
        <w:top w:val="none" w:sz="0" w:space="0" w:color="auto"/>
        <w:left w:val="none" w:sz="0" w:space="0" w:color="auto"/>
        <w:bottom w:val="none" w:sz="0" w:space="0" w:color="auto"/>
        <w:right w:val="none" w:sz="0" w:space="0" w:color="auto"/>
      </w:divBdr>
    </w:div>
    <w:div w:id="995836840">
      <w:bodyDiv w:val="1"/>
      <w:marLeft w:val="0"/>
      <w:marRight w:val="0"/>
      <w:marTop w:val="0"/>
      <w:marBottom w:val="0"/>
      <w:divBdr>
        <w:top w:val="none" w:sz="0" w:space="0" w:color="auto"/>
        <w:left w:val="none" w:sz="0" w:space="0" w:color="auto"/>
        <w:bottom w:val="none" w:sz="0" w:space="0" w:color="auto"/>
        <w:right w:val="none" w:sz="0" w:space="0" w:color="auto"/>
      </w:divBdr>
    </w:div>
    <w:div w:id="1155953967">
      <w:bodyDiv w:val="1"/>
      <w:marLeft w:val="0"/>
      <w:marRight w:val="0"/>
      <w:marTop w:val="0"/>
      <w:marBottom w:val="0"/>
      <w:divBdr>
        <w:top w:val="none" w:sz="0" w:space="0" w:color="auto"/>
        <w:left w:val="none" w:sz="0" w:space="0" w:color="auto"/>
        <w:bottom w:val="none" w:sz="0" w:space="0" w:color="auto"/>
        <w:right w:val="none" w:sz="0" w:space="0" w:color="auto"/>
      </w:divBdr>
    </w:div>
    <w:div w:id="1224368644">
      <w:bodyDiv w:val="1"/>
      <w:marLeft w:val="0"/>
      <w:marRight w:val="0"/>
      <w:marTop w:val="0"/>
      <w:marBottom w:val="0"/>
      <w:divBdr>
        <w:top w:val="none" w:sz="0" w:space="0" w:color="auto"/>
        <w:left w:val="none" w:sz="0" w:space="0" w:color="auto"/>
        <w:bottom w:val="none" w:sz="0" w:space="0" w:color="auto"/>
        <w:right w:val="none" w:sz="0" w:space="0" w:color="auto"/>
      </w:divBdr>
    </w:div>
    <w:div w:id="1292370086">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28572465">
      <w:bodyDiv w:val="1"/>
      <w:marLeft w:val="0"/>
      <w:marRight w:val="0"/>
      <w:marTop w:val="0"/>
      <w:marBottom w:val="0"/>
      <w:divBdr>
        <w:top w:val="none" w:sz="0" w:space="0" w:color="auto"/>
        <w:left w:val="none" w:sz="0" w:space="0" w:color="auto"/>
        <w:bottom w:val="none" w:sz="0" w:space="0" w:color="auto"/>
        <w:right w:val="none" w:sz="0" w:space="0" w:color="auto"/>
      </w:divBdr>
    </w:div>
    <w:div w:id="1448623340">
      <w:bodyDiv w:val="1"/>
      <w:marLeft w:val="0"/>
      <w:marRight w:val="0"/>
      <w:marTop w:val="0"/>
      <w:marBottom w:val="0"/>
      <w:divBdr>
        <w:top w:val="none" w:sz="0" w:space="0" w:color="auto"/>
        <w:left w:val="none" w:sz="0" w:space="0" w:color="auto"/>
        <w:bottom w:val="none" w:sz="0" w:space="0" w:color="auto"/>
        <w:right w:val="none" w:sz="0" w:space="0" w:color="auto"/>
      </w:divBdr>
    </w:div>
    <w:div w:id="1456631699">
      <w:bodyDiv w:val="1"/>
      <w:marLeft w:val="0"/>
      <w:marRight w:val="0"/>
      <w:marTop w:val="0"/>
      <w:marBottom w:val="0"/>
      <w:divBdr>
        <w:top w:val="none" w:sz="0" w:space="0" w:color="auto"/>
        <w:left w:val="none" w:sz="0" w:space="0" w:color="auto"/>
        <w:bottom w:val="none" w:sz="0" w:space="0" w:color="auto"/>
        <w:right w:val="none" w:sz="0" w:space="0" w:color="auto"/>
      </w:divBdr>
    </w:div>
    <w:div w:id="1462846141">
      <w:bodyDiv w:val="1"/>
      <w:marLeft w:val="0"/>
      <w:marRight w:val="0"/>
      <w:marTop w:val="0"/>
      <w:marBottom w:val="0"/>
      <w:divBdr>
        <w:top w:val="none" w:sz="0" w:space="0" w:color="auto"/>
        <w:left w:val="none" w:sz="0" w:space="0" w:color="auto"/>
        <w:bottom w:val="none" w:sz="0" w:space="0" w:color="auto"/>
        <w:right w:val="none" w:sz="0" w:space="0" w:color="auto"/>
      </w:divBdr>
    </w:div>
    <w:div w:id="1491367987">
      <w:bodyDiv w:val="1"/>
      <w:marLeft w:val="0"/>
      <w:marRight w:val="0"/>
      <w:marTop w:val="0"/>
      <w:marBottom w:val="0"/>
      <w:divBdr>
        <w:top w:val="none" w:sz="0" w:space="0" w:color="auto"/>
        <w:left w:val="none" w:sz="0" w:space="0" w:color="auto"/>
        <w:bottom w:val="none" w:sz="0" w:space="0" w:color="auto"/>
        <w:right w:val="none" w:sz="0" w:space="0" w:color="auto"/>
      </w:divBdr>
    </w:div>
    <w:div w:id="1551649530">
      <w:bodyDiv w:val="1"/>
      <w:marLeft w:val="0"/>
      <w:marRight w:val="0"/>
      <w:marTop w:val="0"/>
      <w:marBottom w:val="0"/>
      <w:divBdr>
        <w:top w:val="none" w:sz="0" w:space="0" w:color="auto"/>
        <w:left w:val="none" w:sz="0" w:space="0" w:color="auto"/>
        <w:bottom w:val="none" w:sz="0" w:space="0" w:color="auto"/>
        <w:right w:val="none" w:sz="0" w:space="0" w:color="auto"/>
      </w:divBdr>
    </w:div>
    <w:div w:id="1591622299">
      <w:bodyDiv w:val="1"/>
      <w:marLeft w:val="0"/>
      <w:marRight w:val="0"/>
      <w:marTop w:val="0"/>
      <w:marBottom w:val="0"/>
      <w:divBdr>
        <w:top w:val="none" w:sz="0" w:space="0" w:color="auto"/>
        <w:left w:val="none" w:sz="0" w:space="0" w:color="auto"/>
        <w:bottom w:val="none" w:sz="0" w:space="0" w:color="auto"/>
        <w:right w:val="none" w:sz="0" w:space="0" w:color="auto"/>
      </w:divBdr>
    </w:div>
    <w:div w:id="1609118636">
      <w:bodyDiv w:val="1"/>
      <w:marLeft w:val="0"/>
      <w:marRight w:val="0"/>
      <w:marTop w:val="0"/>
      <w:marBottom w:val="0"/>
      <w:divBdr>
        <w:top w:val="none" w:sz="0" w:space="0" w:color="auto"/>
        <w:left w:val="none" w:sz="0" w:space="0" w:color="auto"/>
        <w:bottom w:val="none" w:sz="0" w:space="0" w:color="auto"/>
        <w:right w:val="none" w:sz="0" w:space="0" w:color="auto"/>
      </w:divBdr>
    </w:div>
    <w:div w:id="1649238446">
      <w:bodyDiv w:val="1"/>
      <w:marLeft w:val="0"/>
      <w:marRight w:val="0"/>
      <w:marTop w:val="0"/>
      <w:marBottom w:val="0"/>
      <w:divBdr>
        <w:top w:val="none" w:sz="0" w:space="0" w:color="auto"/>
        <w:left w:val="none" w:sz="0" w:space="0" w:color="auto"/>
        <w:bottom w:val="none" w:sz="0" w:space="0" w:color="auto"/>
        <w:right w:val="none" w:sz="0" w:space="0" w:color="auto"/>
      </w:divBdr>
    </w:div>
    <w:div w:id="1730575389">
      <w:bodyDiv w:val="1"/>
      <w:marLeft w:val="0"/>
      <w:marRight w:val="0"/>
      <w:marTop w:val="0"/>
      <w:marBottom w:val="0"/>
      <w:divBdr>
        <w:top w:val="none" w:sz="0" w:space="0" w:color="auto"/>
        <w:left w:val="none" w:sz="0" w:space="0" w:color="auto"/>
        <w:bottom w:val="none" w:sz="0" w:space="0" w:color="auto"/>
        <w:right w:val="none" w:sz="0" w:space="0" w:color="auto"/>
      </w:divBdr>
    </w:div>
    <w:div w:id="1795323283">
      <w:bodyDiv w:val="1"/>
      <w:marLeft w:val="0"/>
      <w:marRight w:val="0"/>
      <w:marTop w:val="0"/>
      <w:marBottom w:val="0"/>
      <w:divBdr>
        <w:top w:val="none" w:sz="0" w:space="0" w:color="auto"/>
        <w:left w:val="none" w:sz="0" w:space="0" w:color="auto"/>
        <w:bottom w:val="none" w:sz="0" w:space="0" w:color="auto"/>
        <w:right w:val="none" w:sz="0" w:space="0" w:color="auto"/>
      </w:divBdr>
    </w:div>
    <w:div w:id="1816334313">
      <w:bodyDiv w:val="1"/>
      <w:marLeft w:val="0"/>
      <w:marRight w:val="0"/>
      <w:marTop w:val="0"/>
      <w:marBottom w:val="0"/>
      <w:divBdr>
        <w:top w:val="none" w:sz="0" w:space="0" w:color="auto"/>
        <w:left w:val="none" w:sz="0" w:space="0" w:color="auto"/>
        <w:bottom w:val="none" w:sz="0" w:space="0" w:color="auto"/>
        <w:right w:val="none" w:sz="0" w:space="0" w:color="auto"/>
      </w:divBdr>
    </w:div>
    <w:div w:id="1834908079">
      <w:bodyDiv w:val="1"/>
      <w:marLeft w:val="0"/>
      <w:marRight w:val="0"/>
      <w:marTop w:val="0"/>
      <w:marBottom w:val="0"/>
      <w:divBdr>
        <w:top w:val="none" w:sz="0" w:space="0" w:color="auto"/>
        <w:left w:val="none" w:sz="0" w:space="0" w:color="auto"/>
        <w:bottom w:val="none" w:sz="0" w:space="0" w:color="auto"/>
        <w:right w:val="none" w:sz="0" w:space="0" w:color="auto"/>
      </w:divBdr>
    </w:div>
    <w:div w:id="1984847970">
      <w:bodyDiv w:val="1"/>
      <w:marLeft w:val="0"/>
      <w:marRight w:val="0"/>
      <w:marTop w:val="0"/>
      <w:marBottom w:val="0"/>
      <w:divBdr>
        <w:top w:val="none" w:sz="0" w:space="0" w:color="auto"/>
        <w:left w:val="none" w:sz="0" w:space="0" w:color="auto"/>
        <w:bottom w:val="none" w:sz="0" w:space="0" w:color="auto"/>
        <w:right w:val="none" w:sz="0" w:space="0" w:color="auto"/>
      </w:divBdr>
    </w:div>
    <w:div w:id="20059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temp\etf.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6B29A-7F21-467B-B968-9A76732E3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etf.dot</Template>
  <TotalTime>0</TotalTime>
  <Pages>12</Pages>
  <Words>5152</Words>
  <Characters>1558</Characters>
  <Application>Microsoft Office Word</Application>
  <DocSecurity>0</DocSecurity>
  <Lines>12</Lines>
  <Paragraphs>13</Paragraphs>
  <ScaleCrop>false</ScaleCrop>
  <Company>TRT. Ltd. Co.</Company>
  <LinksUpToDate>false</LinksUpToDate>
  <CharactersWithSpaces>6697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孙文婷</dc:creator>
  <cp:lastModifiedBy>孙文婷</cp:lastModifiedBy>
  <cp:revision>2</cp:revision>
  <cp:lastPrinted>2007-07-19T00:46:00Z</cp:lastPrinted>
  <dcterms:created xsi:type="dcterms:W3CDTF">2014-07-15T08:53:00Z</dcterms:created>
  <dcterms:modified xsi:type="dcterms:W3CDTF">2014-07-15T08:53:00Z</dcterms:modified>
</cp:coreProperties>
</file>