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41187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817F2" w:rsidRDefault="004626E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8817F2" w:rsidRDefault="004626E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8817F2" w:rsidRDefault="004626E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8817F2" w:rsidRDefault="004626E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8817F2" w:rsidRDefault="004626E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245,260,248.45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w:t>
            </w:r>
            <w:r w:rsidRPr="00414345">
              <w:rPr>
                <w:color w:val="000000"/>
                <w:kern w:val="0"/>
                <w:sz w:val="24"/>
                <w:szCs w:val="24"/>
              </w:rPr>
              <w:lastRenderedPageBreak/>
              <w:t>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8817F2" w:rsidRDefault="004626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、本基金场内简称为</w:t>
      </w:r>
      <w:r>
        <w:rPr>
          <w:color w:val="000000"/>
          <w:sz w:val="24"/>
          <w:szCs w:val="24"/>
        </w:rPr>
        <w:t>“</w:t>
      </w:r>
      <w:r>
        <w:rPr>
          <w:color w:val="000000"/>
          <w:sz w:val="24"/>
          <w:szCs w:val="24"/>
        </w:rPr>
        <w:t>交银添利</w:t>
      </w:r>
      <w:r>
        <w:rPr>
          <w:color w:val="000000"/>
          <w:sz w:val="24"/>
          <w:szCs w:val="24"/>
        </w:rPr>
        <w:t>”</w:t>
      </w:r>
      <w:r>
        <w:rPr>
          <w:color w:val="000000"/>
          <w:sz w:val="24"/>
          <w:szCs w:val="24"/>
        </w:rPr>
        <w:t>。</w:t>
      </w:r>
    </w:p>
    <w:p w:rsidR="004061AC" w:rsidRPr="00414345" w:rsidRDefault="004626EC"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、根据本基金《基金合同》及《招募说明书》的相关规定，本基金在基金合同生效之日起三年</w:t>
      </w:r>
      <w:r w:rsidR="004061AC" w:rsidRPr="00414345">
        <w:rPr>
          <w:color w:val="000000"/>
          <w:sz w:val="24"/>
          <w:szCs w:val="24"/>
        </w:rPr>
        <w:t>(</w:t>
      </w:r>
      <w:r w:rsidR="004061AC" w:rsidRPr="00414345">
        <w:rPr>
          <w:color w:val="000000"/>
          <w:sz w:val="24"/>
          <w:szCs w:val="24"/>
        </w:rPr>
        <w:t>含三年</w:t>
      </w:r>
      <w:r w:rsidR="004061AC" w:rsidRPr="00414345">
        <w:rPr>
          <w:color w:val="000000"/>
          <w:sz w:val="24"/>
          <w:szCs w:val="24"/>
        </w:rPr>
        <w:t>)</w:t>
      </w:r>
      <w:r w:rsidR="004061AC" w:rsidRPr="00414345">
        <w:rPr>
          <w:color w:val="000000"/>
          <w:sz w:val="24"/>
          <w:szCs w:val="24"/>
        </w:rPr>
        <w:t>的期间内，采取封闭式运作，在深圳证券交易所上市交易，封闭期结束后转为上市开放式基金（</w:t>
      </w:r>
      <w:r w:rsidR="004061AC" w:rsidRPr="00414345">
        <w:rPr>
          <w:color w:val="000000"/>
          <w:sz w:val="24"/>
          <w:szCs w:val="24"/>
        </w:rPr>
        <w:t>LOF</w:t>
      </w:r>
      <w:r w:rsidR="004061AC" w:rsidRPr="00414345">
        <w:rPr>
          <w:color w:val="000000"/>
          <w:sz w:val="24"/>
          <w:szCs w:val="24"/>
        </w:rPr>
        <w:t>）。本基金封闭期自</w:t>
      </w:r>
      <w:r w:rsidR="004061AC" w:rsidRPr="00414345">
        <w:rPr>
          <w:color w:val="000000"/>
          <w:sz w:val="24"/>
          <w:szCs w:val="24"/>
        </w:rPr>
        <w:t>2011</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27</w:t>
      </w:r>
      <w:r w:rsidR="004061AC" w:rsidRPr="00414345">
        <w:rPr>
          <w:color w:val="000000"/>
          <w:sz w:val="24"/>
          <w:szCs w:val="24"/>
        </w:rPr>
        <w:t>日</w:t>
      </w:r>
      <w:r w:rsidR="004061AC" w:rsidRPr="00414345">
        <w:rPr>
          <w:color w:val="000000"/>
          <w:sz w:val="24"/>
          <w:szCs w:val="24"/>
        </w:rPr>
        <w:t>(</w:t>
      </w:r>
      <w:r w:rsidR="004061AC" w:rsidRPr="00414345">
        <w:rPr>
          <w:color w:val="000000"/>
          <w:sz w:val="24"/>
          <w:szCs w:val="24"/>
        </w:rPr>
        <w:t>基金合同生效日</w:t>
      </w:r>
      <w:r w:rsidR="004061AC" w:rsidRPr="00414345">
        <w:rPr>
          <w:color w:val="000000"/>
          <w:sz w:val="24"/>
          <w:szCs w:val="24"/>
        </w:rPr>
        <w:t>)</w:t>
      </w:r>
      <w:r w:rsidR="004061AC" w:rsidRPr="00414345">
        <w:rPr>
          <w:color w:val="000000"/>
          <w:sz w:val="24"/>
          <w:szCs w:val="24"/>
        </w:rPr>
        <w:t>起至</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27</w:t>
      </w:r>
      <w:r w:rsidR="004061AC" w:rsidRPr="00414345">
        <w:rPr>
          <w:color w:val="000000"/>
          <w:sz w:val="24"/>
          <w:szCs w:val="24"/>
        </w:rPr>
        <w:t>日止，自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日起基金运作方式转为</w:t>
      </w:r>
      <w:r w:rsidR="004061AC" w:rsidRPr="00414345">
        <w:rPr>
          <w:color w:val="000000"/>
          <w:sz w:val="24"/>
          <w:szCs w:val="24"/>
        </w:rPr>
        <w:t>“</w:t>
      </w:r>
      <w:r w:rsidR="004061AC" w:rsidRPr="00414345">
        <w:rPr>
          <w:color w:val="000000"/>
          <w:sz w:val="24"/>
          <w:szCs w:val="24"/>
        </w:rPr>
        <w:t>上市契约型开放式</w:t>
      </w:r>
      <w:r w:rsidR="004061AC" w:rsidRPr="00414345">
        <w:rPr>
          <w:color w:val="000000"/>
          <w:sz w:val="24"/>
          <w:szCs w:val="24"/>
        </w:rPr>
        <w:t>”</w:t>
      </w:r>
      <w:r w:rsidR="004061AC" w:rsidRPr="00414345">
        <w:rPr>
          <w:color w:val="000000"/>
          <w:sz w:val="24"/>
          <w:szCs w:val="24"/>
        </w:rPr>
        <w:t>，并于同日起开放本基金的申购、赎回业务。本基金在募集期仅开通前端基金份额的认购，转为上市开放式基金（</w:t>
      </w:r>
      <w:r w:rsidR="004061AC" w:rsidRPr="00414345">
        <w:rPr>
          <w:color w:val="000000"/>
          <w:sz w:val="24"/>
          <w:szCs w:val="24"/>
        </w:rPr>
        <w:t>LOF</w:t>
      </w:r>
      <w:r w:rsidR="004061AC" w:rsidRPr="00414345">
        <w:rPr>
          <w:color w:val="000000"/>
          <w:sz w:val="24"/>
          <w:szCs w:val="24"/>
        </w:rPr>
        <w:t>）后将同时开通前端基金份额和后端基金份额的申购和赎回。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626EC" w:rsidRPr="00414345" w:rsidTr="004626E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626EC" w:rsidRPr="00414345" w:rsidTr="004626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-2,151,102.62</w:t>
            </w:r>
          </w:p>
        </w:tc>
      </w:tr>
      <w:tr w:rsidR="004626EC" w:rsidRPr="00414345" w:rsidTr="004626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14,926,892.65</w:t>
            </w:r>
          </w:p>
        </w:tc>
      </w:tr>
      <w:tr w:rsidR="004626EC" w:rsidRPr="00414345" w:rsidTr="004626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0.0478</w:t>
            </w:r>
          </w:p>
        </w:tc>
      </w:tr>
      <w:tr w:rsidR="004626EC" w:rsidRPr="00414345" w:rsidTr="004626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253,428,311.65</w:t>
            </w:r>
          </w:p>
        </w:tc>
      </w:tr>
      <w:tr w:rsidR="004626EC" w:rsidRPr="00414345" w:rsidTr="004626E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1.033</w:t>
            </w:r>
          </w:p>
        </w:tc>
      </w:tr>
    </w:tbl>
    <w:p w:rsidR="008817F2" w:rsidRDefault="004626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817F2">
        <w:trPr>
          <w:jc w:val="center"/>
        </w:trPr>
        <w:tc>
          <w:tcPr>
            <w:tcW w:w="1701" w:type="dxa"/>
            <w:vAlign w:val="center"/>
          </w:tcPr>
          <w:p w:rsidR="008817F2" w:rsidRDefault="004626EC">
            <w:pPr>
              <w:jc w:val="left"/>
            </w:pPr>
            <w:r>
              <w:rPr>
                <w:color w:val="000000"/>
                <w:sz w:val="24"/>
                <w:szCs w:val="24"/>
              </w:rPr>
              <w:t>过去三个月</w:t>
            </w:r>
          </w:p>
        </w:tc>
        <w:tc>
          <w:tcPr>
            <w:tcW w:w="1045" w:type="dxa"/>
            <w:vAlign w:val="center"/>
          </w:tcPr>
          <w:p w:rsidR="008817F2" w:rsidRDefault="004626EC">
            <w:pPr>
              <w:jc w:val="center"/>
            </w:pPr>
            <w:r>
              <w:rPr>
                <w:color w:val="000000"/>
                <w:sz w:val="24"/>
                <w:szCs w:val="24"/>
              </w:rPr>
              <w:t>4.66%</w:t>
            </w:r>
          </w:p>
        </w:tc>
        <w:tc>
          <w:tcPr>
            <w:tcW w:w="1344" w:type="dxa"/>
            <w:vAlign w:val="center"/>
          </w:tcPr>
          <w:p w:rsidR="008817F2" w:rsidRDefault="004626EC">
            <w:pPr>
              <w:jc w:val="center"/>
            </w:pPr>
            <w:r>
              <w:rPr>
                <w:color w:val="000000"/>
                <w:sz w:val="24"/>
                <w:szCs w:val="24"/>
              </w:rPr>
              <w:t>0.23%</w:t>
            </w:r>
          </w:p>
        </w:tc>
        <w:tc>
          <w:tcPr>
            <w:tcW w:w="1194" w:type="dxa"/>
            <w:vAlign w:val="center"/>
          </w:tcPr>
          <w:p w:rsidR="008817F2" w:rsidRDefault="004626EC">
            <w:pPr>
              <w:jc w:val="center"/>
            </w:pPr>
            <w:r>
              <w:rPr>
                <w:color w:val="000000"/>
                <w:sz w:val="24"/>
                <w:szCs w:val="24"/>
              </w:rPr>
              <w:t>2.72%</w:t>
            </w:r>
          </w:p>
        </w:tc>
        <w:tc>
          <w:tcPr>
            <w:tcW w:w="1492" w:type="dxa"/>
            <w:vAlign w:val="center"/>
          </w:tcPr>
          <w:p w:rsidR="008817F2" w:rsidRDefault="004626EC">
            <w:pPr>
              <w:jc w:val="center"/>
            </w:pPr>
            <w:r>
              <w:rPr>
                <w:color w:val="000000"/>
                <w:sz w:val="24"/>
                <w:szCs w:val="24"/>
              </w:rPr>
              <w:t>0.07%</w:t>
            </w:r>
          </w:p>
        </w:tc>
        <w:tc>
          <w:tcPr>
            <w:tcW w:w="1194" w:type="dxa"/>
            <w:vAlign w:val="center"/>
          </w:tcPr>
          <w:p w:rsidR="008817F2" w:rsidRDefault="004626EC">
            <w:pPr>
              <w:jc w:val="center"/>
            </w:pPr>
            <w:r>
              <w:rPr>
                <w:color w:val="000000"/>
                <w:sz w:val="24"/>
                <w:szCs w:val="24"/>
              </w:rPr>
              <w:t>1.94%</w:t>
            </w:r>
          </w:p>
        </w:tc>
        <w:tc>
          <w:tcPr>
            <w:tcW w:w="898" w:type="dxa"/>
            <w:vAlign w:val="center"/>
          </w:tcPr>
          <w:p w:rsidR="008817F2" w:rsidRDefault="004626EC">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817F2">
        <w:trPr>
          <w:jc w:val="center"/>
        </w:trPr>
        <w:tc>
          <w:tcPr>
            <w:tcW w:w="846" w:type="dxa"/>
            <w:vAlign w:val="center"/>
          </w:tcPr>
          <w:p w:rsidR="008817F2" w:rsidRDefault="004626EC">
            <w:pPr>
              <w:jc w:val="center"/>
            </w:pPr>
            <w:r>
              <w:rPr>
                <w:color w:val="000000"/>
                <w:sz w:val="24"/>
                <w:szCs w:val="24"/>
              </w:rPr>
              <w:lastRenderedPageBreak/>
              <w:t>林洪钧</w:t>
            </w:r>
          </w:p>
        </w:tc>
        <w:tc>
          <w:tcPr>
            <w:tcW w:w="845" w:type="dxa"/>
            <w:vAlign w:val="center"/>
          </w:tcPr>
          <w:p w:rsidR="008817F2" w:rsidRDefault="004626EC">
            <w:pPr>
              <w:jc w:val="center"/>
            </w:pPr>
            <w:r>
              <w:rPr>
                <w:color w:val="000000"/>
                <w:sz w:val="24"/>
                <w:szCs w:val="24"/>
              </w:rPr>
              <w:t>本基金、交银货币、交银理财</w:t>
            </w:r>
            <w:r>
              <w:rPr>
                <w:color w:val="000000"/>
                <w:sz w:val="24"/>
                <w:szCs w:val="24"/>
              </w:rPr>
              <w:t>21</w:t>
            </w:r>
            <w:r>
              <w:rPr>
                <w:color w:val="000000"/>
                <w:sz w:val="24"/>
                <w:szCs w:val="24"/>
              </w:rPr>
              <w:t>天债券、交银纯债债券发起的基金经理，交银荣安保本混合、交银荣祥保本混合的基金经理助理，公司固定收益部助理总经理</w:t>
            </w:r>
          </w:p>
        </w:tc>
        <w:tc>
          <w:tcPr>
            <w:tcW w:w="1549" w:type="dxa"/>
            <w:vAlign w:val="center"/>
          </w:tcPr>
          <w:p w:rsidR="008817F2" w:rsidRDefault="004626EC">
            <w:pPr>
              <w:jc w:val="center"/>
            </w:pPr>
            <w:r>
              <w:rPr>
                <w:color w:val="000000"/>
                <w:sz w:val="24"/>
                <w:szCs w:val="24"/>
              </w:rPr>
              <w:t>2011-01-27</w:t>
            </w:r>
          </w:p>
        </w:tc>
        <w:tc>
          <w:tcPr>
            <w:tcW w:w="1548" w:type="dxa"/>
            <w:vAlign w:val="center"/>
          </w:tcPr>
          <w:p w:rsidR="008817F2" w:rsidRDefault="004626EC">
            <w:pPr>
              <w:jc w:val="center"/>
            </w:pPr>
            <w:r>
              <w:rPr>
                <w:color w:val="000000"/>
                <w:sz w:val="24"/>
                <w:szCs w:val="24"/>
              </w:rPr>
              <w:t>-</w:t>
            </w:r>
          </w:p>
        </w:tc>
        <w:tc>
          <w:tcPr>
            <w:tcW w:w="1407" w:type="dxa"/>
            <w:vAlign w:val="center"/>
          </w:tcPr>
          <w:p w:rsidR="008817F2" w:rsidRDefault="004626EC">
            <w:pPr>
              <w:jc w:val="center"/>
            </w:pPr>
            <w:r>
              <w:rPr>
                <w:color w:val="000000"/>
                <w:sz w:val="24"/>
                <w:szCs w:val="24"/>
              </w:rPr>
              <w:t>10</w:t>
            </w:r>
            <w:r>
              <w:rPr>
                <w:color w:val="000000"/>
                <w:sz w:val="24"/>
                <w:szCs w:val="24"/>
              </w:rPr>
              <w:t>年</w:t>
            </w:r>
          </w:p>
        </w:tc>
        <w:tc>
          <w:tcPr>
            <w:tcW w:w="2673" w:type="dxa"/>
            <w:vAlign w:val="center"/>
          </w:tcPr>
          <w:p w:rsidR="008817F2" w:rsidRDefault="004626EC" w:rsidP="007F124A">
            <w:r>
              <w:rPr>
                <w:color w:val="000000"/>
                <w:sz w:val="24"/>
                <w:szCs w:val="24"/>
              </w:rPr>
              <w:t>林洪钧先生，复旦大学</w:t>
            </w:r>
            <w:r w:rsidR="007F124A">
              <w:rPr>
                <w:rFonts w:hint="eastAsia"/>
                <w:color w:val="000000"/>
                <w:sz w:val="24"/>
                <w:szCs w:val="24"/>
              </w:rPr>
              <w:t>硕</w:t>
            </w:r>
            <w:r w:rsidR="007F124A">
              <w:rPr>
                <w:color w:val="000000"/>
                <w:sz w:val="24"/>
                <w:szCs w:val="24"/>
              </w:rPr>
              <w:t>士</w:t>
            </w:r>
            <w:r>
              <w:rPr>
                <w:color w:val="000000"/>
                <w:sz w:val="24"/>
                <w:szCs w:val="24"/>
              </w:rPr>
              <w:t>。历任国泰君安证券股份有限公司上海分公司机构客户部客户经理，华安基金管理有限公司债券交易员，加拿大</w:t>
            </w:r>
            <w:r>
              <w:rPr>
                <w:color w:val="000000"/>
                <w:sz w:val="24"/>
                <w:szCs w:val="24"/>
              </w:rPr>
              <w:t>Financial Engineering Source Inc.</w:t>
            </w:r>
            <w:r>
              <w:rPr>
                <w:color w:val="000000"/>
                <w:sz w:val="24"/>
                <w:szCs w:val="24"/>
              </w:rPr>
              <w:t>金融研究员。</w:t>
            </w:r>
            <w:r>
              <w:rPr>
                <w:color w:val="000000"/>
                <w:sz w:val="24"/>
                <w:szCs w:val="24"/>
              </w:rPr>
              <w:t>2009</w:t>
            </w:r>
            <w:r>
              <w:rPr>
                <w:color w:val="000000"/>
                <w:sz w:val="24"/>
                <w:szCs w:val="24"/>
              </w:rPr>
              <w:t>年加入交银施罗德基金管理有限公司，历任专户投资部投资经理助理、专户投资经理。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817F2" w:rsidRDefault="004626EC">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8817F2" w:rsidRDefault="004626E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817F2" w:rsidRDefault="004626E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817F2" w:rsidRDefault="004626EC">
      <w:pPr>
        <w:spacing w:before="29" w:line="288" w:lineRule="auto"/>
        <w:ind w:firstLineChars="200" w:firstLine="480"/>
        <w:rPr>
          <w:color w:val="000000"/>
          <w:sz w:val="24"/>
          <w:szCs w:val="24"/>
        </w:rPr>
      </w:pPr>
      <w:r>
        <w:rPr>
          <w:color w:val="000000"/>
          <w:sz w:val="24"/>
          <w:szCs w:val="24"/>
        </w:rPr>
        <w:t>本报告期内，经济增长动能依旧趋弱。</w:t>
      </w:r>
      <w:r>
        <w:rPr>
          <w:color w:val="000000"/>
          <w:sz w:val="24"/>
          <w:szCs w:val="24"/>
        </w:rPr>
        <w:t>4</w:t>
      </w:r>
      <w:r>
        <w:rPr>
          <w:color w:val="000000"/>
          <w:sz w:val="24"/>
          <w:szCs w:val="24"/>
        </w:rPr>
        <w:t>、</w:t>
      </w:r>
      <w:r>
        <w:rPr>
          <w:color w:val="000000"/>
          <w:sz w:val="24"/>
          <w:szCs w:val="24"/>
        </w:rPr>
        <w:t>5</w:t>
      </w:r>
      <w:r>
        <w:rPr>
          <w:color w:val="000000"/>
          <w:sz w:val="24"/>
          <w:szCs w:val="24"/>
        </w:rPr>
        <w:t>月工业增加值为</w:t>
      </w:r>
      <w:r>
        <w:rPr>
          <w:color w:val="000000"/>
          <w:sz w:val="24"/>
          <w:szCs w:val="24"/>
        </w:rPr>
        <w:t>8.7%</w:t>
      </w:r>
      <w:r>
        <w:rPr>
          <w:color w:val="000000"/>
          <w:sz w:val="24"/>
          <w:szCs w:val="24"/>
        </w:rPr>
        <w:t>、</w:t>
      </w:r>
      <w:r>
        <w:rPr>
          <w:color w:val="000000"/>
          <w:sz w:val="24"/>
          <w:szCs w:val="24"/>
        </w:rPr>
        <w:t>8.8%</w:t>
      </w:r>
      <w:r>
        <w:rPr>
          <w:color w:val="000000"/>
          <w:sz w:val="24"/>
          <w:szCs w:val="24"/>
        </w:rPr>
        <w:t>，</w:t>
      </w:r>
      <w:r>
        <w:rPr>
          <w:color w:val="000000"/>
          <w:sz w:val="24"/>
          <w:szCs w:val="24"/>
        </w:rPr>
        <w:t>PPI</w:t>
      </w:r>
      <w:r>
        <w:rPr>
          <w:color w:val="000000"/>
          <w:sz w:val="24"/>
          <w:szCs w:val="24"/>
        </w:rPr>
        <w:t>今年以来连续</w:t>
      </w:r>
      <w:r>
        <w:rPr>
          <w:color w:val="000000"/>
          <w:sz w:val="24"/>
          <w:szCs w:val="24"/>
        </w:rPr>
        <w:t>5</w:t>
      </w:r>
      <w:r>
        <w:rPr>
          <w:color w:val="000000"/>
          <w:sz w:val="24"/>
          <w:szCs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color w:val="000000"/>
          <w:sz w:val="24"/>
          <w:szCs w:val="24"/>
        </w:rPr>
        <w:t>4</w:t>
      </w:r>
      <w:r>
        <w:rPr>
          <w:color w:val="000000"/>
          <w:sz w:val="24"/>
          <w:szCs w:val="24"/>
        </w:rPr>
        <w:t>月</w:t>
      </w:r>
      <w:r>
        <w:rPr>
          <w:color w:val="000000"/>
          <w:sz w:val="24"/>
          <w:szCs w:val="24"/>
        </w:rPr>
        <w:t>16</w:t>
      </w:r>
      <w:r>
        <w:rPr>
          <w:color w:val="000000"/>
          <w:sz w:val="24"/>
          <w:szCs w:val="24"/>
        </w:rPr>
        <w:t>日起，央行降低了部分农信社、城商行、部分股份制银行的存款准备金率。政策的连续出台在下半年或将起到积极的作用。</w:t>
      </w:r>
    </w:p>
    <w:p w:rsidR="008817F2" w:rsidRDefault="004626EC">
      <w:pPr>
        <w:spacing w:before="29" w:line="288" w:lineRule="auto"/>
        <w:ind w:firstLineChars="200" w:firstLine="480"/>
        <w:rPr>
          <w:color w:val="000000"/>
          <w:sz w:val="24"/>
          <w:szCs w:val="24"/>
        </w:rPr>
      </w:pPr>
      <w:r>
        <w:rPr>
          <w:color w:val="000000"/>
          <w:sz w:val="24"/>
          <w:szCs w:val="24"/>
        </w:rPr>
        <w:t>本报告期内，受经济下滑、货币政策加码、流动性充沛三方面影响，债券市场经历了较为明显的涨幅，中债总财富指数上涨</w:t>
      </w:r>
      <w:r>
        <w:rPr>
          <w:color w:val="000000"/>
          <w:sz w:val="24"/>
          <w:szCs w:val="24"/>
        </w:rPr>
        <w:t>3.51%</w:t>
      </w:r>
      <w:r>
        <w:rPr>
          <w:color w:val="000000"/>
          <w:sz w:val="24"/>
          <w:szCs w:val="24"/>
        </w:rPr>
        <w:t>。从产品类属上，长久期政策性金融债以及城投债在二季度的表现尤为突出。然而，在二季度末，由于稳增长的政策不断加码，债券市场的预期发生了微妙的变化。出于对下半年政策进一步加码的担忧，从宽货币到宽信用的路径似乎在二季度末正在政策指导下发生，债券市场在二季度末收益出现了一些震荡。</w:t>
      </w:r>
    </w:p>
    <w:p w:rsidR="008817F2" w:rsidRDefault="004626EC">
      <w:pPr>
        <w:spacing w:before="29" w:line="288" w:lineRule="auto"/>
        <w:ind w:firstLineChars="200" w:firstLine="480"/>
        <w:rPr>
          <w:color w:val="000000"/>
          <w:sz w:val="24"/>
          <w:szCs w:val="24"/>
        </w:rPr>
      </w:pPr>
      <w:r>
        <w:rPr>
          <w:color w:val="000000"/>
          <w:sz w:val="24"/>
          <w:szCs w:val="24"/>
        </w:rPr>
        <w:t>本基金在本报告期内保持了较高的债券仓位，报告期内基金净值上涨</w:t>
      </w:r>
      <w:r>
        <w:rPr>
          <w:color w:val="000000"/>
          <w:sz w:val="24"/>
          <w:szCs w:val="24"/>
        </w:rPr>
        <w:t>4.66%</w:t>
      </w:r>
      <w:r>
        <w:rPr>
          <w:color w:val="000000"/>
          <w:sz w:val="24"/>
          <w:szCs w:val="24"/>
        </w:rPr>
        <w:t>，贡献主要来自于债券在二季度的资本利得。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三季度，前期政策累加的效果可能逐步出现，同时稳增长的政策可能继续出台，在稳增长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生增长动力仍需较长时间。所以债券市场收益率大幅上行的可能性也不高。总体说来，本基金对三季度债券市场持较谨慎观点。组合管理上预计一方面降低债券仓位，另一方面，适当保持一定比例的可转债以及力求把握权益类资产在稳增长政策刺激下可能出现的一些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1.033</w:t>
      </w:r>
      <w:r w:rsidRPr="00414345">
        <w:rPr>
          <w:color w:val="000000"/>
          <w:sz w:val="24"/>
          <w:szCs w:val="24"/>
        </w:rPr>
        <w:t>元，本报告期份额净值增长率为</w:t>
      </w:r>
      <w:r w:rsidRPr="00414345">
        <w:rPr>
          <w:color w:val="000000"/>
          <w:sz w:val="24"/>
          <w:szCs w:val="24"/>
        </w:rPr>
        <w:t>4.66%</w:t>
      </w:r>
      <w:r w:rsidRPr="00414345">
        <w:rPr>
          <w:color w:val="000000"/>
          <w:sz w:val="24"/>
          <w:szCs w:val="24"/>
        </w:rPr>
        <w:t>，同期业绩比较基准增长率为</w:t>
      </w:r>
      <w:r w:rsidRPr="00414345">
        <w:rPr>
          <w:color w:val="000000"/>
          <w:sz w:val="24"/>
          <w:szCs w:val="24"/>
        </w:rPr>
        <w:t>2.72%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7,081,330.00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7,081,330.00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517,365,464.38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517,365,464.38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20,047,538.24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16,047,154.07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560,541,486.69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7,081,330.00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593523">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7,081,330.00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817F2">
        <w:trPr>
          <w:jc w:val="center"/>
        </w:trPr>
        <w:tc>
          <w:tcPr>
            <w:tcW w:w="855" w:type="dxa"/>
            <w:vAlign w:val="center"/>
          </w:tcPr>
          <w:p w:rsidR="008817F2" w:rsidRDefault="004626EC">
            <w:pPr>
              <w:jc w:val="center"/>
            </w:pPr>
            <w:r>
              <w:rPr>
                <w:color w:val="000000"/>
                <w:sz w:val="24"/>
                <w:szCs w:val="24"/>
              </w:rPr>
              <w:t>1</w:t>
            </w:r>
          </w:p>
        </w:tc>
        <w:tc>
          <w:tcPr>
            <w:tcW w:w="1334" w:type="dxa"/>
            <w:vAlign w:val="center"/>
          </w:tcPr>
          <w:p w:rsidR="008817F2" w:rsidRDefault="004626EC">
            <w:pPr>
              <w:jc w:val="center"/>
            </w:pPr>
            <w:r>
              <w:rPr>
                <w:color w:val="000000"/>
                <w:sz w:val="24"/>
                <w:szCs w:val="24"/>
              </w:rPr>
              <w:t>600085</w:t>
            </w:r>
          </w:p>
        </w:tc>
        <w:tc>
          <w:tcPr>
            <w:tcW w:w="1777" w:type="dxa"/>
            <w:vAlign w:val="center"/>
          </w:tcPr>
          <w:p w:rsidR="008817F2" w:rsidRDefault="004626EC">
            <w:pPr>
              <w:jc w:val="center"/>
            </w:pPr>
            <w:r>
              <w:rPr>
                <w:color w:val="000000"/>
                <w:sz w:val="24"/>
                <w:szCs w:val="24"/>
              </w:rPr>
              <w:t>同仁堂</w:t>
            </w:r>
          </w:p>
        </w:tc>
        <w:tc>
          <w:tcPr>
            <w:tcW w:w="1334" w:type="dxa"/>
            <w:vAlign w:val="center"/>
          </w:tcPr>
          <w:p w:rsidR="008817F2" w:rsidRDefault="004626EC">
            <w:pPr>
              <w:jc w:val="right"/>
            </w:pPr>
            <w:r>
              <w:rPr>
                <w:color w:val="000000"/>
                <w:sz w:val="24"/>
                <w:szCs w:val="24"/>
              </w:rPr>
              <w:t>300,000</w:t>
            </w:r>
          </w:p>
        </w:tc>
        <w:tc>
          <w:tcPr>
            <w:tcW w:w="1924" w:type="dxa"/>
            <w:vAlign w:val="center"/>
          </w:tcPr>
          <w:p w:rsidR="008817F2" w:rsidRDefault="004626EC">
            <w:pPr>
              <w:jc w:val="right"/>
            </w:pPr>
            <w:r>
              <w:rPr>
                <w:color w:val="000000"/>
                <w:sz w:val="24"/>
                <w:szCs w:val="24"/>
              </w:rPr>
              <w:t>5,229,000.00</w:t>
            </w:r>
          </w:p>
        </w:tc>
        <w:tc>
          <w:tcPr>
            <w:tcW w:w="1644" w:type="dxa"/>
            <w:vAlign w:val="center"/>
          </w:tcPr>
          <w:p w:rsidR="008817F2" w:rsidRDefault="004626EC">
            <w:pPr>
              <w:jc w:val="right"/>
            </w:pPr>
            <w:r>
              <w:rPr>
                <w:color w:val="000000"/>
                <w:sz w:val="24"/>
                <w:szCs w:val="24"/>
              </w:rPr>
              <w:t>2.06</w:t>
            </w:r>
          </w:p>
        </w:tc>
      </w:tr>
      <w:tr w:rsidR="008817F2">
        <w:trPr>
          <w:jc w:val="center"/>
        </w:trPr>
        <w:tc>
          <w:tcPr>
            <w:tcW w:w="855" w:type="dxa"/>
            <w:vAlign w:val="center"/>
          </w:tcPr>
          <w:p w:rsidR="008817F2" w:rsidRDefault="004626EC">
            <w:pPr>
              <w:jc w:val="center"/>
            </w:pPr>
            <w:r>
              <w:rPr>
                <w:color w:val="000000"/>
                <w:sz w:val="24"/>
                <w:szCs w:val="24"/>
              </w:rPr>
              <w:t>2</w:t>
            </w:r>
          </w:p>
        </w:tc>
        <w:tc>
          <w:tcPr>
            <w:tcW w:w="1334" w:type="dxa"/>
            <w:vAlign w:val="center"/>
          </w:tcPr>
          <w:p w:rsidR="008817F2" w:rsidRDefault="004626EC">
            <w:pPr>
              <w:jc w:val="center"/>
            </w:pPr>
            <w:r>
              <w:rPr>
                <w:color w:val="000000"/>
                <w:sz w:val="24"/>
                <w:szCs w:val="24"/>
              </w:rPr>
              <w:t>000887</w:t>
            </w:r>
          </w:p>
        </w:tc>
        <w:tc>
          <w:tcPr>
            <w:tcW w:w="1777" w:type="dxa"/>
            <w:vAlign w:val="center"/>
          </w:tcPr>
          <w:p w:rsidR="008817F2" w:rsidRDefault="004626EC">
            <w:pPr>
              <w:jc w:val="center"/>
            </w:pPr>
            <w:r>
              <w:rPr>
                <w:color w:val="000000"/>
                <w:sz w:val="24"/>
                <w:szCs w:val="24"/>
              </w:rPr>
              <w:t>中鼎股份</w:t>
            </w:r>
          </w:p>
        </w:tc>
        <w:tc>
          <w:tcPr>
            <w:tcW w:w="1334" w:type="dxa"/>
            <w:vAlign w:val="center"/>
          </w:tcPr>
          <w:p w:rsidR="008817F2" w:rsidRDefault="004626EC">
            <w:pPr>
              <w:jc w:val="right"/>
            </w:pPr>
            <w:r>
              <w:rPr>
                <w:color w:val="000000"/>
                <w:sz w:val="24"/>
                <w:szCs w:val="24"/>
              </w:rPr>
              <w:t>190,000</w:t>
            </w:r>
          </w:p>
        </w:tc>
        <w:tc>
          <w:tcPr>
            <w:tcW w:w="1924" w:type="dxa"/>
            <w:vAlign w:val="center"/>
          </w:tcPr>
          <w:p w:rsidR="008817F2" w:rsidRDefault="004626EC">
            <w:pPr>
              <w:jc w:val="right"/>
            </w:pPr>
            <w:r>
              <w:rPr>
                <w:color w:val="000000"/>
                <w:sz w:val="24"/>
                <w:szCs w:val="24"/>
              </w:rPr>
              <w:t>1,835,400.00</w:t>
            </w:r>
          </w:p>
        </w:tc>
        <w:tc>
          <w:tcPr>
            <w:tcW w:w="1644" w:type="dxa"/>
            <w:vAlign w:val="center"/>
          </w:tcPr>
          <w:p w:rsidR="008817F2" w:rsidRDefault="004626EC">
            <w:pPr>
              <w:jc w:val="right"/>
            </w:pPr>
            <w:r>
              <w:rPr>
                <w:color w:val="000000"/>
                <w:sz w:val="24"/>
                <w:szCs w:val="24"/>
              </w:rPr>
              <w:t>0.72</w:t>
            </w:r>
          </w:p>
        </w:tc>
      </w:tr>
      <w:tr w:rsidR="008817F2">
        <w:trPr>
          <w:jc w:val="center"/>
        </w:trPr>
        <w:tc>
          <w:tcPr>
            <w:tcW w:w="855" w:type="dxa"/>
            <w:vAlign w:val="center"/>
          </w:tcPr>
          <w:p w:rsidR="008817F2" w:rsidRDefault="004626EC">
            <w:pPr>
              <w:jc w:val="center"/>
            </w:pPr>
            <w:r>
              <w:rPr>
                <w:color w:val="000000"/>
                <w:sz w:val="24"/>
                <w:szCs w:val="24"/>
              </w:rPr>
              <w:t>3</w:t>
            </w:r>
          </w:p>
        </w:tc>
        <w:tc>
          <w:tcPr>
            <w:tcW w:w="1334" w:type="dxa"/>
            <w:vAlign w:val="center"/>
          </w:tcPr>
          <w:p w:rsidR="008817F2" w:rsidRDefault="004626EC">
            <w:pPr>
              <w:jc w:val="center"/>
            </w:pPr>
            <w:r>
              <w:rPr>
                <w:color w:val="000000"/>
                <w:sz w:val="24"/>
                <w:szCs w:val="24"/>
              </w:rPr>
              <w:t>603369</w:t>
            </w:r>
          </w:p>
        </w:tc>
        <w:tc>
          <w:tcPr>
            <w:tcW w:w="1777" w:type="dxa"/>
            <w:vAlign w:val="center"/>
          </w:tcPr>
          <w:p w:rsidR="008817F2" w:rsidRDefault="004626EC">
            <w:pPr>
              <w:jc w:val="center"/>
            </w:pPr>
            <w:r>
              <w:rPr>
                <w:color w:val="000000"/>
                <w:sz w:val="24"/>
                <w:szCs w:val="24"/>
              </w:rPr>
              <w:t>今世缘</w:t>
            </w:r>
          </w:p>
        </w:tc>
        <w:tc>
          <w:tcPr>
            <w:tcW w:w="1334" w:type="dxa"/>
            <w:vAlign w:val="center"/>
          </w:tcPr>
          <w:p w:rsidR="008817F2" w:rsidRDefault="004626EC">
            <w:pPr>
              <w:jc w:val="right"/>
            </w:pPr>
            <w:r>
              <w:rPr>
                <w:color w:val="000000"/>
                <w:sz w:val="24"/>
                <w:szCs w:val="24"/>
              </w:rPr>
              <w:t>1,000</w:t>
            </w:r>
          </w:p>
        </w:tc>
        <w:tc>
          <w:tcPr>
            <w:tcW w:w="1924" w:type="dxa"/>
            <w:vAlign w:val="center"/>
          </w:tcPr>
          <w:p w:rsidR="008817F2" w:rsidRDefault="004626EC">
            <w:pPr>
              <w:jc w:val="right"/>
            </w:pPr>
            <w:r>
              <w:rPr>
                <w:color w:val="000000"/>
                <w:sz w:val="24"/>
                <w:szCs w:val="24"/>
              </w:rPr>
              <w:t>16,930.00</w:t>
            </w:r>
          </w:p>
        </w:tc>
        <w:tc>
          <w:tcPr>
            <w:tcW w:w="1644" w:type="dxa"/>
            <w:vAlign w:val="center"/>
          </w:tcPr>
          <w:p w:rsidR="008817F2" w:rsidRDefault="004626EC">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70,022,000.00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27.63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20,022,000.00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266,375,064.38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105.11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140,362,000.00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55.39</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40,606,400.00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517,365,464.38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204.15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817F2">
        <w:trPr>
          <w:jc w:val="center"/>
        </w:trPr>
        <w:tc>
          <w:tcPr>
            <w:tcW w:w="850" w:type="dxa"/>
            <w:vAlign w:val="center"/>
          </w:tcPr>
          <w:p w:rsidR="008817F2" w:rsidRDefault="004626EC">
            <w:pPr>
              <w:jc w:val="center"/>
            </w:pPr>
            <w:r>
              <w:rPr>
                <w:color w:val="000000"/>
                <w:sz w:val="24"/>
                <w:szCs w:val="24"/>
              </w:rPr>
              <w:t>1</w:t>
            </w:r>
          </w:p>
        </w:tc>
        <w:tc>
          <w:tcPr>
            <w:tcW w:w="1475" w:type="dxa"/>
            <w:vAlign w:val="center"/>
          </w:tcPr>
          <w:p w:rsidR="008817F2" w:rsidRDefault="004626EC">
            <w:pPr>
              <w:jc w:val="center"/>
            </w:pPr>
            <w:r>
              <w:rPr>
                <w:color w:val="000000"/>
                <w:sz w:val="24"/>
                <w:szCs w:val="24"/>
              </w:rPr>
              <w:t>120000A</w:t>
            </w:r>
          </w:p>
        </w:tc>
        <w:tc>
          <w:tcPr>
            <w:tcW w:w="1769" w:type="dxa"/>
            <w:vAlign w:val="center"/>
          </w:tcPr>
          <w:p w:rsidR="008817F2" w:rsidRDefault="004626EC">
            <w:pPr>
              <w:jc w:val="center"/>
            </w:pPr>
            <w:r>
              <w:rPr>
                <w:color w:val="000000"/>
                <w:sz w:val="24"/>
                <w:szCs w:val="24"/>
              </w:rPr>
              <w:t>12</w:t>
            </w:r>
            <w:r>
              <w:rPr>
                <w:color w:val="000000"/>
                <w:sz w:val="24"/>
                <w:szCs w:val="24"/>
              </w:rPr>
              <w:t>光大永明次级债务</w:t>
            </w:r>
          </w:p>
        </w:tc>
        <w:tc>
          <w:tcPr>
            <w:tcW w:w="1387" w:type="dxa"/>
            <w:vAlign w:val="center"/>
          </w:tcPr>
          <w:p w:rsidR="008817F2" w:rsidRDefault="004626EC">
            <w:pPr>
              <w:jc w:val="right"/>
            </w:pPr>
            <w:r>
              <w:rPr>
                <w:color w:val="000000"/>
                <w:sz w:val="24"/>
                <w:szCs w:val="24"/>
              </w:rPr>
              <w:t>500,000</w:t>
            </w:r>
          </w:p>
        </w:tc>
        <w:tc>
          <w:tcPr>
            <w:tcW w:w="2150" w:type="dxa"/>
            <w:vAlign w:val="center"/>
          </w:tcPr>
          <w:p w:rsidR="008817F2" w:rsidRDefault="004626EC">
            <w:pPr>
              <w:jc w:val="right"/>
            </w:pPr>
            <w:r>
              <w:rPr>
                <w:color w:val="000000"/>
                <w:sz w:val="24"/>
                <w:szCs w:val="24"/>
              </w:rPr>
              <w:t>50,000,000.00</w:t>
            </w:r>
          </w:p>
        </w:tc>
        <w:tc>
          <w:tcPr>
            <w:tcW w:w="1237" w:type="dxa"/>
            <w:vAlign w:val="center"/>
          </w:tcPr>
          <w:p w:rsidR="008817F2" w:rsidRDefault="004626EC">
            <w:pPr>
              <w:jc w:val="right"/>
            </w:pPr>
            <w:r>
              <w:rPr>
                <w:color w:val="000000"/>
                <w:sz w:val="24"/>
                <w:szCs w:val="24"/>
              </w:rPr>
              <w:t>19.73</w:t>
            </w:r>
          </w:p>
        </w:tc>
      </w:tr>
      <w:tr w:rsidR="008817F2">
        <w:trPr>
          <w:jc w:val="center"/>
        </w:trPr>
        <w:tc>
          <w:tcPr>
            <w:tcW w:w="850" w:type="dxa"/>
            <w:vAlign w:val="center"/>
          </w:tcPr>
          <w:p w:rsidR="008817F2" w:rsidRDefault="004626EC">
            <w:pPr>
              <w:jc w:val="center"/>
            </w:pPr>
            <w:r>
              <w:rPr>
                <w:color w:val="000000"/>
                <w:sz w:val="24"/>
                <w:szCs w:val="24"/>
              </w:rPr>
              <w:t>2</w:t>
            </w:r>
          </w:p>
        </w:tc>
        <w:tc>
          <w:tcPr>
            <w:tcW w:w="1475" w:type="dxa"/>
            <w:vAlign w:val="center"/>
          </w:tcPr>
          <w:p w:rsidR="008817F2" w:rsidRDefault="004626EC">
            <w:pPr>
              <w:jc w:val="center"/>
            </w:pPr>
            <w:r>
              <w:rPr>
                <w:color w:val="000000"/>
                <w:sz w:val="24"/>
                <w:szCs w:val="24"/>
              </w:rPr>
              <w:t>101460001</w:t>
            </w:r>
          </w:p>
        </w:tc>
        <w:tc>
          <w:tcPr>
            <w:tcW w:w="1769" w:type="dxa"/>
            <w:vAlign w:val="center"/>
          </w:tcPr>
          <w:p w:rsidR="008817F2" w:rsidRDefault="004626EC">
            <w:pPr>
              <w:jc w:val="center"/>
            </w:pPr>
            <w:r>
              <w:rPr>
                <w:color w:val="000000"/>
                <w:sz w:val="24"/>
                <w:szCs w:val="24"/>
              </w:rPr>
              <w:t>14</w:t>
            </w:r>
            <w:r>
              <w:rPr>
                <w:color w:val="000000"/>
                <w:sz w:val="24"/>
                <w:szCs w:val="24"/>
              </w:rPr>
              <w:t>闽电信</w:t>
            </w:r>
            <w:r>
              <w:rPr>
                <w:color w:val="000000"/>
                <w:sz w:val="24"/>
                <w:szCs w:val="24"/>
              </w:rPr>
              <w:t>MTN001</w:t>
            </w:r>
          </w:p>
        </w:tc>
        <w:tc>
          <w:tcPr>
            <w:tcW w:w="1387" w:type="dxa"/>
            <w:vAlign w:val="center"/>
          </w:tcPr>
          <w:p w:rsidR="008817F2" w:rsidRDefault="004626EC">
            <w:pPr>
              <w:jc w:val="right"/>
            </w:pPr>
            <w:r>
              <w:rPr>
                <w:color w:val="000000"/>
                <w:sz w:val="24"/>
                <w:szCs w:val="24"/>
              </w:rPr>
              <w:t>300,000</w:t>
            </w:r>
          </w:p>
        </w:tc>
        <w:tc>
          <w:tcPr>
            <w:tcW w:w="2150" w:type="dxa"/>
            <w:vAlign w:val="center"/>
          </w:tcPr>
          <w:p w:rsidR="008817F2" w:rsidRDefault="004626EC">
            <w:pPr>
              <w:jc w:val="right"/>
            </w:pPr>
            <w:r>
              <w:rPr>
                <w:color w:val="000000"/>
                <w:sz w:val="24"/>
                <w:szCs w:val="24"/>
              </w:rPr>
              <w:t>30,606,000.00</w:t>
            </w:r>
          </w:p>
        </w:tc>
        <w:tc>
          <w:tcPr>
            <w:tcW w:w="1237" w:type="dxa"/>
            <w:vAlign w:val="center"/>
          </w:tcPr>
          <w:p w:rsidR="008817F2" w:rsidRDefault="004626EC">
            <w:pPr>
              <w:jc w:val="right"/>
            </w:pPr>
            <w:r>
              <w:rPr>
                <w:color w:val="000000"/>
                <w:sz w:val="24"/>
                <w:szCs w:val="24"/>
              </w:rPr>
              <w:t>12.08</w:t>
            </w:r>
          </w:p>
        </w:tc>
      </w:tr>
      <w:tr w:rsidR="008817F2">
        <w:trPr>
          <w:jc w:val="center"/>
        </w:trPr>
        <w:tc>
          <w:tcPr>
            <w:tcW w:w="850" w:type="dxa"/>
            <w:vAlign w:val="center"/>
          </w:tcPr>
          <w:p w:rsidR="008817F2" w:rsidRDefault="004626EC">
            <w:pPr>
              <w:jc w:val="center"/>
            </w:pPr>
            <w:r>
              <w:rPr>
                <w:color w:val="000000"/>
                <w:sz w:val="24"/>
                <w:szCs w:val="24"/>
              </w:rPr>
              <w:t>3</w:t>
            </w:r>
          </w:p>
        </w:tc>
        <w:tc>
          <w:tcPr>
            <w:tcW w:w="1475" w:type="dxa"/>
            <w:vAlign w:val="center"/>
          </w:tcPr>
          <w:p w:rsidR="008817F2" w:rsidRDefault="004626EC">
            <w:pPr>
              <w:jc w:val="center"/>
            </w:pPr>
            <w:r>
              <w:rPr>
                <w:color w:val="000000"/>
                <w:sz w:val="24"/>
                <w:szCs w:val="24"/>
              </w:rPr>
              <w:t>124274</w:t>
            </w:r>
          </w:p>
        </w:tc>
        <w:tc>
          <w:tcPr>
            <w:tcW w:w="1769" w:type="dxa"/>
            <w:vAlign w:val="center"/>
          </w:tcPr>
          <w:p w:rsidR="008817F2" w:rsidRDefault="004626EC">
            <w:pPr>
              <w:jc w:val="center"/>
            </w:pPr>
            <w:r>
              <w:rPr>
                <w:color w:val="000000"/>
                <w:sz w:val="24"/>
                <w:szCs w:val="24"/>
              </w:rPr>
              <w:t>13</w:t>
            </w:r>
            <w:r>
              <w:rPr>
                <w:color w:val="000000"/>
                <w:sz w:val="24"/>
                <w:szCs w:val="24"/>
              </w:rPr>
              <w:t>徽南翔</w:t>
            </w:r>
          </w:p>
        </w:tc>
        <w:tc>
          <w:tcPr>
            <w:tcW w:w="1387" w:type="dxa"/>
            <w:vAlign w:val="center"/>
          </w:tcPr>
          <w:p w:rsidR="008817F2" w:rsidRDefault="004626EC">
            <w:pPr>
              <w:jc w:val="right"/>
            </w:pPr>
            <w:r>
              <w:rPr>
                <w:color w:val="000000"/>
                <w:sz w:val="24"/>
                <w:szCs w:val="24"/>
              </w:rPr>
              <w:t>300,000</w:t>
            </w:r>
          </w:p>
        </w:tc>
        <w:tc>
          <w:tcPr>
            <w:tcW w:w="2150" w:type="dxa"/>
            <w:vAlign w:val="center"/>
          </w:tcPr>
          <w:p w:rsidR="008817F2" w:rsidRDefault="004626EC">
            <w:pPr>
              <w:jc w:val="right"/>
            </w:pPr>
            <w:r>
              <w:rPr>
                <w:color w:val="000000"/>
                <w:sz w:val="24"/>
                <w:szCs w:val="24"/>
              </w:rPr>
              <w:t>29,730,000.00</w:t>
            </w:r>
          </w:p>
        </w:tc>
        <w:tc>
          <w:tcPr>
            <w:tcW w:w="1237" w:type="dxa"/>
            <w:vAlign w:val="center"/>
          </w:tcPr>
          <w:p w:rsidR="008817F2" w:rsidRDefault="004626EC">
            <w:pPr>
              <w:jc w:val="right"/>
            </w:pPr>
            <w:r>
              <w:rPr>
                <w:color w:val="000000"/>
                <w:sz w:val="24"/>
                <w:szCs w:val="24"/>
              </w:rPr>
              <w:t>11.73</w:t>
            </w:r>
          </w:p>
        </w:tc>
      </w:tr>
      <w:tr w:rsidR="008817F2">
        <w:trPr>
          <w:jc w:val="center"/>
        </w:trPr>
        <w:tc>
          <w:tcPr>
            <w:tcW w:w="850" w:type="dxa"/>
            <w:vAlign w:val="center"/>
          </w:tcPr>
          <w:p w:rsidR="008817F2" w:rsidRDefault="004626EC">
            <w:pPr>
              <w:jc w:val="center"/>
            </w:pPr>
            <w:r>
              <w:rPr>
                <w:color w:val="000000"/>
                <w:sz w:val="24"/>
                <w:szCs w:val="24"/>
              </w:rPr>
              <w:t>4</w:t>
            </w:r>
          </w:p>
        </w:tc>
        <w:tc>
          <w:tcPr>
            <w:tcW w:w="1475" w:type="dxa"/>
            <w:vAlign w:val="center"/>
          </w:tcPr>
          <w:p w:rsidR="008817F2" w:rsidRDefault="004626EC">
            <w:pPr>
              <w:jc w:val="center"/>
            </w:pPr>
            <w:r>
              <w:rPr>
                <w:color w:val="000000"/>
                <w:sz w:val="24"/>
                <w:szCs w:val="24"/>
              </w:rPr>
              <w:t>1282248</w:t>
            </w:r>
          </w:p>
        </w:tc>
        <w:tc>
          <w:tcPr>
            <w:tcW w:w="1769" w:type="dxa"/>
            <w:vAlign w:val="center"/>
          </w:tcPr>
          <w:p w:rsidR="008817F2" w:rsidRDefault="004626EC">
            <w:pPr>
              <w:jc w:val="center"/>
            </w:pPr>
            <w:r>
              <w:rPr>
                <w:color w:val="000000"/>
                <w:sz w:val="24"/>
                <w:szCs w:val="24"/>
              </w:rPr>
              <w:t>12</w:t>
            </w:r>
            <w:r>
              <w:rPr>
                <w:color w:val="000000"/>
                <w:sz w:val="24"/>
                <w:szCs w:val="24"/>
              </w:rPr>
              <w:t>盈德</w:t>
            </w:r>
            <w:r>
              <w:rPr>
                <w:color w:val="000000"/>
                <w:sz w:val="24"/>
                <w:szCs w:val="24"/>
              </w:rPr>
              <w:t>MTN1</w:t>
            </w:r>
          </w:p>
        </w:tc>
        <w:tc>
          <w:tcPr>
            <w:tcW w:w="1387" w:type="dxa"/>
            <w:vAlign w:val="center"/>
          </w:tcPr>
          <w:p w:rsidR="008817F2" w:rsidRDefault="004626EC">
            <w:pPr>
              <w:jc w:val="right"/>
            </w:pPr>
            <w:r>
              <w:rPr>
                <w:color w:val="000000"/>
                <w:sz w:val="24"/>
                <w:szCs w:val="24"/>
              </w:rPr>
              <w:t>300,000</w:t>
            </w:r>
          </w:p>
        </w:tc>
        <w:tc>
          <w:tcPr>
            <w:tcW w:w="2150" w:type="dxa"/>
            <w:vAlign w:val="center"/>
          </w:tcPr>
          <w:p w:rsidR="008817F2" w:rsidRDefault="004626EC">
            <w:pPr>
              <w:jc w:val="right"/>
            </w:pPr>
            <w:r>
              <w:rPr>
                <w:color w:val="000000"/>
                <w:sz w:val="24"/>
                <w:szCs w:val="24"/>
              </w:rPr>
              <w:t>29,565,000.00</w:t>
            </w:r>
          </w:p>
        </w:tc>
        <w:tc>
          <w:tcPr>
            <w:tcW w:w="1237" w:type="dxa"/>
            <w:vAlign w:val="center"/>
          </w:tcPr>
          <w:p w:rsidR="008817F2" w:rsidRDefault="004626EC">
            <w:pPr>
              <w:jc w:val="right"/>
            </w:pPr>
            <w:r>
              <w:rPr>
                <w:color w:val="000000"/>
                <w:sz w:val="24"/>
                <w:szCs w:val="24"/>
              </w:rPr>
              <w:t>11.67</w:t>
            </w:r>
          </w:p>
        </w:tc>
      </w:tr>
      <w:tr w:rsidR="008817F2">
        <w:trPr>
          <w:jc w:val="center"/>
        </w:trPr>
        <w:tc>
          <w:tcPr>
            <w:tcW w:w="850" w:type="dxa"/>
            <w:vAlign w:val="center"/>
          </w:tcPr>
          <w:p w:rsidR="008817F2" w:rsidRDefault="004626EC">
            <w:pPr>
              <w:jc w:val="center"/>
            </w:pPr>
            <w:r>
              <w:rPr>
                <w:color w:val="000000"/>
                <w:sz w:val="24"/>
                <w:szCs w:val="24"/>
              </w:rPr>
              <w:t>5</w:t>
            </w:r>
          </w:p>
        </w:tc>
        <w:tc>
          <w:tcPr>
            <w:tcW w:w="1475" w:type="dxa"/>
            <w:vAlign w:val="center"/>
          </w:tcPr>
          <w:p w:rsidR="008817F2" w:rsidRDefault="004626EC">
            <w:pPr>
              <w:jc w:val="center"/>
            </w:pPr>
            <w:r>
              <w:rPr>
                <w:color w:val="000000"/>
                <w:sz w:val="24"/>
                <w:szCs w:val="24"/>
              </w:rPr>
              <w:t>1182305</w:t>
            </w:r>
          </w:p>
        </w:tc>
        <w:tc>
          <w:tcPr>
            <w:tcW w:w="1769" w:type="dxa"/>
            <w:vAlign w:val="center"/>
          </w:tcPr>
          <w:p w:rsidR="008817F2" w:rsidRDefault="004626EC">
            <w:pPr>
              <w:jc w:val="center"/>
            </w:pPr>
            <w:r>
              <w:rPr>
                <w:color w:val="000000"/>
                <w:sz w:val="24"/>
                <w:szCs w:val="24"/>
              </w:rPr>
              <w:t>11</w:t>
            </w:r>
            <w:r>
              <w:rPr>
                <w:color w:val="000000"/>
                <w:sz w:val="24"/>
                <w:szCs w:val="24"/>
              </w:rPr>
              <w:t>阜新矿</w:t>
            </w:r>
            <w:r>
              <w:rPr>
                <w:color w:val="000000"/>
                <w:sz w:val="24"/>
                <w:szCs w:val="24"/>
              </w:rPr>
              <w:t>MTN1</w:t>
            </w:r>
          </w:p>
        </w:tc>
        <w:tc>
          <w:tcPr>
            <w:tcW w:w="1387" w:type="dxa"/>
            <w:vAlign w:val="center"/>
          </w:tcPr>
          <w:p w:rsidR="008817F2" w:rsidRDefault="004626EC">
            <w:pPr>
              <w:jc w:val="right"/>
            </w:pPr>
            <w:r>
              <w:rPr>
                <w:color w:val="000000"/>
                <w:sz w:val="24"/>
                <w:szCs w:val="24"/>
              </w:rPr>
              <w:t>200,000</w:t>
            </w:r>
          </w:p>
        </w:tc>
        <w:tc>
          <w:tcPr>
            <w:tcW w:w="2150" w:type="dxa"/>
            <w:vAlign w:val="center"/>
          </w:tcPr>
          <w:p w:rsidR="008817F2" w:rsidRDefault="004626EC">
            <w:pPr>
              <w:jc w:val="right"/>
            </w:pPr>
            <w:r>
              <w:rPr>
                <w:color w:val="000000"/>
                <w:sz w:val="24"/>
                <w:szCs w:val="24"/>
              </w:rPr>
              <w:t>20,412,000.00</w:t>
            </w:r>
          </w:p>
        </w:tc>
        <w:tc>
          <w:tcPr>
            <w:tcW w:w="1237" w:type="dxa"/>
            <w:vAlign w:val="center"/>
          </w:tcPr>
          <w:p w:rsidR="008817F2" w:rsidRDefault="004626EC">
            <w:pPr>
              <w:jc w:val="right"/>
            </w:pPr>
            <w:r>
              <w:rPr>
                <w:color w:val="000000"/>
                <w:sz w:val="24"/>
                <w:szCs w:val="24"/>
              </w:rPr>
              <w:t>8.05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注：因</w:t>
      </w:r>
      <w:r w:rsidRPr="00414345">
        <w:rPr>
          <w:color w:val="000000"/>
          <w:sz w:val="24"/>
          <w:szCs w:val="24"/>
        </w:rPr>
        <w:t>“12</w:t>
      </w:r>
      <w:r w:rsidRPr="00414345">
        <w:rPr>
          <w:color w:val="000000"/>
          <w:sz w:val="24"/>
          <w:szCs w:val="24"/>
        </w:rPr>
        <w:t>光大永明次级债</w:t>
      </w:r>
      <w:r w:rsidRPr="00414345">
        <w:rPr>
          <w:color w:val="000000"/>
          <w:sz w:val="24"/>
          <w:szCs w:val="24"/>
        </w:rPr>
        <w:t>”</w:t>
      </w:r>
      <w:r w:rsidRPr="00414345">
        <w:rPr>
          <w:color w:val="000000"/>
          <w:sz w:val="24"/>
          <w:szCs w:val="24"/>
        </w:rPr>
        <w:t>暂无市场代码，上表中债券代码</w:t>
      </w:r>
      <w:r w:rsidRPr="00414345">
        <w:rPr>
          <w:color w:val="000000"/>
          <w:sz w:val="24"/>
          <w:szCs w:val="24"/>
        </w:rPr>
        <w:t>“120000A”</w:t>
      </w:r>
      <w:r w:rsidRPr="00414345">
        <w:rPr>
          <w:color w:val="000000"/>
          <w:sz w:val="24"/>
          <w:szCs w:val="24"/>
        </w:rPr>
        <w:t>为系统虚拟代码。</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162,605.43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4,408,270.65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11,438,832.15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7,198.76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30,247.08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16,047,154.07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8817F2">
        <w:trPr>
          <w:jc w:val="center"/>
        </w:trPr>
        <w:tc>
          <w:tcPr>
            <w:tcW w:w="1883" w:type="dxa"/>
            <w:vAlign w:val="center"/>
          </w:tcPr>
          <w:p w:rsidR="008817F2" w:rsidRDefault="004626EC">
            <w:pPr>
              <w:jc w:val="center"/>
            </w:pPr>
            <w:r>
              <w:rPr>
                <w:color w:val="000000"/>
                <w:sz w:val="24"/>
                <w:szCs w:val="24"/>
              </w:rPr>
              <w:t>1</w:t>
            </w:r>
          </w:p>
        </w:tc>
        <w:tc>
          <w:tcPr>
            <w:tcW w:w="1801" w:type="dxa"/>
            <w:vAlign w:val="center"/>
          </w:tcPr>
          <w:p w:rsidR="008817F2" w:rsidRDefault="004626EC">
            <w:pPr>
              <w:jc w:val="center"/>
            </w:pPr>
            <w:r>
              <w:rPr>
                <w:color w:val="000000"/>
                <w:sz w:val="24"/>
                <w:szCs w:val="24"/>
              </w:rPr>
              <w:t>113005</w:t>
            </w:r>
          </w:p>
        </w:tc>
        <w:tc>
          <w:tcPr>
            <w:tcW w:w="1727" w:type="dxa"/>
            <w:vAlign w:val="center"/>
          </w:tcPr>
          <w:p w:rsidR="008817F2" w:rsidRDefault="004626EC">
            <w:pPr>
              <w:jc w:val="center"/>
            </w:pPr>
            <w:r>
              <w:rPr>
                <w:color w:val="000000"/>
                <w:sz w:val="24"/>
                <w:szCs w:val="24"/>
              </w:rPr>
              <w:t>平安转债</w:t>
            </w:r>
          </w:p>
        </w:tc>
        <w:tc>
          <w:tcPr>
            <w:tcW w:w="1768" w:type="dxa"/>
            <w:vAlign w:val="center"/>
          </w:tcPr>
          <w:p w:rsidR="008817F2" w:rsidRDefault="004626EC">
            <w:pPr>
              <w:jc w:val="right"/>
            </w:pPr>
            <w:r>
              <w:rPr>
                <w:color w:val="000000"/>
                <w:sz w:val="24"/>
                <w:szCs w:val="24"/>
              </w:rPr>
              <w:t>10,682,000.00</w:t>
            </w:r>
          </w:p>
        </w:tc>
        <w:tc>
          <w:tcPr>
            <w:tcW w:w="1689" w:type="dxa"/>
            <w:vAlign w:val="center"/>
          </w:tcPr>
          <w:p w:rsidR="008817F2" w:rsidRDefault="004626EC">
            <w:pPr>
              <w:jc w:val="right"/>
            </w:pPr>
            <w:r>
              <w:rPr>
                <w:color w:val="000000"/>
                <w:sz w:val="24"/>
                <w:szCs w:val="24"/>
              </w:rPr>
              <w:t>4.21</w:t>
            </w:r>
          </w:p>
        </w:tc>
      </w:tr>
      <w:tr w:rsidR="008817F2">
        <w:trPr>
          <w:jc w:val="center"/>
        </w:trPr>
        <w:tc>
          <w:tcPr>
            <w:tcW w:w="1883" w:type="dxa"/>
            <w:vAlign w:val="center"/>
          </w:tcPr>
          <w:p w:rsidR="008817F2" w:rsidRDefault="004626EC">
            <w:pPr>
              <w:jc w:val="center"/>
            </w:pPr>
            <w:r>
              <w:rPr>
                <w:color w:val="000000"/>
                <w:sz w:val="24"/>
                <w:szCs w:val="24"/>
              </w:rPr>
              <w:t>2</w:t>
            </w:r>
          </w:p>
        </w:tc>
        <w:tc>
          <w:tcPr>
            <w:tcW w:w="1801" w:type="dxa"/>
            <w:vAlign w:val="center"/>
          </w:tcPr>
          <w:p w:rsidR="008817F2" w:rsidRDefault="004626EC">
            <w:pPr>
              <w:jc w:val="center"/>
            </w:pPr>
            <w:r>
              <w:rPr>
                <w:color w:val="000000"/>
                <w:sz w:val="24"/>
                <w:szCs w:val="24"/>
              </w:rPr>
              <w:t>110024</w:t>
            </w:r>
          </w:p>
        </w:tc>
        <w:tc>
          <w:tcPr>
            <w:tcW w:w="1727" w:type="dxa"/>
            <w:vAlign w:val="center"/>
          </w:tcPr>
          <w:p w:rsidR="008817F2" w:rsidRDefault="004626EC">
            <w:pPr>
              <w:jc w:val="center"/>
            </w:pPr>
            <w:r>
              <w:rPr>
                <w:color w:val="000000"/>
                <w:sz w:val="24"/>
                <w:szCs w:val="24"/>
              </w:rPr>
              <w:t>隧道转债</w:t>
            </w:r>
          </w:p>
        </w:tc>
        <w:tc>
          <w:tcPr>
            <w:tcW w:w="1768" w:type="dxa"/>
            <w:vAlign w:val="center"/>
          </w:tcPr>
          <w:p w:rsidR="008817F2" w:rsidRDefault="004626EC">
            <w:pPr>
              <w:jc w:val="right"/>
            </w:pPr>
            <w:r>
              <w:rPr>
                <w:color w:val="000000"/>
                <w:sz w:val="24"/>
                <w:szCs w:val="24"/>
              </w:rPr>
              <w:t>8,632,000.00</w:t>
            </w:r>
          </w:p>
        </w:tc>
        <w:tc>
          <w:tcPr>
            <w:tcW w:w="1689" w:type="dxa"/>
            <w:vAlign w:val="center"/>
          </w:tcPr>
          <w:p w:rsidR="008817F2" w:rsidRDefault="004626EC">
            <w:pPr>
              <w:jc w:val="right"/>
            </w:pPr>
            <w:r>
              <w:rPr>
                <w:color w:val="000000"/>
                <w:sz w:val="24"/>
                <w:szCs w:val="24"/>
              </w:rPr>
              <w:t>3.41</w:t>
            </w:r>
          </w:p>
        </w:tc>
      </w:tr>
      <w:tr w:rsidR="008817F2">
        <w:trPr>
          <w:jc w:val="center"/>
        </w:trPr>
        <w:tc>
          <w:tcPr>
            <w:tcW w:w="1883" w:type="dxa"/>
            <w:vAlign w:val="center"/>
          </w:tcPr>
          <w:p w:rsidR="008817F2" w:rsidRDefault="004626EC">
            <w:pPr>
              <w:jc w:val="center"/>
            </w:pPr>
            <w:r>
              <w:rPr>
                <w:color w:val="000000"/>
                <w:sz w:val="24"/>
                <w:szCs w:val="24"/>
              </w:rPr>
              <w:t>3</w:t>
            </w:r>
          </w:p>
        </w:tc>
        <w:tc>
          <w:tcPr>
            <w:tcW w:w="1801" w:type="dxa"/>
            <w:vAlign w:val="center"/>
          </w:tcPr>
          <w:p w:rsidR="008817F2" w:rsidRDefault="004626EC">
            <w:pPr>
              <w:jc w:val="center"/>
            </w:pPr>
            <w:r>
              <w:rPr>
                <w:color w:val="000000"/>
                <w:sz w:val="24"/>
                <w:szCs w:val="24"/>
              </w:rPr>
              <w:t>113002</w:t>
            </w:r>
          </w:p>
        </w:tc>
        <w:tc>
          <w:tcPr>
            <w:tcW w:w="1727" w:type="dxa"/>
            <w:vAlign w:val="center"/>
          </w:tcPr>
          <w:p w:rsidR="008817F2" w:rsidRDefault="004626EC">
            <w:pPr>
              <w:jc w:val="center"/>
            </w:pPr>
            <w:r>
              <w:rPr>
                <w:color w:val="000000"/>
                <w:sz w:val="24"/>
                <w:szCs w:val="24"/>
              </w:rPr>
              <w:t>工行转债</w:t>
            </w:r>
          </w:p>
        </w:tc>
        <w:tc>
          <w:tcPr>
            <w:tcW w:w="1768" w:type="dxa"/>
            <w:vAlign w:val="center"/>
          </w:tcPr>
          <w:p w:rsidR="008817F2" w:rsidRDefault="004626EC">
            <w:pPr>
              <w:jc w:val="right"/>
            </w:pPr>
            <w:r>
              <w:rPr>
                <w:color w:val="000000"/>
                <w:sz w:val="24"/>
                <w:szCs w:val="24"/>
              </w:rPr>
              <w:t>5,270,000.00</w:t>
            </w:r>
          </w:p>
        </w:tc>
        <w:tc>
          <w:tcPr>
            <w:tcW w:w="1689" w:type="dxa"/>
            <w:vAlign w:val="center"/>
          </w:tcPr>
          <w:p w:rsidR="008817F2" w:rsidRDefault="004626EC">
            <w:pPr>
              <w:jc w:val="right"/>
            </w:pPr>
            <w:r>
              <w:rPr>
                <w:color w:val="000000"/>
                <w:sz w:val="24"/>
                <w:szCs w:val="24"/>
              </w:rPr>
              <w:t>2.08</w:t>
            </w:r>
          </w:p>
        </w:tc>
      </w:tr>
      <w:tr w:rsidR="008817F2">
        <w:trPr>
          <w:jc w:val="center"/>
        </w:trPr>
        <w:tc>
          <w:tcPr>
            <w:tcW w:w="1883" w:type="dxa"/>
            <w:vAlign w:val="center"/>
          </w:tcPr>
          <w:p w:rsidR="008817F2" w:rsidRDefault="004626EC">
            <w:pPr>
              <w:jc w:val="center"/>
            </w:pPr>
            <w:r>
              <w:rPr>
                <w:color w:val="000000"/>
                <w:sz w:val="24"/>
                <w:szCs w:val="24"/>
              </w:rPr>
              <w:t>4</w:t>
            </w:r>
          </w:p>
        </w:tc>
        <w:tc>
          <w:tcPr>
            <w:tcW w:w="1801" w:type="dxa"/>
            <w:vAlign w:val="center"/>
          </w:tcPr>
          <w:p w:rsidR="008817F2" w:rsidRDefault="004626EC">
            <w:pPr>
              <w:jc w:val="center"/>
            </w:pPr>
            <w:r>
              <w:rPr>
                <w:color w:val="000000"/>
                <w:sz w:val="24"/>
                <w:szCs w:val="24"/>
              </w:rPr>
              <w:t>113003</w:t>
            </w:r>
          </w:p>
        </w:tc>
        <w:tc>
          <w:tcPr>
            <w:tcW w:w="1727" w:type="dxa"/>
            <w:vAlign w:val="center"/>
          </w:tcPr>
          <w:p w:rsidR="008817F2" w:rsidRDefault="004626EC">
            <w:pPr>
              <w:jc w:val="center"/>
            </w:pPr>
            <w:r>
              <w:rPr>
                <w:color w:val="000000"/>
                <w:sz w:val="24"/>
                <w:szCs w:val="24"/>
              </w:rPr>
              <w:t>重工转债</w:t>
            </w:r>
          </w:p>
        </w:tc>
        <w:tc>
          <w:tcPr>
            <w:tcW w:w="1768" w:type="dxa"/>
            <w:vAlign w:val="center"/>
          </w:tcPr>
          <w:p w:rsidR="008817F2" w:rsidRDefault="004626EC">
            <w:pPr>
              <w:jc w:val="right"/>
            </w:pPr>
            <w:r>
              <w:rPr>
                <w:color w:val="000000"/>
                <w:sz w:val="24"/>
                <w:szCs w:val="24"/>
              </w:rPr>
              <w:t>4,542,400.00</w:t>
            </w:r>
          </w:p>
        </w:tc>
        <w:tc>
          <w:tcPr>
            <w:tcW w:w="1689" w:type="dxa"/>
            <w:vAlign w:val="center"/>
          </w:tcPr>
          <w:p w:rsidR="008817F2" w:rsidRDefault="004626EC">
            <w:pPr>
              <w:jc w:val="right"/>
            </w:pPr>
            <w:r>
              <w:rPr>
                <w:color w:val="000000"/>
                <w:sz w:val="24"/>
                <w:szCs w:val="24"/>
              </w:rPr>
              <w:t>1.79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817F2">
        <w:trPr>
          <w:jc w:val="center"/>
        </w:trPr>
        <w:tc>
          <w:tcPr>
            <w:tcW w:w="1129" w:type="dxa"/>
            <w:vAlign w:val="center"/>
          </w:tcPr>
          <w:p w:rsidR="008817F2" w:rsidRDefault="004626EC">
            <w:pPr>
              <w:jc w:val="center"/>
            </w:pPr>
            <w:r>
              <w:rPr>
                <w:color w:val="000000"/>
                <w:sz w:val="24"/>
                <w:szCs w:val="24"/>
              </w:rPr>
              <w:t>1</w:t>
            </w:r>
          </w:p>
        </w:tc>
        <w:tc>
          <w:tcPr>
            <w:tcW w:w="1356" w:type="dxa"/>
            <w:vAlign w:val="center"/>
          </w:tcPr>
          <w:p w:rsidR="008817F2" w:rsidRDefault="00B70E52">
            <w:pPr>
              <w:jc w:val="center"/>
            </w:pPr>
            <w:r>
              <w:rPr>
                <w:color w:val="000000"/>
                <w:sz w:val="24"/>
                <w:szCs w:val="24"/>
              </w:rPr>
              <w:t>603369</w:t>
            </w:r>
          </w:p>
        </w:tc>
        <w:tc>
          <w:tcPr>
            <w:tcW w:w="1355" w:type="dxa"/>
            <w:vAlign w:val="center"/>
          </w:tcPr>
          <w:p w:rsidR="008817F2" w:rsidRDefault="004626EC">
            <w:pPr>
              <w:jc w:val="center"/>
            </w:pPr>
            <w:r>
              <w:rPr>
                <w:color w:val="000000"/>
                <w:sz w:val="24"/>
                <w:szCs w:val="24"/>
              </w:rPr>
              <w:t>今世缘</w:t>
            </w:r>
          </w:p>
        </w:tc>
        <w:tc>
          <w:tcPr>
            <w:tcW w:w="1880" w:type="dxa"/>
            <w:vAlign w:val="center"/>
          </w:tcPr>
          <w:p w:rsidR="008817F2" w:rsidRDefault="004626EC">
            <w:pPr>
              <w:jc w:val="right"/>
            </w:pPr>
            <w:r>
              <w:rPr>
                <w:color w:val="000000"/>
                <w:sz w:val="24"/>
                <w:szCs w:val="24"/>
              </w:rPr>
              <w:t>16,930.00</w:t>
            </w:r>
          </w:p>
        </w:tc>
        <w:tc>
          <w:tcPr>
            <w:tcW w:w="1724" w:type="dxa"/>
            <w:vAlign w:val="center"/>
          </w:tcPr>
          <w:p w:rsidR="008817F2" w:rsidRDefault="004626EC">
            <w:pPr>
              <w:jc w:val="right"/>
            </w:pPr>
            <w:r>
              <w:rPr>
                <w:color w:val="000000"/>
                <w:sz w:val="24"/>
                <w:szCs w:val="24"/>
              </w:rPr>
              <w:t>0.01</w:t>
            </w:r>
          </w:p>
        </w:tc>
        <w:tc>
          <w:tcPr>
            <w:tcW w:w="1424" w:type="dxa"/>
            <w:vAlign w:val="center"/>
          </w:tcPr>
          <w:p w:rsidR="008817F2" w:rsidRDefault="004626EC">
            <w:pPr>
              <w:jc w:val="right"/>
            </w:pPr>
            <w:r>
              <w:rPr>
                <w:color w:val="000000"/>
                <w:sz w:val="24"/>
                <w:szCs w:val="24"/>
              </w:rPr>
              <w:t>新股网上申购</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489,645,639.70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2,446,550.34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246,831,941.59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245,260,248.45</w:t>
            </w:r>
          </w:p>
        </w:tc>
      </w:tr>
    </w:tbl>
    <w:p w:rsidR="008817F2" w:rsidRDefault="004626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1187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报告期内，本基金持有的</w:t>
      </w:r>
      <w:r w:rsidRPr="00414345">
        <w:rPr>
          <w:color w:val="000000"/>
          <w:sz w:val="24"/>
          <w:szCs w:val="24"/>
        </w:rPr>
        <w:t>“13</w:t>
      </w:r>
      <w:r w:rsidRPr="00414345">
        <w:rPr>
          <w:color w:val="000000"/>
          <w:sz w:val="24"/>
          <w:szCs w:val="24"/>
        </w:rPr>
        <w:t>宛城投</w:t>
      </w:r>
      <w:r w:rsidRPr="00414345">
        <w:rPr>
          <w:color w:val="000000"/>
          <w:sz w:val="24"/>
          <w:szCs w:val="24"/>
        </w:rPr>
        <w:t>”</w:t>
      </w:r>
      <w:r w:rsidRPr="00414345">
        <w:rPr>
          <w:color w:val="000000"/>
          <w:sz w:val="24"/>
          <w:szCs w:val="24"/>
        </w:rPr>
        <w:t>债券（代码：</w:t>
      </w:r>
      <w:r w:rsidRPr="00414345">
        <w:rPr>
          <w:color w:val="000000"/>
          <w:sz w:val="24"/>
          <w:szCs w:val="24"/>
        </w:rPr>
        <w:t>124408</w:t>
      </w:r>
      <w:r w:rsidRPr="00414345">
        <w:rPr>
          <w:color w:val="000000"/>
          <w:sz w:val="24"/>
          <w:szCs w:val="24"/>
        </w:rPr>
        <w:t>）</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28</w:t>
      </w:r>
      <w:r w:rsidRPr="00414345">
        <w:rPr>
          <w:color w:val="000000"/>
          <w:sz w:val="24"/>
          <w:szCs w:val="24"/>
        </w:rPr>
        <w:t>日交易不活跃，成交价格严重偏离。为使持有该债券的基金估值更加公平、合理，依据中国证监会《关于进一步规范证券投资基金估值业务的指导意见》（证监会公告</w:t>
      </w:r>
      <w:r w:rsidRPr="00414345">
        <w:rPr>
          <w:color w:val="000000"/>
          <w:sz w:val="24"/>
          <w:szCs w:val="24"/>
        </w:rPr>
        <w:t>[2008]38</w:t>
      </w:r>
      <w:r w:rsidRPr="00414345">
        <w:rPr>
          <w:color w:val="000000"/>
          <w:sz w:val="24"/>
          <w:szCs w:val="24"/>
        </w:rPr>
        <w:t>号）</w:t>
      </w:r>
      <w:r w:rsidRPr="00414345">
        <w:rPr>
          <w:color w:val="000000"/>
          <w:sz w:val="24"/>
          <w:szCs w:val="24"/>
        </w:rPr>
        <w:lastRenderedPageBreak/>
        <w:t>的有关规定及本基金管理人的估值政策和程序，经和基金托管人协商，本基金管理人决定于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28</w:t>
      </w:r>
      <w:r w:rsidRPr="00414345">
        <w:rPr>
          <w:color w:val="000000"/>
          <w:sz w:val="24"/>
          <w:szCs w:val="24"/>
        </w:rPr>
        <w:t>日起对本基金持有的</w:t>
      </w:r>
      <w:r w:rsidRPr="00414345">
        <w:rPr>
          <w:color w:val="000000"/>
          <w:sz w:val="24"/>
          <w:szCs w:val="24"/>
        </w:rPr>
        <w:t>“13</w:t>
      </w:r>
      <w:r w:rsidRPr="00414345">
        <w:rPr>
          <w:color w:val="000000"/>
          <w:sz w:val="24"/>
          <w:szCs w:val="24"/>
        </w:rPr>
        <w:t>宛城投</w:t>
      </w:r>
      <w:r w:rsidRPr="00414345">
        <w:rPr>
          <w:color w:val="000000"/>
          <w:sz w:val="24"/>
          <w:szCs w:val="24"/>
        </w:rPr>
        <w:t>”</w:t>
      </w:r>
      <w:r w:rsidRPr="00414345">
        <w:rPr>
          <w:color w:val="000000"/>
          <w:sz w:val="24"/>
          <w:szCs w:val="24"/>
        </w:rPr>
        <w:t>债券的估值价按前一交易日的收盘价计算。在</w:t>
      </w:r>
      <w:r w:rsidRPr="00414345">
        <w:rPr>
          <w:color w:val="000000"/>
          <w:sz w:val="24"/>
          <w:szCs w:val="24"/>
        </w:rPr>
        <w:t>“13</w:t>
      </w:r>
      <w:r w:rsidRPr="00414345">
        <w:rPr>
          <w:color w:val="000000"/>
          <w:sz w:val="24"/>
          <w:szCs w:val="24"/>
        </w:rPr>
        <w:t>宛城投</w:t>
      </w:r>
      <w:r w:rsidRPr="00414345">
        <w:rPr>
          <w:color w:val="000000"/>
          <w:sz w:val="24"/>
          <w:szCs w:val="24"/>
        </w:rPr>
        <w:t>”</w:t>
      </w:r>
      <w:r w:rsidRPr="00414345">
        <w:rPr>
          <w:color w:val="000000"/>
          <w:sz w:val="24"/>
          <w:szCs w:val="24"/>
        </w:rPr>
        <w:t>的交易体现了活跃市场交易特征当日（</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29</w:t>
      </w:r>
      <w:r w:rsidRPr="00414345">
        <w:rPr>
          <w:color w:val="000000"/>
          <w:sz w:val="24"/>
          <w:szCs w:val="24"/>
        </w:rPr>
        <w:t>日），本基金管理人已恢复按市场价格对其进行估值。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41187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817F2" w:rsidRDefault="004626E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8817F2" w:rsidRDefault="004626E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8817F2" w:rsidRDefault="004626E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8817F2" w:rsidRDefault="004626E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8817F2" w:rsidRDefault="004626E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817F2" w:rsidRDefault="004626E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817F2" w:rsidRDefault="004626E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817F2" w:rsidRDefault="004626E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6F" w:rsidRDefault="00083B6F" w:rsidP="00876D65">
      <w:r>
        <w:separator/>
      </w:r>
    </w:p>
  </w:endnote>
  <w:endnote w:type="continuationSeparator" w:id="0">
    <w:p w:rsidR="00083B6F" w:rsidRDefault="00083B6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B80967">
      <w:rPr>
        <w:kern w:val="0"/>
        <w:szCs w:val="21"/>
      </w:rPr>
      <w:fldChar w:fldCharType="begin"/>
    </w:r>
    <w:r>
      <w:rPr>
        <w:kern w:val="0"/>
        <w:szCs w:val="21"/>
      </w:rPr>
      <w:instrText xml:space="preserve"> PAGE </w:instrText>
    </w:r>
    <w:r w:rsidR="00B80967">
      <w:rPr>
        <w:kern w:val="0"/>
        <w:szCs w:val="21"/>
      </w:rPr>
      <w:fldChar w:fldCharType="separate"/>
    </w:r>
    <w:r w:rsidR="00593523">
      <w:rPr>
        <w:noProof/>
        <w:kern w:val="0"/>
        <w:szCs w:val="21"/>
      </w:rPr>
      <w:t>1</w:t>
    </w:r>
    <w:r w:rsidR="00B80967">
      <w:rPr>
        <w:kern w:val="0"/>
        <w:szCs w:val="21"/>
      </w:rPr>
      <w:fldChar w:fldCharType="end"/>
    </w:r>
    <w:r>
      <w:rPr>
        <w:rFonts w:hint="eastAsia"/>
        <w:kern w:val="0"/>
        <w:szCs w:val="21"/>
      </w:rPr>
      <w:t>页共</w:t>
    </w:r>
    <w:r w:rsidR="00B80967">
      <w:rPr>
        <w:kern w:val="0"/>
        <w:szCs w:val="21"/>
      </w:rPr>
      <w:fldChar w:fldCharType="begin"/>
    </w:r>
    <w:r>
      <w:rPr>
        <w:kern w:val="0"/>
        <w:szCs w:val="21"/>
      </w:rPr>
      <w:instrText xml:space="preserve"> NUMPAGES </w:instrText>
    </w:r>
    <w:r w:rsidR="00B80967">
      <w:rPr>
        <w:kern w:val="0"/>
        <w:szCs w:val="21"/>
      </w:rPr>
      <w:fldChar w:fldCharType="separate"/>
    </w:r>
    <w:r w:rsidR="00593523">
      <w:rPr>
        <w:noProof/>
        <w:kern w:val="0"/>
        <w:szCs w:val="21"/>
      </w:rPr>
      <w:t>12</w:t>
    </w:r>
    <w:r w:rsidR="00B8096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6F" w:rsidRDefault="00083B6F" w:rsidP="00876D65">
      <w:r>
        <w:separator/>
      </w:r>
    </w:p>
  </w:footnote>
  <w:footnote w:type="continuationSeparator" w:id="0">
    <w:p w:rsidR="00083B6F" w:rsidRDefault="00083B6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3B6F"/>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187A"/>
    <w:rsid w:val="00414345"/>
    <w:rsid w:val="004149AC"/>
    <w:rsid w:val="0042009D"/>
    <w:rsid w:val="004216D2"/>
    <w:rsid w:val="00426096"/>
    <w:rsid w:val="00427F58"/>
    <w:rsid w:val="00433805"/>
    <w:rsid w:val="00443869"/>
    <w:rsid w:val="00460575"/>
    <w:rsid w:val="004626EC"/>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9186A"/>
    <w:rsid w:val="0059352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124A"/>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17F2"/>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65F8"/>
    <w:rsid w:val="00B27479"/>
    <w:rsid w:val="00B32AA7"/>
    <w:rsid w:val="00B34678"/>
    <w:rsid w:val="00B35024"/>
    <w:rsid w:val="00B371B4"/>
    <w:rsid w:val="00B40F64"/>
    <w:rsid w:val="00B42A76"/>
    <w:rsid w:val="00B47982"/>
    <w:rsid w:val="00B56F53"/>
    <w:rsid w:val="00B64723"/>
    <w:rsid w:val="00B70E52"/>
    <w:rsid w:val="00B7378D"/>
    <w:rsid w:val="00B7444D"/>
    <w:rsid w:val="00B80967"/>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75707D-CF26-4FEB-86AE-524771A7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paragraph" w:styleId="afb">
    <w:name w:val="Revision"/>
    <w:hidden/>
    <w:uiPriority w:val="99"/>
    <w:semiHidden/>
    <w:rsid w:val="00B70E52"/>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108A-B64C-4F42-A774-F3B80052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1135</Words>
  <Characters>6476</Characters>
  <Application>Microsoft Office Word</Application>
  <DocSecurity>0</DocSecurity>
  <Lines>53</Lines>
  <Paragraphs>15</Paragraphs>
  <ScaleCrop>false</ScaleCrop>
  <Company>Microsoft</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曹国良</dc:creator>
  <cp:lastModifiedBy>王晚婷</cp:lastModifiedBy>
  <cp:revision>6</cp:revision>
  <dcterms:created xsi:type="dcterms:W3CDTF">2014-07-10T11:42:00Z</dcterms:created>
  <dcterms:modified xsi:type="dcterms:W3CDTF">2014-07-15T09:07:00Z</dcterms:modified>
</cp:coreProperties>
</file>