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交银施罗德趋势优先股票证券</w:t>
      </w:r>
      <w:bookmarkStart w:id="0" w:name="_GoBack"/>
      <w:bookmarkEnd w:id="0"/>
      <w:r w:rsidRPr="0081286B">
        <w:rPr>
          <w:b/>
          <w:sz w:val="36"/>
          <w:szCs w:val="36"/>
        </w:rPr>
        <w:t>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01266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218EA" w:rsidRDefault="0001266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1266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1,024,961,123.85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1266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2661" w:rsidRPr="00414345" w:rsidTr="0001266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12661" w:rsidRPr="00414345" w:rsidTr="000126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16,167,404.31</w:t>
            </w:r>
          </w:p>
        </w:tc>
      </w:tr>
      <w:tr w:rsidR="00012661" w:rsidRPr="00414345" w:rsidTr="000126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56,752,893.08</w:t>
            </w:r>
          </w:p>
        </w:tc>
      </w:tr>
      <w:tr w:rsidR="00012661" w:rsidRPr="00414345" w:rsidTr="000126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0.0538</w:t>
            </w:r>
          </w:p>
        </w:tc>
      </w:tr>
      <w:tr w:rsidR="00012661" w:rsidRPr="00414345" w:rsidTr="0001266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805,264,831.53</w:t>
            </w:r>
          </w:p>
        </w:tc>
      </w:tr>
      <w:tr w:rsidR="00012661" w:rsidRPr="00414345" w:rsidTr="0001266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0.786</w:t>
            </w:r>
          </w:p>
        </w:tc>
      </w:tr>
    </w:tbl>
    <w:p w:rsidR="004218EA" w:rsidRDefault="000126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218EA">
        <w:trPr>
          <w:jc w:val="center"/>
        </w:trPr>
        <w:tc>
          <w:tcPr>
            <w:tcW w:w="1701" w:type="dxa"/>
            <w:vAlign w:val="center"/>
          </w:tcPr>
          <w:p w:rsidR="004218EA" w:rsidRDefault="00012661">
            <w:pPr>
              <w:jc w:val="left"/>
            </w:pPr>
            <w:r>
              <w:rPr>
                <w:color w:val="000000"/>
                <w:sz w:val="24"/>
                <w:szCs w:val="24"/>
              </w:rPr>
              <w:t>过去三个月</w:t>
            </w:r>
          </w:p>
        </w:tc>
        <w:tc>
          <w:tcPr>
            <w:tcW w:w="1045" w:type="dxa"/>
            <w:vAlign w:val="center"/>
          </w:tcPr>
          <w:p w:rsidR="004218EA" w:rsidRDefault="00012661">
            <w:pPr>
              <w:jc w:val="center"/>
            </w:pPr>
            <w:r>
              <w:rPr>
                <w:color w:val="000000"/>
                <w:sz w:val="24"/>
                <w:szCs w:val="24"/>
              </w:rPr>
              <w:t>7.38%</w:t>
            </w:r>
          </w:p>
        </w:tc>
        <w:tc>
          <w:tcPr>
            <w:tcW w:w="1344" w:type="dxa"/>
            <w:vAlign w:val="center"/>
          </w:tcPr>
          <w:p w:rsidR="004218EA" w:rsidRDefault="00012661">
            <w:pPr>
              <w:jc w:val="center"/>
            </w:pPr>
            <w:r>
              <w:rPr>
                <w:color w:val="000000"/>
                <w:sz w:val="24"/>
                <w:szCs w:val="24"/>
              </w:rPr>
              <w:t>0.87%</w:t>
            </w:r>
          </w:p>
        </w:tc>
        <w:tc>
          <w:tcPr>
            <w:tcW w:w="1194" w:type="dxa"/>
            <w:vAlign w:val="center"/>
          </w:tcPr>
          <w:p w:rsidR="004218EA" w:rsidRDefault="00012661">
            <w:pPr>
              <w:jc w:val="center"/>
            </w:pPr>
            <w:r>
              <w:rPr>
                <w:color w:val="000000"/>
                <w:sz w:val="24"/>
                <w:szCs w:val="24"/>
              </w:rPr>
              <w:t>1.30%</w:t>
            </w:r>
          </w:p>
        </w:tc>
        <w:tc>
          <w:tcPr>
            <w:tcW w:w="1492" w:type="dxa"/>
            <w:vAlign w:val="center"/>
          </w:tcPr>
          <w:p w:rsidR="004218EA" w:rsidRDefault="00012661">
            <w:pPr>
              <w:jc w:val="center"/>
            </w:pPr>
            <w:r>
              <w:rPr>
                <w:color w:val="000000"/>
                <w:sz w:val="24"/>
                <w:szCs w:val="24"/>
              </w:rPr>
              <w:t>0.66%</w:t>
            </w:r>
          </w:p>
        </w:tc>
        <w:tc>
          <w:tcPr>
            <w:tcW w:w="1194" w:type="dxa"/>
            <w:vAlign w:val="center"/>
          </w:tcPr>
          <w:p w:rsidR="004218EA" w:rsidRDefault="00012661">
            <w:pPr>
              <w:jc w:val="center"/>
            </w:pPr>
            <w:r>
              <w:rPr>
                <w:color w:val="000000"/>
                <w:sz w:val="24"/>
                <w:szCs w:val="24"/>
              </w:rPr>
              <w:t>6.08%</w:t>
            </w:r>
          </w:p>
        </w:tc>
        <w:tc>
          <w:tcPr>
            <w:tcW w:w="898" w:type="dxa"/>
            <w:vAlign w:val="center"/>
          </w:tcPr>
          <w:p w:rsidR="004218EA" w:rsidRDefault="00012661">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1266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218EA">
        <w:trPr>
          <w:jc w:val="center"/>
        </w:trPr>
        <w:tc>
          <w:tcPr>
            <w:tcW w:w="846" w:type="dxa"/>
            <w:vAlign w:val="center"/>
          </w:tcPr>
          <w:p w:rsidR="004218EA" w:rsidRDefault="00012661">
            <w:pPr>
              <w:jc w:val="center"/>
            </w:pPr>
            <w:r>
              <w:rPr>
                <w:color w:val="000000"/>
                <w:sz w:val="24"/>
                <w:szCs w:val="24"/>
              </w:rPr>
              <w:t>管华雨</w:t>
            </w:r>
          </w:p>
        </w:tc>
        <w:tc>
          <w:tcPr>
            <w:tcW w:w="845" w:type="dxa"/>
            <w:vAlign w:val="center"/>
          </w:tcPr>
          <w:p w:rsidR="004218EA" w:rsidRDefault="00012661">
            <w:pPr>
              <w:jc w:val="center"/>
            </w:pPr>
            <w:r>
              <w:rPr>
                <w:color w:val="000000"/>
                <w:sz w:val="24"/>
                <w:szCs w:val="24"/>
              </w:rPr>
              <w:t>本基金、交银成长股票、交银成长</w:t>
            </w:r>
            <w:r>
              <w:rPr>
                <w:color w:val="000000"/>
                <w:sz w:val="24"/>
                <w:szCs w:val="24"/>
              </w:rPr>
              <w:t>30</w:t>
            </w:r>
            <w:r>
              <w:rPr>
                <w:color w:val="000000"/>
                <w:sz w:val="24"/>
                <w:szCs w:val="24"/>
              </w:rPr>
              <w:t>股票、交银新成长股票的基金经理，公司权益投资总监</w:t>
            </w:r>
          </w:p>
        </w:tc>
        <w:tc>
          <w:tcPr>
            <w:tcW w:w="1549" w:type="dxa"/>
            <w:vAlign w:val="center"/>
          </w:tcPr>
          <w:p w:rsidR="004218EA" w:rsidRDefault="00012661">
            <w:pPr>
              <w:jc w:val="center"/>
            </w:pPr>
            <w:r>
              <w:rPr>
                <w:color w:val="000000"/>
                <w:sz w:val="24"/>
                <w:szCs w:val="24"/>
              </w:rPr>
              <w:t>2013-08-08</w:t>
            </w:r>
          </w:p>
        </w:tc>
        <w:tc>
          <w:tcPr>
            <w:tcW w:w="1548" w:type="dxa"/>
            <w:vAlign w:val="center"/>
          </w:tcPr>
          <w:p w:rsidR="004218EA" w:rsidRDefault="00012661">
            <w:pPr>
              <w:jc w:val="center"/>
            </w:pPr>
            <w:r>
              <w:rPr>
                <w:color w:val="000000"/>
                <w:sz w:val="24"/>
                <w:szCs w:val="24"/>
              </w:rPr>
              <w:t>-</w:t>
            </w:r>
          </w:p>
        </w:tc>
        <w:tc>
          <w:tcPr>
            <w:tcW w:w="1407" w:type="dxa"/>
            <w:vAlign w:val="center"/>
          </w:tcPr>
          <w:p w:rsidR="004218EA" w:rsidRDefault="00012661">
            <w:pPr>
              <w:jc w:val="center"/>
            </w:pPr>
            <w:r>
              <w:rPr>
                <w:color w:val="000000"/>
                <w:sz w:val="24"/>
                <w:szCs w:val="24"/>
              </w:rPr>
              <w:t>12</w:t>
            </w:r>
            <w:r>
              <w:rPr>
                <w:color w:val="000000"/>
                <w:sz w:val="24"/>
                <w:szCs w:val="24"/>
              </w:rPr>
              <w:t>年</w:t>
            </w:r>
          </w:p>
        </w:tc>
        <w:tc>
          <w:tcPr>
            <w:tcW w:w="2673" w:type="dxa"/>
            <w:vAlign w:val="center"/>
          </w:tcPr>
          <w:p w:rsidR="004218EA" w:rsidRDefault="00012661">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4218EA">
        <w:trPr>
          <w:jc w:val="center"/>
        </w:trPr>
        <w:tc>
          <w:tcPr>
            <w:tcW w:w="846" w:type="dxa"/>
            <w:vAlign w:val="center"/>
          </w:tcPr>
          <w:p w:rsidR="004218EA" w:rsidRDefault="00012661">
            <w:pPr>
              <w:jc w:val="center"/>
            </w:pPr>
            <w:r>
              <w:rPr>
                <w:color w:val="000000"/>
                <w:sz w:val="24"/>
                <w:szCs w:val="24"/>
              </w:rPr>
              <w:t>曹文俊</w:t>
            </w:r>
          </w:p>
        </w:tc>
        <w:tc>
          <w:tcPr>
            <w:tcW w:w="845" w:type="dxa"/>
            <w:vAlign w:val="center"/>
          </w:tcPr>
          <w:p w:rsidR="004218EA" w:rsidRDefault="00012661">
            <w:pPr>
              <w:jc w:val="center"/>
            </w:pPr>
            <w:r>
              <w:rPr>
                <w:color w:val="000000"/>
                <w:sz w:val="24"/>
                <w:szCs w:val="24"/>
              </w:rPr>
              <w:t>本基金的基金经理</w:t>
            </w:r>
          </w:p>
        </w:tc>
        <w:tc>
          <w:tcPr>
            <w:tcW w:w="1549" w:type="dxa"/>
            <w:vAlign w:val="center"/>
          </w:tcPr>
          <w:p w:rsidR="004218EA" w:rsidRDefault="00012661">
            <w:pPr>
              <w:jc w:val="center"/>
            </w:pPr>
            <w:r>
              <w:rPr>
                <w:color w:val="000000"/>
                <w:sz w:val="24"/>
                <w:szCs w:val="24"/>
              </w:rPr>
              <w:t>2013-08-08</w:t>
            </w:r>
          </w:p>
        </w:tc>
        <w:tc>
          <w:tcPr>
            <w:tcW w:w="1548" w:type="dxa"/>
            <w:vAlign w:val="center"/>
          </w:tcPr>
          <w:p w:rsidR="004218EA" w:rsidRDefault="00012661">
            <w:pPr>
              <w:jc w:val="center"/>
            </w:pPr>
            <w:r>
              <w:rPr>
                <w:color w:val="000000"/>
                <w:sz w:val="24"/>
                <w:szCs w:val="24"/>
              </w:rPr>
              <w:t>-</w:t>
            </w:r>
          </w:p>
        </w:tc>
        <w:tc>
          <w:tcPr>
            <w:tcW w:w="1407" w:type="dxa"/>
            <w:vAlign w:val="center"/>
          </w:tcPr>
          <w:p w:rsidR="004218EA" w:rsidRDefault="00012661">
            <w:pPr>
              <w:jc w:val="center"/>
            </w:pPr>
            <w:r>
              <w:rPr>
                <w:color w:val="000000"/>
                <w:sz w:val="24"/>
                <w:szCs w:val="24"/>
              </w:rPr>
              <w:t>9</w:t>
            </w:r>
            <w:r>
              <w:rPr>
                <w:color w:val="000000"/>
                <w:sz w:val="24"/>
                <w:szCs w:val="24"/>
              </w:rPr>
              <w:t>年</w:t>
            </w:r>
          </w:p>
        </w:tc>
        <w:tc>
          <w:tcPr>
            <w:tcW w:w="2673" w:type="dxa"/>
            <w:vAlign w:val="center"/>
          </w:tcPr>
          <w:p w:rsidR="004218EA" w:rsidRDefault="00012661">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218EA" w:rsidRDefault="0001266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218EA" w:rsidRDefault="0001266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218EA" w:rsidRDefault="0001266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218EA" w:rsidRDefault="00012661">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年二季度沪深股市止跌企稳，其中沪深</w:t>
      </w:r>
      <w:r>
        <w:rPr>
          <w:color w:val="000000"/>
          <w:sz w:val="24"/>
          <w:szCs w:val="24"/>
        </w:rPr>
        <w:t>300</w:t>
      </w:r>
      <w:r>
        <w:rPr>
          <w:color w:val="000000"/>
          <w:sz w:val="24"/>
          <w:szCs w:val="24"/>
        </w:rPr>
        <w:t>指数微涨</w:t>
      </w:r>
      <w:r>
        <w:rPr>
          <w:color w:val="000000"/>
          <w:sz w:val="24"/>
          <w:szCs w:val="24"/>
        </w:rPr>
        <w:t>0.88%</w:t>
      </w:r>
      <w:r>
        <w:rPr>
          <w:color w:val="000000"/>
          <w:sz w:val="24"/>
          <w:szCs w:val="24"/>
        </w:rPr>
        <w:t>，中小板指数上涨</w:t>
      </w:r>
      <w:r>
        <w:rPr>
          <w:color w:val="000000"/>
          <w:sz w:val="24"/>
          <w:szCs w:val="24"/>
        </w:rPr>
        <w:t>4.35%</w:t>
      </w:r>
      <w:r>
        <w:rPr>
          <w:color w:val="000000"/>
          <w:sz w:val="24"/>
          <w:szCs w:val="24"/>
        </w:rPr>
        <w:t>，创业板指数上涨</w:t>
      </w:r>
      <w:r>
        <w:rPr>
          <w:color w:val="000000"/>
          <w:sz w:val="24"/>
          <w:szCs w:val="24"/>
        </w:rPr>
        <w:t>5.79%</w:t>
      </w:r>
      <w:r>
        <w:rPr>
          <w:color w:val="000000"/>
          <w:sz w:val="24"/>
          <w:szCs w:val="24"/>
        </w:rPr>
        <w:t>。二季度宏观经济下行力度超出预期，固定资产投资增速下滑较快，货币政策则逐步趋松。在宏观数据偏弱而流动性尚佳的背景下，中小市值股票及主题概念股表现活跃，显著跑赢市场。二季度本基金净值涨幅</w:t>
      </w:r>
      <w:r>
        <w:rPr>
          <w:color w:val="000000"/>
          <w:sz w:val="24"/>
          <w:szCs w:val="24"/>
        </w:rPr>
        <w:t>7.38%</w:t>
      </w:r>
      <w:r>
        <w:rPr>
          <w:color w:val="000000"/>
          <w:sz w:val="24"/>
          <w:szCs w:val="24"/>
        </w:rPr>
        <w:t>，主要通过精选个股获得了明显的超额收益，净值表现跑赢业绩比较基准和同类基金。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由于当前政府稳增长措施推出及时，货币政策放松态度明显，我们判断三季度经济增速将逐步企稳回升。行业配置方面，我们仍然关注符合中期结构转型、受宏观经济影响较小的行业和公司，如医药、环保、自动化等；此外，受益于政策放松的房地产行业也有望获得阶段性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0.786</w:t>
      </w:r>
      <w:r w:rsidRPr="00414345">
        <w:rPr>
          <w:color w:val="000000"/>
          <w:sz w:val="24"/>
          <w:szCs w:val="24"/>
        </w:rPr>
        <w:t>元，本报告期份额净值增长率为</w:t>
      </w:r>
      <w:r w:rsidRPr="00414345">
        <w:rPr>
          <w:color w:val="000000"/>
          <w:sz w:val="24"/>
          <w:szCs w:val="24"/>
        </w:rPr>
        <w:t>7.38%</w:t>
      </w:r>
      <w:r w:rsidRPr="00414345">
        <w:rPr>
          <w:color w:val="000000"/>
          <w:sz w:val="24"/>
          <w:szCs w:val="24"/>
        </w:rPr>
        <w:t>，同期业绩比较基准增长率为</w:t>
      </w:r>
      <w:r w:rsidRPr="00414345">
        <w:rPr>
          <w:color w:val="000000"/>
          <w:sz w:val="24"/>
          <w:szCs w:val="24"/>
        </w:rPr>
        <w:t>1.30%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01266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677,340,862.34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677,340,862.34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83.72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1,099,784.00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1,099,784.00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80,554,972.63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50,090,679.78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809,086,298.75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01266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012661">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410,240,978.83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17,610,475.18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42,646,800.64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49,272,448.78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012661">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21,948,683.00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26,759,019.86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89,824,712.74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9,757,377.50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4,082,449.02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5,197,916.79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677,340,862.34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218EA">
        <w:trPr>
          <w:jc w:val="center"/>
        </w:trPr>
        <w:tc>
          <w:tcPr>
            <w:tcW w:w="855" w:type="dxa"/>
            <w:vAlign w:val="center"/>
          </w:tcPr>
          <w:p w:rsidR="004218EA" w:rsidRDefault="00012661">
            <w:pPr>
              <w:jc w:val="center"/>
            </w:pPr>
            <w:r>
              <w:rPr>
                <w:color w:val="000000"/>
                <w:sz w:val="24"/>
                <w:szCs w:val="24"/>
              </w:rPr>
              <w:t>1</w:t>
            </w:r>
          </w:p>
        </w:tc>
        <w:tc>
          <w:tcPr>
            <w:tcW w:w="1334" w:type="dxa"/>
            <w:vAlign w:val="center"/>
          </w:tcPr>
          <w:p w:rsidR="004218EA" w:rsidRDefault="00012661">
            <w:pPr>
              <w:jc w:val="center"/>
            </w:pPr>
            <w:r>
              <w:rPr>
                <w:color w:val="000000"/>
                <w:sz w:val="24"/>
                <w:szCs w:val="24"/>
              </w:rPr>
              <w:t>300026</w:t>
            </w:r>
          </w:p>
        </w:tc>
        <w:tc>
          <w:tcPr>
            <w:tcW w:w="1777" w:type="dxa"/>
            <w:vAlign w:val="center"/>
          </w:tcPr>
          <w:p w:rsidR="004218EA" w:rsidRDefault="00012661">
            <w:pPr>
              <w:jc w:val="center"/>
            </w:pPr>
            <w:r>
              <w:rPr>
                <w:color w:val="000000"/>
                <w:sz w:val="24"/>
                <w:szCs w:val="24"/>
              </w:rPr>
              <w:t>红日药业</w:t>
            </w:r>
          </w:p>
        </w:tc>
        <w:tc>
          <w:tcPr>
            <w:tcW w:w="1334" w:type="dxa"/>
            <w:vAlign w:val="center"/>
          </w:tcPr>
          <w:p w:rsidR="004218EA" w:rsidRDefault="00012661">
            <w:pPr>
              <w:jc w:val="right"/>
            </w:pPr>
            <w:r>
              <w:rPr>
                <w:color w:val="000000"/>
                <w:sz w:val="24"/>
                <w:szCs w:val="24"/>
              </w:rPr>
              <w:t>1,428,346</w:t>
            </w:r>
          </w:p>
        </w:tc>
        <w:tc>
          <w:tcPr>
            <w:tcW w:w="1924" w:type="dxa"/>
            <w:vAlign w:val="center"/>
          </w:tcPr>
          <w:p w:rsidR="004218EA" w:rsidRDefault="00012661">
            <w:pPr>
              <w:jc w:val="right"/>
            </w:pPr>
            <w:r>
              <w:rPr>
                <w:color w:val="000000"/>
                <w:sz w:val="24"/>
                <w:szCs w:val="24"/>
              </w:rPr>
              <w:t>41,850,537.80</w:t>
            </w:r>
          </w:p>
        </w:tc>
        <w:tc>
          <w:tcPr>
            <w:tcW w:w="1644" w:type="dxa"/>
            <w:vAlign w:val="center"/>
          </w:tcPr>
          <w:p w:rsidR="004218EA" w:rsidRDefault="00012661">
            <w:pPr>
              <w:jc w:val="right"/>
            </w:pPr>
            <w:r>
              <w:rPr>
                <w:color w:val="000000"/>
                <w:sz w:val="24"/>
                <w:szCs w:val="24"/>
              </w:rPr>
              <w:t>5.20</w:t>
            </w:r>
          </w:p>
        </w:tc>
      </w:tr>
      <w:tr w:rsidR="004218EA">
        <w:trPr>
          <w:jc w:val="center"/>
        </w:trPr>
        <w:tc>
          <w:tcPr>
            <w:tcW w:w="855" w:type="dxa"/>
            <w:vAlign w:val="center"/>
          </w:tcPr>
          <w:p w:rsidR="004218EA" w:rsidRDefault="00012661">
            <w:pPr>
              <w:jc w:val="center"/>
            </w:pPr>
            <w:r>
              <w:rPr>
                <w:color w:val="000000"/>
                <w:sz w:val="24"/>
                <w:szCs w:val="24"/>
              </w:rPr>
              <w:t>2</w:t>
            </w:r>
          </w:p>
        </w:tc>
        <w:tc>
          <w:tcPr>
            <w:tcW w:w="1334" w:type="dxa"/>
            <w:vAlign w:val="center"/>
          </w:tcPr>
          <w:p w:rsidR="004218EA" w:rsidRDefault="00012661">
            <w:pPr>
              <w:jc w:val="center"/>
            </w:pPr>
            <w:r>
              <w:rPr>
                <w:color w:val="000000"/>
                <w:sz w:val="24"/>
                <w:szCs w:val="24"/>
              </w:rPr>
              <w:t>002317</w:t>
            </w:r>
          </w:p>
        </w:tc>
        <w:tc>
          <w:tcPr>
            <w:tcW w:w="1777" w:type="dxa"/>
            <w:vAlign w:val="center"/>
          </w:tcPr>
          <w:p w:rsidR="004218EA" w:rsidRDefault="00012661">
            <w:pPr>
              <w:jc w:val="center"/>
            </w:pPr>
            <w:r>
              <w:rPr>
                <w:color w:val="000000"/>
                <w:sz w:val="24"/>
                <w:szCs w:val="24"/>
              </w:rPr>
              <w:t>众生药业</w:t>
            </w:r>
          </w:p>
        </w:tc>
        <w:tc>
          <w:tcPr>
            <w:tcW w:w="1334" w:type="dxa"/>
            <w:vAlign w:val="center"/>
          </w:tcPr>
          <w:p w:rsidR="004218EA" w:rsidRDefault="00012661">
            <w:pPr>
              <w:jc w:val="right"/>
            </w:pPr>
            <w:r>
              <w:rPr>
                <w:color w:val="000000"/>
                <w:sz w:val="24"/>
                <w:szCs w:val="24"/>
              </w:rPr>
              <w:t>2,000,618</w:t>
            </w:r>
          </w:p>
        </w:tc>
        <w:tc>
          <w:tcPr>
            <w:tcW w:w="1924" w:type="dxa"/>
            <w:vAlign w:val="center"/>
          </w:tcPr>
          <w:p w:rsidR="004218EA" w:rsidRDefault="00012661">
            <w:pPr>
              <w:jc w:val="right"/>
            </w:pPr>
            <w:r>
              <w:rPr>
                <w:color w:val="000000"/>
                <w:sz w:val="24"/>
                <w:szCs w:val="24"/>
              </w:rPr>
              <w:t>39,952,341.46</w:t>
            </w:r>
          </w:p>
        </w:tc>
        <w:tc>
          <w:tcPr>
            <w:tcW w:w="1644" w:type="dxa"/>
            <w:vAlign w:val="center"/>
          </w:tcPr>
          <w:p w:rsidR="004218EA" w:rsidRDefault="00012661">
            <w:pPr>
              <w:jc w:val="right"/>
            </w:pPr>
            <w:r>
              <w:rPr>
                <w:color w:val="000000"/>
                <w:sz w:val="24"/>
                <w:szCs w:val="24"/>
              </w:rPr>
              <w:t>4.96</w:t>
            </w:r>
          </w:p>
        </w:tc>
      </w:tr>
      <w:tr w:rsidR="004218EA">
        <w:trPr>
          <w:jc w:val="center"/>
        </w:trPr>
        <w:tc>
          <w:tcPr>
            <w:tcW w:w="855" w:type="dxa"/>
            <w:vAlign w:val="center"/>
          </w:tcPr>
          <w:p w:rsidR="004218EA" w:rsidRDefault="00012661">
            <w:pPr>
              <w:jc w:val="center"/>
            </w:pPr>
            <w:r>
              <w:rPr>
                <w:color w:val="000000"/>
                <w:sz w:val="24"/>
                <w:szCs w:val="24"/>
              </w:rPr>
              <w:t>3</w:t>
            </w:r>
          </w:p>
        </w:tc>
        <w:tc>
          <w:tcPr>
            <w:tcW w:w="1334" w:type="dxa"/>
            <w:vAlign w:val="center"/>
          </w:tcPr>
          <w:p w:rsidR="004218EA" w:rsidRDefault="00012661">
            <w:pPr>
              <w:jc w:val="center"/>
            </w:pPr>
            <w:r>
              <w:rPr>
                <w:color w:val="000000"/>
                <w:sz w:val="24"/>
                <w:szCs w:val="24"/>
              </w:rPr>
              <w:t>000024</w:t>
            </w:r>
          </w:p>
        </w:tc>
        <w:tc>
          <w:tcPr>
            <w:tcW w:w="1777" w:type="dxa"/>
            <w:vAlign w:val="center"/>
          </w:tcPr>
          <w:p w:rsidR="004218EA" w:rsidRDefault="00012661">
            <w:pPr>
              <w:jc w:val="center"/>
            </w:pPr>
            <w:r>
              <w:rPr>
                <w:color w:val="000000"/>
                <w:sz w:val="24"/>
                <w:szCs w:val="24"/>
              </w:rPr>
              <w:t>招商地产</w:t>
            </w:r>
          </w:p>
        </w:tc>
        <w:tc>
          <w:tcPr>
            <w:tcW w:w="1334" w:type="dxa"/>
            <w:vAlign w:val="center"/>
          </w:tcPr>
          <w:p w:rsidR="004218EA" w:rsidRDefault="00012661">
            <w:pPr>
              <w:jc w:val="right"/>
            </w:pPr>
            <w:r>
              <w:rPr>
                <w:color w:val="000000"/>
                <w:sz w:val="24"/>
                <w:szCs w:val="24"/>
              </w:rPr>
              <w:t>3,709,748</w:t>
            </w:r>
          </w:p>
        </w:tc>
        <w:tc>
          <w:tcPr>
            <w:tcW w:w="1924" w:type="dxa"/>
            <w:vAlign w:val="center"/>
          </w:tcPr>
          <w:p w:rsidR="004218EA" w:rsidRDefault="00012661">
            <w:pPr>
              <w:jc w:val="right"/>
            </w:pPr>
            <w:r>
              <w:rPr>
                <w:color w:val="000000"/>
                <w:sz w:val="24"/>
                <w:szCs w:val="24"/>
              </w:rPr>
              <w:t>38,655,574.16</w:t>
            </w:r>
          </w:p>
        </w:tc>
        <w:tc>
          <w:tcPr>
            <w:tcW w:w="1644" w:type="dxa"/>
            <w:vAlign w:val="center"/>
          </w:tcPr>
          <w:p w:rsidR="004218EA" w:rsidRDefault="00012661">
            <w:pPr>
              <w:jc w:val="right"/>
            </w:pPr>
            <w:r>
              <w:rPr>
                <w:color w:val="000000"/>
                <w:sz w:val="24"/>
                <w:szCs w:val="24"/>
              </w:rPr>
              <w:t>4.80</w:t>
            </w:r>
          </w:p>
        </w:tc>
      </w:tr>
      <w:tr w:rsidR="004218EA">
        <w:trPr>
          <w:jc w:val="center"/>
        </w:trPr>
        <w:tc>
          <w:tcPr>
            <w:tcW w:w="855" w:type="dxa"/>
            <w:vAlign w:val="center"/>
          </w:tcPr>
          <w:p w:rsidR="004218EA" w:rsidRDefault="00012661">
            <w:pPr>
              <w:jc w:val="center"/>
            </w:pPr>
            <w:r>
              <w:rPr>
                <w:color w:val="000000"/>
                <w:sz w:val="24"/>
                <w:szCs w:val="24"/>
              </w:rPr>
              <w:t>4</w:t>
            </w:r>
          </w:p>
        </w:tc>
        <w:tc>
          <w:tcPr>
            <w:tcW w:w="1334" w:type="dxa"/>
            <w:vAlign w:val="center"/>
          </w:tcPr>
          <w:p w:rsidR="004218EA" w:rsidRDefault="00012661">
            <w:pPr>
              <w:jc w:val="center"/>
            </w:pPr>
            <w:r>
              <w:rPr>
                <w:color w:val="000000"/>
                <w:sz w:val="24"/>
                <w:szCs w:val="24"/>
              </w:rPr>
              <w:t>002462</w:t>
            </w:r>
          </w:p>
        </w:tc>
        <w:tc>
          <w:tcPr>
            <w:tcW w:w="1777" w:type="dxa"/>
            <w:vAlign w:val="center"/>
          </w:tcPr>
          <w:p w:rsidR="004218EA" w:rsidRDefault="00012661">
            <w:pPr>
              <w:jc w:val="center"/>
            </w:pPr>
            <w:r>
              <w:rPr>
                <w:color w:val="000000"/>
                <w:sz w:val="24"/>
                <w:szCs w:val="24"/>
              </w:rPr>
              <w:t>嘉事堂</w:t>
            </w:r>
          </w:p>
        </w:tc>
        <w:tc>
          <w:tcPr>
            <w:tcW w:w="1334" w:type="dxa"/>
            <w:vAlign w:val="center"/>
          </w:tcPr>
          <w:p w:rsidR="004218EA" w:rsidRDefault="00012661">
            <w:pPr>
              <w:jc w:val="right"/>
            </w:pPr>
            <w:r>
              <w:rPr>
                <w:color w:val="000000"/>
                <w:sz w:val="24"/>
                <w:szCs w:val="24"/>
              </w:rPr>
              <w:t>1,790,509</w:t>
            </w:r>
          </w:p>
        </w:tc>
        <w:tc>
          <w:tcPr>
            <w:tcW w:w="1924" w:type="dxa"/>
            <w:vAlign w:val="center"/>
          </w:tcPr>
          <w:p w:rsidR="004218EA" w:rsidRDefault="00012661">
            <w:pPr>
              <w:jc w:val="right"/>
            </w:pPr>
            <w:r>
              <w:rPr>
                <w:color w:val="000000"/>
                <w:sz w:val="24"/>
                <w:szCs w:val="24"/>
              </w:rPr>
              <w:t>33,339,277.58</w:t>
            </w:r>
          </w:p>
        </w:tc>
        <w:tc>
          <w:tcPr>
            <w:tcW w:w="1644" w:type="dxa"/>
            <w:vAlign w:val="center"/>
          </w:tcPr>
          <w:p w:rsidR="004218EA" w:rsidRDefault="00012661">
            <w:pPr>
              <w:jc w:val="right"/>
            </w:pPr>
            <w:r>
              <w:rPr>
                <w:color w:val="000000"/>
                <w:sz w:val="24"/>
                <w:szCs w:val="24"/>
              </w:rPr>
              <w:t>4.14</w:t>
            </w:r>
          </w:p>
        </w:tc>
      </w:tr>
      <w:tr w:rsidR="004218EA">
        <w:trPr>
          <w:jc w:val="center"/>
        </w:trPr>
        <w:tc>
          <w:tcPr>
            <w:tcW w:w="855" w:type="dxa"/>
            <w:vAlign w:val="center"/>
          </w:tcPr>
          <w:p w:rsidR="004218EA" w:rsidRDefault="00012661">
            <w:pPr>
              <w:jc w:val="center"/>
            </w:pPr>
            <w:r>
              <w:rPr>
                <w:color w:val="000000"/>
                <w:sz w:val="24"/>
                <w:szCs w:val="24"/>
              </w:rPr>
              <w:t>5</w:t>
            </w:r>
          </w:p>
        </w:tc>
        <w:tc>
          <w:tcPr>
            <w:tcW w:w="1334" w:type="dxa"/>
            <w:vAlign w:val="center"/>
          </w:tcPr>
          <w:p w:rsidR="004218EA" w:rsidRDefault="00012661">
            <w:pPr>
              <w:jc w:val="center"/>
            </w:pPr>
            <w:r>
              <w:rPr>
                <w:color w:val="000000"/>
                <w:sz w:val="24"/>
                <w:szCs w:val="24"/>
              </w:rPr>
              <w:t>000625</w:t>
            </w:r>
          </w:p>
        </w:tc>
        <w:tc>
          <w:tcPr>
            <w:tcW w:w="1777" w:type="dxa"/>
            <w:vAlign w:val="center"/>
          </w:tcPr>
          <w:p w:rsidR="004218EA" w:rsidRDefault="00012661">
            <w:pPr>
              <w:jc w:val="center"/>
            </w:pPr>
            <w:r>
              <w:rPr>
                <w:color w:val="000000"/>
                <w:sz w:val="24"/>
                <w:szCs w:val="24"/>
              </w:rPr>
              <w:t>长安汽车</w:t>
            </w:r>
          </w:p>
        </w:tc>
        <w:tc>
          <w:tcPr>
            <w:tcW w:w="1334" w:type="dxa"/>
            <w:vAlign w:val="center"/>
          </w:tcPr>
          <w:p w:rsidR="004218EA" w:rsidRDefault="00012661">
            <w:pPr>
              <w:jc w:val="right"/>
            </w:pPr>
            <w:r>
              <w:rPr>
                <w:color w:val="000000"/>
                <w:sz w:val="24"/>
                <w:szCs w:val="24"/>
              </w:rPr>
              <w:t>2,499,982</w:t>
            </w:r>
          </w:p>
        </w:tc>
        <w:tc>
          <w:tcPr>
            <w:tcW w:w="1924" w:type="dxa"/>
            <w:vAlign w:val="center"/>
          </w:tcPr>
          <w:p w:rsidR="004218EA" w:rsidRDefault="00012661">
            <w:pPr>
              <w:jc w:val="right"/>
            </w:pPr>
            <w:r>
              <w:rPr>
                <w:color w:val="000000"/>
                <w:sz w:val="24"/>
                <w:szCs w:val="24"/>
              </w:rPr>
              <w:t>30,774,778.42</w:t>
            </w:r>
          </w:p>
        </w:tc>
        <w:tc>
          <w:tcPr>
            <w:tcW w:w="1644" w:type="dxa"/>
            <w:vAlign w:val="center"/>
          </w:tcPr>
          <w:p w:rsidR="004218EA" w:rsidRDefault="00012661">
            <w:pPr>
              <w:jc w:val="right"/>
            </w:pPr>
            <w:r>
              <w:rPr>
                <w:color w:val="000000"/>
                <w:sz w:val="24"/>
                <w:szCs w:val="24"/>
              </w:rPr>
              <w:t>3.82</w:t>
            </w:r>
          </w:p>
        </w:tc>
      </w:tr>
      <w:tr w:rsidR="004218EA">
        <w:trPr>
          <w:jc w:val="center"/>
        </w:trPr>
        <w:tc>
          <w:tcPr>
            <w:tcW w:w="855" w:type="dxa"/>
            <w:vAlign w:val="center"/>
          </w:tcPr>
          <w:p w:rsidR="004218EA" w:rsidRDefault="00012661">
            <w:pPr>
              <w:jc w:val="center"/>
            </w:pPr>
            <w:r>
              <w:rPr>
                <w:color w:val="000000"/>
                <w:sz w:val="24"/>
                <w:szCs w:val="24"/>
              </w:rPr>
              <w:t>6</w:t>
            </w:r>
          </w:p>
        </w:tc>
        <w:tc>
          <w:tcPr>
            <w:tcW w:w="1334" w:type="dxa"/>
            <w:vAlign w:val="center"/>
          </w:tcPr>
          <w:p w:rsidR="004218EA" w:rsidRDefault="00012661">
            <w:pPr>
              <w:jc w:val="center"/>
            </w:pPr>
            <w:r>
              <w:rPr>
                <w:color w:val="000000"/>
                <w:sz w:val="24"/>
                <w:szCs w:val="24"/>
              </w:rPr>
              <w:t>300024</w:t>
            </w:r>
          </w:p>
        </w:tc>
        <w:tc>
          <w:tcPr>
            <w:tcW w:w="1777" w:type="dxa"/>
            <w:vAlign w:val="center"/>
          </w:tcPr>
          <w:p w:rsidR="004218EA" w:rsidRDefault="00012661">
            <w:pPr>
              <w:jc w:val="center"/>
            </w:pPr>
            <w:r>
              <w:rPr>
                <w:color w:val="000000"/>
                <w:sz w:val="24"/>
                <w:szCs w:val="24"/>
              </w:rPr>
              <w:t>机器人</w:t>
            </w:r>
          </w:p>
        </w:tc>
        <w:tc>
          <w:tcPr>
            <w:tcW w:w="1334" w:type="dxa"/>
            <w:vAlign w:val="center"/>
          </w:tcPr>
          <w:p w:rsidR="004218EA" w:rsidRDefault="00012661">
            <w:pPr>
              <w:jc w:val="right"/>
            </w:pPr>
            <w:r>
              <w:rPr>
                <w:color w:val="000000"/>
                <w:sz w:val="24"/>
                <w:szCs w:val="24"/>
              </w:rPr>
              <w:t>1,000,075</w:t>
            </w:r>
          </w:p>
        </w:tc>
        <w:tc>
          <w:tcPr>
            <w:tcW w:w="1924" w:type="dxa"/>
            <w:vAlign w:val="center"/>
          </w:tcPr>
          <w:p w:rsidR="004218EA" w:rsidRDefault="00012661">
            <w:pPr>
              <w:jc w:val="right"/>
            </w:pPr>
            <w:r>
              <w:rPr>
                <w:color w:val="000000"/>
                <w:sz w:val="24"/>
                <w:szCs w:val="24"/>
              </w:rPr>
              <w:t>29,402,205.00</w:t>
            </w:r>
          </w:p>
        </w:tc>
        <w:tc>
          <w:tcPr>
            <w:tcW w:w="1644" w:type="dxa"/>
            <w:vAlign w:val="center"/>
          </w:tcPr>
          <w:p w:rsidR="004218EA" w:rsidRDefault="00012661">
            <w:pPr>
              <w:jc w:val="right"/>
            </w:pPr>
            <w:r>
              <w:rPr>
                <w:color w:val="000000"/>
                <w:sz w:val="24"/>
                <w:szCs w:val="24"/>
              </w:rPr>
              <w:t>3.65</w:t>
            </w:r>
          </w:p>
        </w:tc>
      </w:tr>
      <w:tr w:rsidR="004218EA">
        <w:trPr>
          <w:jc w:val="center"/>
        </w:trPr>
        <w:tc>
          <w:tcPr>
            <w:tcW w:w="855" w:type="dxa"/>
            <w:vAlign w:val="center"/>
          </w:tcPr>
          <w:p w:rsidR="004218EA" w:rsidRDefault="00012661">
            <w:pPr>
              <w:jc w:val="center"/>
            </w:pPr>
            <w:r>
              <w:rPr>
                <w:color w:val="000000"/>
                <w:sz w:val="24"/>
                <w:szCs w:val="24"/>
              </w:rPr>
              <w:t>7</w:t>
            </w:r>
          </w:p>
        </w:tc>
        <w:tc>
          <w:tcPr>
            <w:tcW w:w="1334" w:type="dxa"/>
            <w:vAlign w:val="center"/>
          </w:tcPr>
          <w:p w:rsidR="004218EA" w:rsidRDefault="00012661">
            <w:pPr>
              <w:jc w:val="center"/>
            </w:pPr>
            <w:r>
              <w:rPr>
                <w:color w:val="000000"/>
                <w:sz w:val="24"/>
                <w:szCs w:val="24"/>
              </w:rPr>
              <w:t>002475</w:t>
            </w:r>
          </w:p>
        </w:tc>
        <w:tc>
          <w:tcPr>
            <w:tcW w:w="1777" w:type="dxa"/>
            <w:vAlign w:val="center"/>
          </w:tcPr>
          <w:p w:rsidR="004218EA" w:rsidRDefault="00012661">
            <w:pPr>
              <w:jc w:val="center"/>
            </w:pPr>
            <w:r>
              <w:rPr>
                <w:color w:val="000000"/>
                <w:sz w:val="24"/>
                <w:szCs w:val="24"/>
              </w:rPr>
              <w:t>立讯精密</w:t>
            </w:r>
          </w:p>
        </w:tc>
        <w:tc>
          <w:tcPr>
            <w:tcW w:w="1334" w:type="dxa"/>
            <w:vAlign w:val="center"/>
          </w:tcPr>
          <w:p w:rsidR="004218EA" w:rsidRDefault="00012661">
            <w:pPr>
              <w:jc w:val="right"/>
            </w:pPr>
            <w:r>
              <w:rPr>
                <w:color w:val="000000"/>
                <w:sz w:val="24"/>
                <w:szCs w:val="24"/>
              </w:rPr>
              <w:t>834,268</w:t>
            </w:r>
          </w:p>
        </w:tc>
        <w:tc>
          <w:tcPr>
            <w:tcW w:w="1924" w:type="dxa"/>
            <w:vAlign w:val="center"/>
          </w:tcPr>
          <w:p w:rsidR="004218EA" w:rsidRDefault="00012661">
            <w:pPr>
              <w:jc w:val="right"/>
            </w:pPr>
            <w:r>
              <w:rPr>
                <w:color w:val="000000"/>
                <w:sz w:val="24"/>
                <w:szCs w:val="24"/>
              </w:rPr>
              <w:t>27,347,305.04</w:t>
            </w:r>
          </w:p>
        </w:tc>
        <w:tc>
          <w:tcPr>
            <w:tcW w:w="1644" w:type="dxa"/>
            <w:vAlign w:val="center"/>
          </w:tcPr>
          <w:p w:rsidR="004218EA" w:rsidRDefault="00012661">
            <w:pPr>
              <w:jc w:val="right"/>
            </w:pPr>
            <w:r>
              <w:rPr>
                <w:color w:val="000000"/>
                <w:sz w:val="24"/>
                <w:szCs w:val="24"/>
              </w:rPr>
              <w:t>3.40</w:t>
            </w:r>
          </w:p>
        </w:tc>
      </w:tr>
      <w:tr w:rsidR="004218EA">
        <w:trPr>
          <w:jc w:val="center"/>
        </w:trPr>
        <w:tc>
          <w:tcPr>
            <w:tcW w:w="855" w:type="dxa"/>
            <w:vAlign w:val="center"/>
          </w:tcPr>
          <w:p w:rsidR="004218EA" w:rsidRDefault="00012661">
            <w:pPr>
              <w:jc w:val="center"/>
            </w:pPr>
            <w:r>
              <w:rPr>
                <w:color w:val="000000"/>
                <w:sz w:val="24"/>
                <w:szCs w:val="24"/>
              </w:rPr>
              <w:t>8</w:t>
            </w:r>
          </w:p>
        </w:tc>
        <w:tc>
          <w:tcPr>
            <w:tcW w:w="1334" w:type="dxa"/>
            <w:vAlign w:val="center"/>
          </w:tcPr>
          <w:p w:rsidR="004218EA" w:rsidRDefault="00012661">
            <w:pPr>
              <w:jc w:val="center"/>
            </w:pPr>
            <w:r>
              <w:rPr>
                <w:color w:val="000000"/>
                <w:sz w:val="24"/>
                <w:szCs w:val="24"/>
              </w:rPr>
              <w:t>000671</w:t>
            </w:r>
          </w:p>
        </w:tc>
        <w:tc>
          <w:tcPr>
            <w:tcW w:w="1777" w:type="dxa"/>
            <w:vAlign w:val="center"/>
          </w:tcPr>
          <w:p w:rsidR="004218EA" w:rsidRDefault="00012661">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4218EA" w:rsidRDefault="00012661">
            <w:pPr>
              <w:jc w:val="right"/>
            </w:pPr>
            <w:r>
              <w:rPr>
                <w:color w:val="000000"/>
                <w:sz w:val="24"/>
                <w:szCs w:val="24"/>
              </w:rPr>
              <w:t>2,999,902</w:t>
            </w:r>
          </w:p>
        </w:tc>
        <w:tc>
          <w:tcPr>
            <w:tcW w:w="1924" w:type="dxa"/>
            <w:vAlign w:val="center"/>
          </w:tcPr>
          <w:p w:rsidR="004218EA" w:rsidRDefault="00012661">
            <w:pPr>
              <w:jc w:val="right"/>
            </w:pPr>
            <w:r>
              <w:rPr>
                <w:color w:val="000000"/>
                <w:sz w:val="24"/>
                <w:szCs w:val="24"/>
              </w:rPr>
              <w:t>26,369,138.58</w:t>
            </w:r>
          </w:p>
        </w:tc>
        <w:tc>
          <w:tcPr>
            <w:tcW w:w="1644" w:type="dxa"/>
            <w:vAlign w:val="center"/>
          </w:tcPr>
          <w:p w:rsidR="004218EA" w:rsidRDefault="00012661">
            <w:pPr>
              <w:jc w:val="right"/>
            </w:pPr>
            <w:r>
              <w:rPr>
                <w:color w:val="000000"/>
                <w:sz w:val="24"/>
                <w:szCs w:val="24"/>
              </w:rPr>
              <w:t>3.27</w:t>
            </w:r>
          </w:p>
        </w:tc>
      </w:tr>
      <w:tr w:rsidR="004218EA">
        <w:trPr>
          <w:jc w:val="center"/>
        </w:trPr>
        <w:tc>
          <w:tcPr>
            <w:tcW w:w="855" w:type="dxa"/>
            <w:vAlign w:val="center"/>
          </w:tcPr>
          <w:p w:rsidR="004218EA" w:rsidRDefault="00012661">
            <w:pPr>
              <w:jc w:val="center"/>
            </w:pPr>
            <w:r>
              <w:rPr>
                <w:color w:val="000000"/>
                <w:sz w:val="24"/>
                <w:szCs w:val="24"/>
              </w:rPr>
              <w:t>9</w:t>
            </w:r>
          </w:p>
        </w:tc>
        <w:tc>
          <w:tcPr>
            <w:tcW w:w="1334" w:type="dxa"/>
            <w:vAlign w:val="center"/>
          </w:tcPr>
          <w:p w:rsidR="004218EA" w:rsidRDefault="00012661">
            <w:pPr>
              <w:jc w:val="center"/>
            </w:pPr>
            <w:r>
              <w:rPr>
                <w:color w:val="000000"/>
                <w:sz w:val="24"/>
                <w:szCs w:val="24"/>
              </w:rPr>
              <w:t>600048</w:t>
            </w:r>
          </w:p>
        </w:tc>
        <w:tc>
          <w:tcPr>
            <w:tcW w:w="1777" w:type="dxa"/>
            <w:vAlign w:val="center"/>
          </w:tcPr>
          <w:p w:rsidR="004218EA" w:rsidRDefault="00012661">
            <w:pPr>
              <w:jc w:val="center"/>
            </w:pPr>
            <w:r>
              <w:rPr>
                <w:color w:val="000000"/>
                <w:sz w:val="24"/>
                <w:szCs w:val="24"/>
              </w:rPr>
              <w:t>保利地产</w:t>
            </w:r>
          </w:p>
        </w:tc>
        <w:tc>
          <w:tcPr>
            <w:tcW w:w="1334" w:type="dxa"/>
            <w:vAlign w:val="center"/>
          </w:tcPr>
          <w:p w:rsidR="004218EA" w:rsidRDefault="00012661">
            <w:pPr>
              <w:jc w:val="right"/>
            </w:pPr>
            <w:r>
              <w:rPr>
                <w:color w:val="000000"/>
                <w:sz w:val="24"/>
                <w:szCs w:val="24"/>
              </w:rPr>
              <w:t>5,000,000</w:t>
            </w:r>
          </w:p>
        </w:tc>
        <w:tc>
          <w:tcPr>
            <w:tcW w:w="1924" w:type="dxa"/>
            <w:vAlign w:val="center"/>
          </w:tcPr>
          <w:p w:rsidR="004218EA" w:rsidRDefault="00012661">
            <w:pPr>
              <w:jc w:val="right"/>
            </w:pPr>
            <w:r>
              <w:rPr>
                <w:color w:val="000000"/>
                <w:sz w:val="24"/>
                <w:szCs w:val="24"/>
              </w:rPr>
              <w:t>24,800,000.00</w:t>
            </w:r>
          </w:p>
        </w:tc>
        <w:tc>
          <w:tcPr>
            <w:tcW w:w="1644" w:type="dxa"/>
            <w:vAlign w:val="center"/>
          </w:tcPr>
          <w:p w:rsidR="004218EA" w:rsidRDefault="00012661">
            <w:pPr>
              <w:jc w:val="right"/>
            </w:pPr>
            <w:r>
              <w:rPr>
                <w:color w:val="000000"/>
                <w:sz w:val="24"/>
                <w:szCs w:val="24"/>
              </w:rPr>
              <w:t>3.08</w:t>
            </w:r>
          </w:p>
        </w:tc>
      </w:tr>
      <w:tr w:rsidR="004218EA">
        <w:trPr>
          <w:jc w:val="center"/>
        </w:trPr>
        <w:tc>
          <w:tcPr>
            <w:tcW w:w="855" w:type="dxa"/>
            <w:vAlign w:val="center"/>
          </w:tcPr>
          <w:p w:rsidR="004218EA" w:rsidRDefault="00012661">
            <w:pPr>
              <w:jc w:val="center"/>
            </w:pPr>
            <w:r>
              <w:rPr>
                <w:color w:val="000000"/>
                <w:sz w:val="24"/>
                <w:szCs w:val="24"/>
              </w:rPr>
              <w:t>10</w:t>
            </w:r>
          </w:p>
        </w:tc>
        <w:tc>
          <w:tcPr>
            <w:tcW w:w="1334" w:type="dxa"/>
            <w:vAlign w:val="center"/>
          </w:tcPr>
          <w:p w:rsidR="004218EA" w:rsidRDefault="00012661">
            <w:pPr>
              <w:jc w:val="center"/>
            </w:pPr>
            <w:r>
              <w:rPr>
                <w:color w:val="000000"/>
                <w:sz w:val="24"/>
                <w:szCs w:val="24"/>
              </w:rPr>
              <w:t>002325</w:t>
            </w:r>
          </w:p>
        </w:tc>
        <w:tc>
          <w:tcPr>
            <w:tcW w:w="1777" w:type="dxa"/>
            <w:vAlign w:val="center"/>
          </w:tcPr>
          <w:p w:rsidR="004218EA" w:rsidRDefault="00012661">
            <w:pPr>
              <w:jc w:val="center"/>
            </w:pPr>
            <w:r>
              <w:rPr>
                <w:color w:val="000000"/>
                <w:sz w:val="24"/>
                <w:szCs w:val="24"/>
              </w:rPr>
              <w:t>洪涛股份</w:t>
            </w:r>
          </w:p>
        </w:tc>
        <w:tc>
          <w:tcPr>
            <w:tcW w:w="1334" w:type="dxa"/>
            <w:vAlign w:val="center"/>
          </w:tcPr>
          <w:p w:rsidR="004218EA" w:rsidRDefault="00012661">
            <w:pPr>
              <w:jc w:val="right"/>
            </w:pPr>
            <w:r>
              <w:rPr>
                <w:color w:val="000000"/>
                <w:sz w:val="24"/>
                <w:szCs w:val="24"/>
              </w:rPr>
              <w:t>2,999,884</w:t>
            </w:r>
          </w:p>
        </w:tc>
        <w:tc>
          <w:tcPr>
            <w:tcW w:w="1924" w:type="dxa"/>
            <w:vAlign w:val="center"/>
          </w:tcPr>
          <w:p w:rsidR="004218EA" w:rsidRDefault="00012661">
            <w:pPr>
              <w:jc w:val="right"/>
            </w:pPr>
            <w:r>
              <w:rPr>
                <w:color w:val="000000"/>
                <w:sz w:val="24"/>
                <w:szCs w:val="24"/>
              </w:rPr>
              <w:t>24,599,048.80</w:t>
            </w:r>
          </w:p>
        </w:tc>
        <w:tc>
          <w:tcPr>
            <w:tcW w:w="1644" w:type="dxa"/>
            <w:vAlign w:val="center"/>
          </w:tcPr>
          <w:p w:rsidR="004218EA" w:rsidRDefault="00012661">
            <w:pPr>
              <w:jc w:val="right"/>
            </w:pPr>
            <w:r>
              <w:rPr>
                <w:color w:val="000000"/>
                <w:sz w:val="24"/>
                <w:szCs w:val="24"/>
              </w:rPr>
              <w:t>3.05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1,099,784.00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1,099,784.00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218EA">
        <w:trPr>
          <w:jc w:val="center"/>
        </w:trPr>
        <w:tc>
          <w:tcPr>
            <w:tcW w:w="850" w:type="dxa"/>
            <w:vAlign w:val="center"/>
          </w:tcPr>
          <w:p w:rsidR="004218EA" w:rsidRDefault="00012661">
            <w:pPr>
              <w:jc w:val="center"/>
            </w:pPr>
            <w:r>
              <w:rPr>
                <w:color w:val="000000"/>
                <w:sz w:val="24"/>
                <w:szCs w:val="24"/>
              </w:rPr>
              <w:t>1</w:t>
            </w:r>
          </w:p>
        </w:tc>
        <w:tc>
          <w:tcPr>
            <w:tcW w:w="1475" w:type="dxa"/>
            <w:vAlign w:val="center"/>
          </w:tcPr>
          <w:p w:rsidR="004218EA" w:rsidRDefault="00012661">
            <w:pPr>
              <w:jc w:val="center"/>
            </w:pPr>
            <w:r>
              <w:rPr>
                <w:color w:val="000000"/>
                <w:sz w:val="24"/>
                <w:szCs w:val="24"/>
              </w:rPr>
              <w:t>110025</w:t>
            </w:r>
          </w:p>
        </w:tc>
        <w:tc>
          <w:tcPr>
            <w:tcW w:w="1769" w:type="dxa"/>
            <w:vAlign w:val="center"/>
          </w:tcPr>
          <w:p w:rsidR="004218EA" w:rsidRDefault="00012661">
            <w:pPr>
              <w:jc w:val="center"/>
            </w:pPr>
            <w:r>
              <w:rPr>
                <w:color w:val="000000"/>
                <w:sz w:val="24"/>
                <w:szCs w:val="24"/>
              </w:rPr>
              <w:t>国金转债</w:t>
            </w:r>
          </w:p>
        </w:tc>
        <w:tc>
          <w:tcPr>
            <w:tcW w:w="1387" w:type="dxa"/>
            <w:vAlign w:val="center"/>
          </w:tcPr>
          <w:p w:rsidR="004218EA" w:rsidRDefault="00012661">
            <w:pPr>
              <w:jc w:val="right"/>
            </w:pPr>
            <w:r>
              <w:rPr>
                <w:color w:val="000000"/>
                <w:sz w:val="24"/>
                <w:szCs w:val="24"/>
              </w:rPr>
              <w:t>9,580</w:t>
            </w:r>
          </w:p>
        </w:tc>
        <w:tc>
          <w:tcPr>
            <w:tcW w:w="2150" w:type="dxa"/>
            <w:vAlign w:val="center"/>
          </w:tcPr>
          <w:p w:rsidR="004218EA" w:rsidRDefault="00012661">
            <w:pPr>
              <w:jc w:val="right"/>
            </w:pPr>
            <w:r>
              <w:rPr>
                <w:color w:val="000000"/>
                <w:sz w:val="24"/>
                <w:szCs w:val="24"/>
              </w:rPr>
              <w:t>1,099,784.00</w:t>
            </w:r>
          </w:p>
        </w:tc>
        <w:tc>
          <w:tcPr>
            <w:tcW w:w="1237" w:type="dxa"/>
            <w:vAlign w:val="center"/>
          </w:tcPr>
          <w:p w:rsidR="004218EA" w:rsidRDefault="00012661">
            <w:pPr>
              <w:jc w:val="right"/>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452,330.37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49,611,822.47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23,854.22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2,672.72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50,090,679.78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1,086,922,594.08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1,113,744.77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63,075,215.00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1,024,961,123.85</w:t>
            </w:r>
          </w:p>
        </w:tc>
      </w:tr>
    </w:tbl>
    <w:p w:rsidR="004218EA" w:rsidRDefault="000126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1266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1.95</w:t>
            </w:r>
          </w:p>
        </w:tc>
      </w:tr>
    </w:tbl>
    <w:p w:rsidR="004218EA" w:rsidRDefault="0001266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1266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218EA" w:rsidRDefault="0001266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4218EA" w:rsidRDefault="0001266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4218EA" w:rsidRDefault="0001266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4218EA" w:rsidRDefault="0001266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4218EA" w:rsidRDefault="0001266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218EA" w:rsidRDefault="0001266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72B" w:rsidRDefault="00EB572B" w:rsidP="00876D65">
      <w:r>
        <w:separator/>
      </w:r>
    </w:p>
  </w:endnote>
  <w:endnote w:type="continuationSeparator" w:id="0">
    <w:p w:rsidR="00EB572B" w:rsidRDefault="00EB572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4218EA">
      <w:rPr>
        <w:kern w:val="0"/>
        <w:szCs w:val="21"/>
      </w:rPr>
      <w:fldChar w:fldCharType="begin"/>
    </w:r>
    <w:r>
      <w:rPr>
        <w:kern w:val="0"/>
        <w:szCs w:val="21"/>
      </w:rPr>
      <w:instrText xml:space="preserve"> PAGE </w:instrText>
    </w:r>
    <w:r w:rsidR="004218EA">
      <w:rPr>
        <w:kern w:val="0"/>
        <w:szCs w:val="21"/>
      </w:rPr>
      <w:fldChar w:fldCharType="separate"/>
    </w:r>
    <w:r w:rsidR="00C551F8">
      <w:rPr>
        <w:noProof/>
        <w:kern w:val="0"/>
        <w:szCs w:val="21"/>
      </w:rPr>
      <w:t>1</w:t>
    </w:r>
    <w:r w:rsidR="004218EA">
      <w:rPr>
        <w:kern w:val="0"/>
        <w:szCs w:val="21"/>
      </w:rPr>
      <w:fldChar w:fldCharType="end"/>
    </w:r>
    <w:r>
      <w:rPr>
        <w:rFonts w:hint="eastAsia"/>
        <w:kern w:val="0"/>
        <w:szCs w:val="21"/>
      </w:rPr>
      <w:t>页共</w:t>
    </w:r>
    <w:r w:rsidR="004218EA">
      <w:rPr>
        <w:kern w:val="0"/>
        <w:szCs w:val="21"/>
      </w:rPr>
      <w:fldChar w:fldCharType="begin"/>
    </w:r>
    <w:r>
      <w:rPr>
        <w:kern w:val="0"/>
        <w:szCs w:val="21"/>
      </w:rPr>
      <w:instrText xml:space="preserve"> NUMPAGES </w:instrText>
    </w:r>
    <w:r w:rsidR="004218EA">
      <w:rPr>
        <w:kern w:val="0"/>
        <w:szCs w:val="21"/>
      </w:rPr>
      <w:fldChar w:fldCharType="separate"/>
    </w:r>
    <w:r w:rsidR="00C551F8">
      <w:rPr>
        <w:noProof/>
        <w:kern w:val="0"/>
        <w:szCs w:val="21"/>
      </w:rPr>
      <w:t>11</w:t>
    </w:r>
    <w:r w:rsidR="004218E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72B" w:rsidRDefault="00EB572B" w:rsidP="00876D65">
      <w:r>
        <w:separator/>
      </w:r>
    </w:p>
  </w:footnote>
  <w:footnote w:type="continuationSeparator" w:id="0">
    <w:p w:rsidR="00EB572B" w:rsidRDefault="00EB572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2661"/>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8EA"/>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51F8"/>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351F687-397F-4EA4-AB29-A77F8F5E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ECDA-8DEB-49E2-B579-99AB1BBE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11</Pages>
  <Words>1011</Words>
  <Characters>5769</Characters>
  <Application>Microsoft Office Word</Application>
  <DocSecurity>0</DocSecurity>
  <Lines>48</Lines>
  <Paragraphs>13</Paragraphs>
  <ScaleCrop>false</ScaleCrop>
  <Company/>
  <LinksUpToDate>false</LinksUpToDate>
  <CharactersWithSpaces>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528</cp:revision>
  <dcterms:created xsi:type="dcterms:W3CDTF">2012-10-16T06:07:00Z</dcterms:created>
  <dcterms:modified xsi:type="dcterms:W3CDTF">2014-07-15T09:07:00Z</dcterms:modified>
</cp:coreProperties>
</file>