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362A93">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647CA" w:rsidRDefault="00362A9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647CA" w:rsidRDefault="00362A93">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647CA" w:rsidRDefault="00362A9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647CA" w:rsidRDefault="00362A9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647CA" w:rsidRDefault="00362A9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362A9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692,636,132.02</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362A9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62A93" w:rsidRPr="00414345" w:rsidTr="00362A9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62A93" w:rsidRPr="00414345" w:rsidTr="00362A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-5,619,804.11</w:t>
            </w:r>
          </w:p>
        </w:tc>
      </w:tr>
      <w:tr w:rsidR="00362A93" w:rsidRPr="00414345" w:rsidTr="00362A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5,976,684.71</w:t>
            </w:r>
          </w:p>
        </w:tc>
      </w:tr>
      <w:tr w:rsidR="00362A93" w:rsidRPr="00414345" w:rsidTr="00362A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0.0085</w:t>
            </w:r>
          </w:p>
        </w:tc>
      </w:tr>
      <w:tr w:rsidR="00362A93" w:rsidRPr="00414345" w:rsidTr="00362A9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529,272,802.29</w:t>
            </w:r>
          </w:p>
        </w:tc>
      </w:tr>
      <w:tr w:rsidR="00362A93" w:rsidRPr="00414345" w:rsidTr="00362A9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0.764</w:t>
            </w:r>
          </w:p>
        </w:tc>
      </w:tr>
    </w:tbl>
    <w:p w:rsidR="009647CA" w:rsidRDefault="00362A9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993"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23"/>
      </w:tblGrid>
      <w:tr w:rsidR="00EF6FA5" w:rsidRPr="00414345" w:rsidTr="00827996">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2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647CA" w:rsidTr="00827996">
        <w:trPr>
          <w:jc w:val="center"/>
        </w:trPr>
        <w:tc>
          <w:tcPr>
            <w:tcW w:w="1701" w:type="dxa"/>
            <w:vAlign w:val="center"/>
          </w:tcPr>
          <w:p w:rsidR="009647CA" w:rsidRDefault="00362A93">
            <w:pPr>
              <w:jc w:val="left"/>
            </w:pPr>
            <w:r>
              <w:rPr>
                <w:color w:val="000000"/>
                <w:sz w:val="24"/>
                <w:szCs w:val="24"/>
              </w:rPr>
              <w:t>过去三个月</w:t>
            </w:r>
          </w:p>
        </w:tc>
        <w:tc>
          <w:tcPr>
            <w:tcW w:w="1045" w:type="dxa"/>
            <w:vAlign w:val="center"/>
          </w:tcPr>
          <w:p w:rsidR="009647CA" w:rsidRDefault="00362A93">
            <w:pPr>
              <w:jc w:val="center"/>
            </w:pPr>
            <w:r>
              <w:rPr>
                <w:color w:val="000000"/>
                <w:sz w:val="24"/>
                <w:szCs w:val="24"/>
              </w:rPr>
              <w:t>1.06%</w:t>
            </w:r>
          </w:p>
        </w:tc>
        <w:tc>
          <w:tcPr>
            <w:tcW w:w="1344" w:type="dxa"/>
            <w:vAlign w:val="center"/>
          </w:tcPr>
          <w:p w:rsidR="009647CA" w:rsidRDefault="00362A93">
            <w:pPr>
              <w:jc w:val="center"/>
            </w:pPr>
            <w:r>
              <w:rPr>
                <w:color w:val="000000"/>
                <w:sz w:val="24"/>
                <w:szCs w:val="24"/>
              </w:rPr>
              <w:t>0.46%</w:t>
            </w:r>
          </w:p>
        </w:tc>
        <w:tc>
          <w:tcPr>
            <w:tcW w:w="1194" w:type="dxa"/>
            <w:vAlign w:val="center"/>
          </w:tcPr>
          <w:p w:rsidR="009647CA" w:rsidRDefault="00362A93">
            <w:pPr>
              <w:jc w:val="center"/>
            </w:pPr>
            <w:r>
              <w:rPr>
                <w:color w:val="000000"/>
                <w:sz w:val="24"/>
                <w:szCs w:val="24"/>
              </w:rPr>
              <w:t>1.54%</w:t>
            </w:r>
          </w:p>
        </w:tc>
        <w:tc>
          <w:tcPr>
            <w:tcW w:w="1492" w:type="dxa"/>
            <w:vAlign w:val="center"/>
          </w:tcPr>
          <w:p w:rsidR="009647CA" w:rsidRDefault="00362A93">
            <w:pPr>
              <w:jc w:val="center"/>
            </w:pPr>
            <w:r>
              <w:rPr>
                <w:color w:val="000000"/>
                <w:sz w:val="24"/>
                <w:szCs w:val="24"/>
              </w:rPr>
              <w:t>0.53%</w:t>
            </w:r>
          </w:p>
        </w:tc>
        <w:tc>
          <w:tcPr>
            <w:tcW w:w="1194" w:type="dxa"/>
            <w:vAlign w:val="center"/>
          </w:tcPr>
          <w:p w:rsidR="009647CA" w:rsidRDefault="00362A93">
            <w:pPr>
              <w:jc w:val="center"/>
            </w:pPr>
            <w:r>
              <w:rPr>
                <w:color w:val="000000"/>
                <w:sz w:val="24"/>
                <w:szCs w:val="24"/>
              </w:rPr>
              <w:t>-0.48%</w:t>
            </w:r>
          </w:p>
        </w:tc>
        <w:tc>
          <w:tcPr>
            <w:tcW w:w="1023" w:type="dxa"/>
            <w:vAlign w:val="center"/>
          </w:tcPr>
          <w:p w:rsidR="009647CA" w:rsidRDefault="00362A93">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362A9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647CA">
        <w:trPr>
          <w:jc w:val="center"/>
        </w:trPr>
        <w:tc>
          <w:tcPr>
            <w:tcW w:w="846" w:type="dxa"/>
            <w:vAlign w:val="center"/>
          </w:tcPr>
          <w:p w:rsidR="009647CA" w:rsidRDefault="00362A93">
            <w:pPr>
              <w:jc w:val="center"/>
            </w:pPr>
            <w:r>
              <w:rPr>
                <w:color w:val="000000"/>
                <w:sz w:val="24"/>
                <w:szCs w:val="24"/>
              </w:rPr>
              <w:t>李永兴</w:t>
            </w:r>
          </w:p>
        </w:tc>
        <w:tc>
          <w:tcPr>
            <w:tcW w:w="845" w:type="dxa"/>
            <w:vAlign w:val="center"/>
          </w:tcPr>
          <w:p w:rsidR="009647CA" w:rsidRDefault="00362A93">
            <w:pPr>
              <w:jc w:val="center"/>
            </w:pPr>
            <w:r>
              <w:rPr>
                <w:color w:val="000000"/>
                <w:sz w:val="24"/>
                <w:szCs w:val="24"/>
              </w:rPr>
              <w:t>本基金、交银施罗德周期回报灵活配置混合型证券投资基金的基金</w:t>
            </w:r>
            <w:r>
              <w:rPr>
                <w:color w:val="000000"/>
                <w:sz w:val="24"/>
                <w:szCs w:val="24"/>
              </w:rPr>
              <w:lastRenderedPageBreak/>
              <w:t>经理</w:t>
            </w:r>
          </w:p>
        </w:tc>
        <w:tc>
          <w:tcPr>
            <w:tcW w:w="1549" w:type="dxa"/>
            <w:vAlign w:val="center"/>
          </w:tcPr>
          <w:p w:rsidR="009647CA" w:rsidRDefault="00362A93">
            <w:pPr>
              <w:jc w:val="center"/>
            </w:pPr>
            <w:r>
              <w:rPr>
                <w:color w:val="000000"/>
                <w:sz w:val="24"/>
                <w:szCs w:val="24"/>
              </w:rPr>
              <w:lastRenderedPageBreak/>
              <w:t>2012-03-20</w:t>
            </w:r>
          </w:p>
        </w:tc>
        <w:tc>
          <w:tcPr>
            <w:tcW w:w="1548" w:type="dxa"/>
            <w:vAlign w:val="center"/>
          </w:tcPr>
          <w:p w:rsidR="009647CA" w:rsidRDefault="00362A93">
            <w:pPr>
              <w:jc w:val="center"/>
            </w:pPr>
            <w:r>
              <w:rPr>
                <w:color w:val="000000"/>
                <w:sz w:val="24"/>
                <w:szCs w:val="24"/>
              </w:rPr>
              <w:t>-</w:t>
            </w:r>
          </w:p>
        </w:tc>
        <w:tc>
          <w:tcPr>
            <w:tcW w:w="1407" w:type="dxa"/>
            <w:vAlign w:val="center"/>
          </w:tcPr>
          <w:p w:rsidR="009647CA" w:rsidRDefault="00362A93">
            <w:pPr>
              <w:jc w:val="center"/>
            </w:pPr>
            <w:r>
              <w:rPr>
                <w:color w:val="000000"/>
                <w:sz w:val="24"/>
                <w:szCs w:val="24"/>
              </w:rPr>
              <w:t>8</w:t>
            </w:r>
            <w:r>
              <w:rPr>
                <w:color w:val="000000"/>
                <w:sz w:val="24"/>
                <w:szCs w:val="24"/>
              </w:rPr>
              <w:t>年</w:t>
            </w:r>
          </w:p>
        </w:tc>
        <w:tc>
          <w:tcPr>
            <w:tcW w:w="2673" w:type="dxa"/>
            <w:vAlign w:val="center"/>
          </w:tcPr>
          <w:p w:rsidR="009647CA" w:rsidRDefault="00362A93">
            <w:r>
              <w:rPr>
                <w:color w:val="000000"/>
                <w:sz w:val="24"/>
                <w:szCs w:val="24"/>
              </w:rPr>
              <w:t>李永兴先生，经济学硕士。</w:t>
            </w:r>
            <w:r>
              <w:rPr>
                <w:color w:val="000000"/>
                <w:sz w:val="24"/>
                <w:szCs w:val="24"/>
              </w:rPr>
              <w:t>2006</w:t>
            </w:r>
            <w:r>
              <w:rPr>
                <w:color w:val="000000"/>
                <w:sz w:val="24"/>
                <w:szCs w:val="24"/>
              </w:rPr>
              <w:t>年加入交银施罗德基金管理有限公司，历任投资研究部研究员、基金经理助理。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647CA" w:rsidRDefault="00362A9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647CA" w:rsidRDefault="00362A9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647CA" w:rsidRDefault="00362A9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647CA" w:rsidRDefault="00362A93">
      <w:pPr>
        <w:spacing w:before="29" w:line="288" w:lineRule="auto"/>
        <w:ind w:firstLineChars="200" w:firstLine="480"/>
        <w:rPr>
          <w:color w:val="000000"/>
          <w:sz w:val="24"/>
          <w:szCs w:val="24"/>
        </w:rPr>
      </w:pPr>
      <w:r>
        <w:rPr>
          <w:color w:val="000000"/>
          <w:sz w:val="24"/>
          <w:szCs w:val="24"/>
        </w:rPr>
        <w:t>2014</w:t>
      </w:r>
      <w:r>
        <w:rPr>
          <w:color w:val="000000"/>
          <w:sz w:val="24"/>
          <w:szCs w:val="24"/>
        </w:rPr>
        <w:t>年二季度，沪深</w:t>
      </w:r>
      <w:r>
        <w:rPr>
          <w:color w:val="000000"/>
          <w:sz w:val="24"/>
          <w:szCs w:val="24"/>
        </w:rPr>
        <w:t>300</w:t>
      </w:r>
      <w:r>
        <w:rPr>
          <w:color w:val="000000"/>
          <w:sz w:val="24"/>
          <w:szCs w:val="24"/>
        </w:rPr>
        <w:t>指数上涨</w:t>
      </w:r>
      <w:r>
        <w:rPr>
          <w:color w:val="000000"/>
          <w:sz w:val="24"/>
          <w:szCs w:val="24"/>
        </w:rPr>
        <w:t>0.88%</w:t>
      </w:r>
      <w:r>
        <w:rPr>
          <w:color w:val="000000"/>
          <w:sz w:val="24"/>
          <w:szCs w:val="24"/>
        </w:rPr>
        <w:t>，本基金净值上涨</w:t>
      </w:r>
      <w:r>
        <w:rPr>
          <w:color w:val="000000"/>
          <w:sz w:val="24"/>
          <w:szCs w:val="24"/>
        </w:rPr>
        <w:t>1.06%</w:t>
      </w:r>
      <w:r>
        <w:rPr>
          <w:color w:val="000000"/>
          <w:sz w:val="24"/>
          <w:szCs w:val="24"/>
        </w:rPr>
        <w:t>，净值涨幅高于沪深</w:t>
      </w:r>
      <w:r>
        <w:rPr>
          <w:color w:val="000000"/>
          <w:sz w:val="24"/>
          <w:szCs w:val="24"/>
        </w:rPr>
        <w:t>300</w:t>
      </w:r>
      <w:r>
        <w:rPr>
          <w:color w:val="000000"/>
          <w:sz w:val="24"/>
          <w:szCs w:val="24"/>
        </w:rPr>
        <w:t>指数但未有跑赢业绩比较基准。</w:t>
      </w:r>
    </w:p>
    <w:p w:rsidR="009647CA" w:rsidRDefault="00362A93">
      <w:pPr>
        <w:spacing w:before="29" w:line="288" w:lineRule="auto"/>
        <w:ind w:firstLineChars="200" w:firstLine="480"/>
        <w:rPr>
          <w:color w:val="000000"/>
          <w:sz w:val="24"/>
          <w:szCs w:val="24"/>
        </w:rPr>
      </w:pPr>
      <w:r>
        <w:rPr>
          <w:color w:val="000000"/>
          <w:sz w:val="24"/>
          <w:szCs w:val="24"/>
        </w:rPr>
        <w:t>二季度股票市场呈现小幅波动的走势。</w:t>
      </w:r>
      <w:r>
        <w:rPr>
          <w:color w:val="000000"/>
          <w:sz w:val="24"/>
          <w:szCs w:val="24"/>
        </w:rPr>
        <w:t>4</w:t>
      </w:r>
      <w:r>
        <w:rPr>
          <w:color w:val="000000"/>
          <w:sz w:val="24"/>
          <w:szCs w:val="24"/>
        </w:rPr>
        <w:t>月至</w:t>
      </w:r>
      <w:r>
        <w:rPr>
          <w:color w:val="000000"/>
          <w:sz w:val="24"/>
          <w:szCs w:val="24"/>
        </w:rPr>
        <w:t>5</w:t>
      </w:r>
      <w:r>
        <w:rPr>
          <w:color w:val="000000"/>
          <w:sz w:val="24"/>
          <w:szCs w:val="24"/>
        </w:rPr>
        <w:t>月中旬，由于经济下滑的压力较大，股票市场出现下跌，尤其是部分高估值的创业板公司跌幅较大。但是随着五月下旬经济在出口的带动下开始出现企稳回升迹象，股票市场也开始反弹，前期跌幅较大的中小板</w:t>
      </w:r>
      <w:r>
        <w:rPr>
          <w:color w:val="000000"/>
          <w:sz w:val="24"/>
          <w:szCs w:val="24"/>
        </w:rPr>
        <w:lastRenderedPageBreak/>
        <w:t>及创业板反弹幅度也更大。从行业上看，二季度计算机、传媒、电子等新兴行业表现出较大的弹性，无论在下跌过程中还是在反弹过程中波动幅度都比蓝筹行业更大，但市场跟前期相比也未明显出现新的投资主题。</w:t>
      </w:r>
    </w:p>
    <w:p w:rsidR="009647CA" w:rsidRDefault="00362A93">
      <w:pPr>
        <w:spacing w:before="29" w:line="288" w:lineRule="auto"/>
        <w:ind w:firstLineChars="200" w:firstLine="480"/>
        <w:rPr>
          <w:color w:val="000000"/>
          <w:sz w:val="24"/>
          <w:szCs w:val="24"/>
        </w:rPr>
      </w:pPr>
      <w:r>
        <w:rPr>
          <w:color w:val="000000"/>
          <w:sz w:val="24"/>
          <w:szCs w:val="24"/>
        </w:rPr>
        <w:t>本基金在二季度中，由于观察到经济出现企稳回升的迹象，因此较大幅度地提高了股票仓位，为基金份额持有人获得了一定的收益。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展望三季度，虽然经济在出口的带动下短期企稳回升，但进一步上升的基础并不牢固，未来经济仍有下滑的可能。本基金将根据经济运行数据的变化，对仓位和持仓结构适时做出相应调整。</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0.764</w:t>
      </w:r>
      <w:r w:rsidRPr="00414345">
        <w:rPr>
          <w:color w:val="000000"/>
          <w:sz w:val="24"/>
          <w:szCs w:val="24"/>
        </w:rPr>
        <w:t>元，本报告期份额净值增长率为</w:t>
      </w:r>
      <w:r w:rsidRPr="00414345">
        <w:rPr>
          <w:color w:val="000000"/>
          <w:sz w:val="24"/>
          <w:szCs w:val="24"/>
        </w:rPr>
        <w:t>1.06%</w:t>
      </w:r>
      <w:r w:rsidRPr="00414345">
        <w:rPr>
          <w:color w:val="000000"/>
          <w:sz w:val="24"/>
          <w:szCs w:val="24"/>
        </w:rPr>
        <w:t>，同期业绩比较基准增长率为</w:t>
      </w:r>
      <w:r w:rsidRPr="00414345">
        <w:rPr>
          <w:color w:val="000000"/>
          <w:sz w:val="24"/>
          <w:szCs w:val="24"/>
        </w:rPr>
        <w:t>1.54%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362A9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298,597,078.46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56.17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298,597,078.46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56.17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90,700,000.00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90,700,000.00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48,500,144.25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9.12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41,313,256.43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7.77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52,496,656.16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9.88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531,607,135.30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w:t>
            </w:r>
            <w:r w:rsidRPr="00414345">
              <w:rPr>
                <w:sz w:val="24"/>
                <w:szCs w:val="24"/>
              </w:rPr>
              <w:lastRenderedPageBreak/>
              <w:t>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362A93">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362A93">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169,123,706.70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32,517,123.86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362A93">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29,001,541.80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27,209,740.46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15,461,182.90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5,675,600.82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5,195,980.47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14,412,201.45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298,597,078.46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56.42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647CA">
        <w:trPr>
          <w:jc w:val="center"/>
        </w:trPr>
        <w:tc>
          <w:tcPr>
            <w:tcW w:w="855" w:type="dxa"/>
            <w:vAlign w:val="center"/>
          </w:tcPr>
          <w:p w:rsidR="009647CA" w:rsidRDefault="00362A93">
            <w:pPr>
              <w:jc w:val="center"/>
            </w:pPr>
            <w:r>
              <w:rPr>
                <w:color w:val="000000"/>
                <w:sz w:val="24"/>
                <w:szCs w:val="24"/>
              </w:rPr>
              <w:t>1</w:t>
            </w:r>
          </w:p>
        </w:tc>
        <w:tc>
          <w:tcPr>
            <w:tcW w:w="1334" w:type="dxa"/>
            <w:vAlign w:val="center"/>
          </w:tcPr>
          <w:p w:rsidR="009647CA" w:rsidRDefault="00362A93">
            <w:pPr>
              <w:jc w:val="center"/>
            </w:pPr>
            <w:r>
              <w:rPr>
                <w:color w:val="000000"/>
                <w:sz w:val="24"/>
                <w:szCs w:val="24"/>
              </w:rPr>
              <w:t>002223</w:t>
            </w:r>
          </w:p>
        </w:tc>
        <w:tc>
          <w:tcPr>
            <w:tcW w:w="1777" w:type="dxa"/>
            <w:vAlign w:val="center"/>
          </w:tcPr>
          <w:p w:rsidR="009647CA" w:rsidRDefault="00362A93">
            <w:pPr>
              <w:jc w:val="center"/>
            </w:pPr>
            <w:r>
              <w:rPr>
                <w:color w:val="000000"/>
                <w:sz w:val="24"/>
                <w:szCs w:val="24"/>
              </w:rPr>
              <w:t>鱼跃医疗</w:t>
            </w:r>
          </w:p>
        </w:tc>
        <w:tc>
          <w:tcPr>
            <w:tcW w:w="1334" w:type="dxa"/>
            <w:vAlign w:val="center"/>
          </w:tcPr>
          <w:p w:rsidR="009647CA" w:rsidRDefault="00362A93">
            <w:pPr>
              <w:jc w:val="right"/>
            </w:pPr>
            <w:r>
              <w:rPr>
                <w:color w:val="000000"/>
                <w:sz w:val="24"/>
                <w:szCs w:val="24"/>
              </w:rPr>
              <w:t>1,171,841</w:t>
            </w:r>
          </w:p>
        </w:tc>
        <w:tc>
          <w:tcPr>
            <w:tcW w:w="1924" w:type="dxa"/>
            <w:vAlign w:val="center"/>
          </w:tcPr>
          <w:p w:rsidR="009647CA" w:rsidRDefault="00362A93">
            <w:pPr>
              <w:jc w:val="right"/>
            </w:pPr>
            <w:r>
              <w:rPr>
                <w:color w:val="000000"/>
                <w:sz w:val="24"/>
                <w:szCs w:val="24"/>
              </w:rPr>
              <w:t>28,417,144.25</w:t>
            </w:r>
          </w:p>
        </w:tc>
        <w:tc>
          <w:tcPr>
            <w:tcW w:w="1644" w:type="dxa"/>
            <w:vAlign w:val="center"/>
          </w:tcPr>
          <w:p w:rsidR="009647CA" w:rsidRDefault="00362A93">
            <w:pPr>
              <w:jc w:val="right"/>
            </w:pPr>
            <w:r>
              <w:rPr>
                <w:color w:val="000000"/>
                <w:sz w:val="24"/>
                <w:szCs w:val="24"/>
              </w:rPr>
              <w:t>5.37</w:t>
            </w:r>
          </w:p>
        </w:tc>
      </w:tr>
      <w:tr w:rsidR="009647CA">
        <w:trPr>
          <w:jc w:val="center"/>
        </w:trPr>
        <w:tc>
          <w:tcPr>
            <w:tcW w:w="855" w:type="dxa"/>
            <w:vAlign w:val="center"/>
          </w:tcPr>
          <w:p w:rsidR="009647CA" w:rsidRDefault="00362A93">
            <w:pPr>
              <w:jc w:val="center"/>
            </w:pPr>
            <w:r>
              <w:rPr>
                <w:color w:val="000000"/>
                <w:sz w:val="24"/>
                <w:szCs w:val="24"/>
              </w:rPr>
              <w:t>2</w:t>
            </w:r>
          </w:p>
        </w:tc>
        <w:tc>
          <w:tcPr>
            <w:tcW w:w="1334" w:type="dxa"/>
            <w:vAlign w:val="center"/>
          </w:tcPr>
          <w:p w:rsidR="009647CA" w:rsidRDefault="00362A93">
            <w:pPr>
              <w:jc w:val="center"/>
            </w:pPr>
            <w:r>
              <w:rPr>
                <w:color w:val="000000"/>
                <w:sz w:val="24"/>
                <w:szCs w:val="24"/>
              </w:rPr>
              <w:t>300005</w:t>
            </w:r>
          </w:p>
        </w:tc>
        <w:tc>
          <w:tcPr>
            <w:tcW w:w="1777" w:type="dxa"/>
            <w:vAlign w:val="center"/>
          </w:tcPr>
          <w:p w:rsidR="009647CA" w:rsidRDefault="00362A93">
            <w:pPr>
              <w:jc w:val="center"/>
            </w:pPr>
            <w:r>
              <w:rPr>
                <w:color w:val="000000"/>
                <w:sz w:val="24"/>
                <w:szCs w:val="24"/>
              </w:rPr>
              <w:t>探路者</w:t>
            </w:r>
          </w:p>
        </w:tc>
        <w:tc>
          <w:tcPr>
            <w:tcW w:w="1334" w:type="dxa"/>
            <w:vAlign w:val="center"/>
          </w:tcPr>
          <w:p w:rsidR="009647CA" w:rsidRDefault="00362A93">
            <w:pPr>
              <w:jc w:val="right"/>
            </w:pPr>
            <w:r>
              <w:rPr>
                <w:color w:val="000000"/>
                <w:sz w:val="24"/>
                <w:szCs w:val="24"/>
              </w:rPr>
              <w:t>1,754,730</w:t>
            </w:r>
          </w:p>
        </w:tc>
        <w:tc>
          <w:tcPr>
            <w:tcW w:w="1924" w:type="dxa"/>
            <w:vAlign w:val="center"/>
          </w:tcPr>
          <w:p w:rsidR="009647CA" w:rsidRDefault="00362A93">
            <w:pPr>
              <w:jc w:val="right"/>
            </w:pPr>
            <w:r>
              <w:rPr>
                <w:color w:val="000000"/>
                <w:sz w:val="24"/>
                <w:szCs w:val="24"/>
              </w:rPr>
              <w:t>27,093,031.20</w:t>
            </w:r>
          </w:p>
        </w:tc>
        <w:tc>
          <w:tcPr>
            <w:tcW w:w="1644" w:type="dxa"/>
            <w:vAlign w:val="center"/>
          </w:tcPr>
          <w:p w:rsidR="009647CA" w:rsidRDefault="00362A93">
            <w:pPr>
              <w:jc w:val="right"/>
            </w:pPr>
            <w:r>
              <w:rPr>
                <w:color w:val="000000"/>
                <w:sz w:val="24"/>
                <w:szCs w:val="24"/>
              </w:rPr>
              <w:t>5.12</w:t>
            </w:r>
          </w:p>
        </w:tc>
      </w:tr>
      <w:tr w:rsidR="009647CA">
        <w:trPr>
          <w:jc w:val="center"/>
        </w:trPr>
        <w:tc>
          <w:tcPr>
            <w:tcW w:w="855" w:type="dxa"/>
            <w:vAlign w:val="center"/>
          </w:tcPr>
          <w:p w:rsidR="009647CA" w:rsidRDefault="00362A93">
            <w:pPr>
              <w:jc w:val="center"/>
            </w:pPr>
            <w:r>
              <w:rPr>
                <w:color w:val="000000"/>
                <w:sz w:val="24"/>
                <w:szCs w:val="24"/>
              </w:rPr>
              <w:t>3</w:t>
            </w:r>
          </w:p>
        </w:tc>
        <w:tc>
          <w:tcPr>
            <w:tcW w:w="1334" w:type="dxa"/>
            <w:vAlign w:val="center"/>
          </w:tcPr>
          <w:p w:rsidR="009647CA" w:rsidRDefault="00362A93">
            <w:pPr>
              <w:jc w:val="center"/>
            </w:pPr>
            <w:r>
              <w:rPr>
                <w:color w:val="000000"/>
                <w:sz w:val="24"/>
                <w:szCs w:val="24"/>
              </w:rPr>
              <w:t>601933</w:t>
            </w:r>
          </w:p>
        </w:tc>
        <w:tc>
          <w:tcPr>
            <w:tcW w:w="1777" w:type="dxa"/>
            <w:vAlign w:val="center"/>
          </w:tcPr>
          <w:p w:rsidR="009647CA" w:rsidRDefault="00362A93">
            <w:pPr>
              <w:jc w:val="center"/>
            </w:pPr>
            <w:r>
              <w:rPr>
                <w:color w:val="000000"/>
                <w:sz w:val="24"/>
                <w:szCs w:val="24"/>
              </w:rPr>
              <w:t>永辉超市</w:t>
            </w:r>
          </w:p>
        </w:tc>
        <w:tc>
          <w:tcPr>
            <w:tcW w:w="1334" w:type="dxa"/>
            <w:vAlign w:val="center"/>
          </w:tcPr>
          <w:p w:rsidR="009647CA" w:rsidRDefault="00362A93">
            <w:pPr>
              <w:jc w:val="right"/>
            </w:pPr>
            <w:r>
              <w:rPr>
                <w:color w:val="000000"/>
                <w:sz w:val="24"/>
                <w:szCs w:val="24"/>
              </w:rPr>
              <w:t>3,531,458</w:t>
            </w:r>
          </w:p>
        </w:tc>
        <w:tc>
          <w:tcPr>
            <w:tcW w:w="1924" w:type="dxa"/>
            <w:vAlign w:val="center"/>
          </w:tcPr>
          <w:p w:rsidR="009647CA" w:rsidRDefault="00362A93">
            <w:pPr>
              <w:jc w:val="right"/>
            </w:pPr>
            <w:r>
              <w:rPr>
                <w:color w:val="000000"/>
                <w:sz w:val="24"/>
                <w:szCs w:val="24"/>
              </w:rPr>
              <w:t>22,318,814.56</w:t>
            </w:r>
          </w:p>
        </w:tc>
        <w:tc>
          <w:tcPr>
            <w:tcW w:w="1644" w:type="dxa"/>
            <w:vAlign w:val="center"/>
          </w:tcPr>
          <w:p w:rsidR="009647CA" w:rsidRDefault="00362A93">
            <w:pPr>
              <w:jc w:val="right"/>
            </w:pPr>
            <w:r>
              <w:rPr>
                <w:color w:val="000000"/>
                <w:sz w:val="24"/>
                <w:szCs w:val="24"/>
              </w:rPr>
              <w:t>4.22</w:t>
            </w:r>
          </w:p>
        </w:tc>
      </w:tr>
      <w:tr w:rsidR="009647CA">
        <w:trPr>
          <w:jc w:val="center"/>
        </w:trPr>
        <w:tc>
          <w:tcPr>
            <w:tcW w:w="855" w:type="dxa"/>
            <w:vAlign w:val="center"/>
          </w:tcPr>
          <w:p w:rsidR="009647CA" w:rsidRDefault="00362A93">
            <w:pPr>
              <w:jc w:val="center"/>
            </w:pPr>
            <w:r>
              <w:rPr>
                <w:color w:val="000000"/>
                <w:sz w:val="24"/>
                <w:szCs w:val="24"/>
              </w:rPr>
              <w:t>4</w:t>
            </w:r>
          </w:p>
        </w:tc>
        <w:tc>
          <w:tcPr>
            <w:tcW w:w="1334" w:type="dxa"/>
            <w:vAlign w:val="center"/>
          </w:tcPr>
          <w:p w:rsidR="009647CA" w:rsidRDefault="00362A93">
            <w:pPr>
              <w:jc w:val="center"/>
            </w:pPr>
            <w:r>
              <w:rPr>
                <w:color w:val="000000"/>
                <w:sz w:val="24"/>
                <w:szCs w:val="24"/>
              </w:rPr>
              <w:t>300104</w:t>
            </w:r>
          </w:p>
        </w:tc>
        <w:tc>
          <w:tcPr>
            <w:tcW w:w="1777" w:type="dxa"/>
            <w:vAlign w:val="center"/>
          </w:tcPr>
          <w:p w:rsidR="009647CA" w:rsidRDefault="00362A93">
            <w:pPr>
              <w:jc w:val="center"/>
            </w:pPr>
            <w:r>
              <w:rPr>
                <w:color w:val="000000"/>
                <w:sz w:val="24"/>
                <w:szCs w:val="24"/>
              </w:rPr>
              <w:t>乐视网</w:t>
            </w:r>
          </w:p>
        </w:tc>
        <w:tc>
          <w:tcPr>
            <w:tcW w:w="1334" w:type="dxa"/>
            <w:vAlign w:val="center"/>
          </w:tcPr>
          <w:p w:rsidR="009647CA" w:rsidRDefault="00362A93">
            <w:pPr>
              <w:jc w:val="right"/>
            </w:pPr>
            <w:r>
              <w:rPr>
                <w:color w:val="000000"/>
                <w:sz w:val="24"/>
                <w:szCs w:val="24"/>
              </w:rPr>
              <w:t>420,592</w:t>
            </w:r>
          </w:p>
        </w:tc>
        <w:tc>
          <w:tcPr>
            <w:tcW w:w="1924" w:type="dxa"/>
            <w:vAlign w:val="center"/>
          </w:tcPr>
          <w:p w:rsidR="009647CA" w:rsidRDefault="00362A93">
            <w:pPr>
              <w:jc w:val="right"/>
            </w:pPr>
            <w:r>
              <w:rPr>
                <w:color w:val="000000"/>
                <w:sz w:val="24"/>
                <w:szCs w:val="24"/>
              </w:rPr>
              <w:t>18,463,988.80</w:t>
            </w:r>
          </w:p>
        </w:tc>
        <w:tc>
          <w:tcPr>
            <w:tcW w:w="1644" w:type="dxa"/>
            <w:vAlign w:val="center"/>
          </w:tcPr>
          <w:p w:rsidR="009647CA" w:rsidRDefault="00362A93">
            <w:pPr>
              <w:jc w:val="right"/>
            </w:pPr>
            <w:r>
              <w:rPr>
                <w:color w:val="000000"/>
                <w:sz w:val="24"/>
                <w:szCs w:val="24"/>
              </w:rPr>
              <w:t>3.49</w:t>
            </w:r>
          </w:p>
        </w:tc>
      </w:tr>
      <w:tr w:rsidR="009647CA">
        <w:trPr>
          <w:jc w:val="center"/>
        </w:trPr>
        <w:tc>
          <w:tcPr>
            <w:tcW w:w="855" w:type="dxa"/>
            <w:vAlign w:val="center"/>
          </w:tcPr>
          <w:p w:rsidR="009647CA" w:rsidRDefault="00362A93">
            <w:pPr>
              <w:jc w:val="center"/>
            </w:pPr>
            <w:r>
              <w:rPr>
                <w:color w:val="000000"/>
                <w:sz w:val="24"/>
                <w:szCs w:val="24"/>
              </w:rPr>
              <w:lastRenderedPageBreak/>
              <w:t>5</w:t>
            </w:r>
          </w:p>
        </w:tc>
        <w:tc>
          <w:tcPr>
            <w:tcW w:w="1334" w:type="dxa"/>
            <w:vAlign w:val="center"/>
          </w:tcPr>
          <w:p w:rsidR="009647CA" w:rsidRDefault="00362A93">
            <w:pPr>
              <w:jc w:val="center"/>
            </w:pPr>
            <w:r>
              <w:rPr>
                <w:color w:val="000000"/>
                <w:sz w:val="24"/>
                <w:szCs w:val="24"/>
              </w:rPr>
              <w:t>600566</w:t>
            </w:r>
          </w:p>
        </w:tc>
        <w:tc>
          <w:tcPr>
            <w:tcW w:w="1777" w:type="dxa"/>
            <w:vAlign w:val="center"/>
          </w:tcPr>
          <w:p w:rsidR="009647CA" w:rsidRDefault="00362A93">
            <w:pPr>
              <w:jc w:val="center"/>
            </w:pPr>
            <w:r>
              <w:rPr>
                <w:color w:val="000000"/>
                <w:sz w:val="24"/>
                <w:szCs w:val="24"/>
              </w:rPr>
              <w:t>洪城股份</w:t>
            </w:r>
          </w:p>
        </w:tc>
        <w:tc>
          <w:tcPr>
            <w:tcW w:w="1334" w:type="dxa"/>
            <w:vAlign w:val="center"/>
          </w:tcPr>
          <w:p w:rsidR="009647CA" w:rsidRDefault="00362A93">
            <w:pPr>
              <w:jc w:val="right"/>
            </w:pPr>
            <w:r>
              <w:rPr>
                <w:color w:val="000000"/>
                <w:sz w:val="24"/>
                <w:szCs w:val="24"/>
              </w:rPr>
              <w:t>756,259</w:t>
            </w:r>
          </w:p>
        </w:tc>
        <w:tc>
          <w:tcPr>
            <w:tcW w:w="1924" w:type="dxa"/>
            <w:vAlign w:val="center"/>
          </w:tcPr>
          <w:p w:rsidR="009647CA" w:rsidRDefault="00362A93">
            <w:pPr>
              <w:jc w:val="right"/>
            </w:pPr>
            <w:r>
              <w:rPr>
                <w:color w:val="000000"/>
                <w:sz w:val="24"/>
                <w:szCs w:val="24"/>
              </w:rPr>
              <w:t>17,469,582.90</w:t>
            </w:r>
          </w:p>
        </w:tc>
        <w:tc>
          <w:tcPr>
            <w:tcW w:w="1644" w:type="dxa"/>
            <w:vAlign w:val="center"/>
          </w:tcPr>
          <w:p w:rsidR="009647CA" w:rsidRDefault="00362A93">
            <w:pPr>
              <w:jc w:val="right"/>
            </w:pPr>
            <w:r>
              <w:rPr>
                <w:color w:val="000000"/>
                <w:sz w:val="24"/>
                <w:szCs w:val="24"/>
              </w:rPr>
              <w:t>3.30</w:t>
            </w:r>
          </w:p>
        </w:tc>
      </w:tr>
      <w:tr w:rsidR="009647CA">
        <w:trPr>
          <w:jc w:val="center"/>
        </w:trPr>
        <w:tc>
          <w:tcPr>
            <w:tcW w:w="855" w:type="dxa"/>
            <w:vAlign w:val="center"/>
          </w:tcPr>
          <w:p w:rsidR="009647CA" w:rsidRDefault="00362A93">
            <w:pPr>
              <w:jc w:val="center"/>
            </w:pPr>
            <w:r>
              <w:rPr>
                <w:color w:val="000000"/>
                <w:sz w:val="24"/>
                <w:szCs w:val="24"/>
              </w:rPr>
              <w:t>6</w:t>
            </w:r>
          </w:p>
        </w:tc>
        <w:tc>
          <w:tcPr>
            <w:tcW w:w="1334" w:type="dxa"/>
            <w:vAlign w:val="center"/>
          </w:tcPr>
          <w:p w:rsidR="009647CA" w:rsidRDefault="00362A93">
            <w:pPr>
              <w:jc w:val="center"/>
            </w:pPr>
            <w:r>
              <w:rPr>
                <w:color w:val="000000"/>
                <w:sz w:val="24"/>
                <w:szCs w:val="24"/>
              </w:rPr>
              <w:t>601318</w:t>
            </w:r>
          </w:p>
        </w:tc>
        <w:tc>
          <w:tcPr>
            <w:tcW w:w="1777" w:type="dxa"/>
            <w:vAlign w:val="center"/>
          </w:tcPr>
          <w:p w:rsidR="009647CA" w:rsidRDefault="00362A93">
            <w:pPr>
              <w:jc w:val="center"/>
            </w:pPr>
            <w:r>
              <w:rPr>
                <w:color w:val="000000"/>
                <w:sz w:val="24"/>
                <w:szCs w:val="24"/>
              </w:rPr>
              <w:t>中国平安</w:t>
            </w:r>
          </w:p>
        </w:tc>
        <w:tc>
          <w:tcPr>
            <w:tcW w:w="1334" w:type="dxa"/>
            <w:vAlign w:val="center"/>
          </w:tcPr>
          <w:p w:rsidR="009647CA" w:rsidRDefault="00362A93">
            <w:pPr>
              <w:jc w:val="right"/>
            </w:pPr>
            <w:r>
              <w:rPr>
                <w:color w:val="000000"/>
                <w:sz w:val="24"/>
                <w:szCs w:val="24"/>
              </w:rPr>
              <w:t>424,719</w:t>
            </w:r>
          </w:p>
        </w:tc>
        <w:tc>
          <w:tcPr>
            <w:tcW w:w="1924" w:type="dxa"/>
            <w:vAlign w:val="center"/>
          </w:tcPr>
          <w:p w:rsidR="009647CA" w:rsidRDefault="00362A93">
            <w:pPr>
              <w:jc w:val="right"/>
            </w:pPr>
            <w:r>
              <w:rPr>
                <w:color w:val="000000"/>
                <w:sz w:val="24"/>
                <w:szCs w:val="24"/>
              </w:rPr>
              <w:t>16,708,445.46</w:t>
            </w:r>
          </w:p>
        </w:tc>
        <w:tc>
          <w:tcPr>
            <w:tcW w:w="1644" w:type="dxa"/>
            <w:vAlign w:val="center"/>
          </w:tcPr>
          <w:p w:rsidR="009647CA" w:rsidRDefault="00362A93">
            <w:pPr>
              <w:jc w:val="right"/>
            </w:pPr>
            <w:r>
              <w:rPr>
                <w:color w:val="000000"/>
                <w:sz w:val="24"/>
                <w:szCs w:val="24"/>
              </w:rPr>
              <w:t>3.16</w:t>
            </w:r>
          </w:p>
        </w:tc>
      </w:tr>
      <w:tr w:rsidR="009647CA">
        <w:trPr>
          <w:jc w:val="center"/>
        </w:trPr>
        <w:tc>
          <w:tcPr>
            <w:tcW w:w="855" w:type="dxa"/>
            <w:vAlign w:val="center"/>
          </w:tcPr>
          <w:p w:rsidR="009647CA" w:rsidRDefault="00362A93">
            <w:pPr>
              <w:jc w:val="center"/>
            </w:pPr>
            <w:r>
              <w:rPr>
                <w:color w:val="000000"/>
                <w:sz w:val="24"/>
                <w:szCs w:val="24"/>
              </w:rPr>
              <w:t>7</w:t>
            </w:r>
          </w:p>
        </w:tc>
        <w:tc>
          <w:tcPr>
            <w:tcW w:w="1334" w:type="dxa"/>
            <w:vAlign w:val="center"/>
          </w:tcPr>
          <w:p w:rsidR="009647CA" w:rsidRDefault="00362A93">
            <w:pPr>
              <w:jc w:val="center"/>
            </w:pPr>
            <w:r>
              <w:rPr>
                <w:color w:val="000000"/>
                <w:sz w:val="24"/>
                <w:szCs w:val="24"/>
              </w:rPr>
              <w:t>002317</w:t>
            </w:r>
          </w:p>
        </w:tc>
        <w:tc>
          <w:tcPr>
            <w:tcW w:w="1777" w:type="dxa"/>
            <w:vAlign w:val="center"/>
          </w:tcPr>
          <w:p w:rsidR="009647CA" w:rsidRDefault="00362A93">
            <w:pPr>
              <w:jc w:val="center"/>
            </w:pPr>
            <w:r>
              <w:rPr>
                <w:color w:val="000000"/>
                <w:sz w:val="24"/>
                <w:szCs w:val="24"/>
              </w:rPr>
              <w:t>众生药业</w:t>
            </w:r>
          </w:p>
        </w:tc>
        <w:tc>
          <w:tcPr>
            <w:tcW w:w="1334" w:type="dxa"/>
            <w:vAlign w:val="center"/>
          </w:tcPr>
          <w:p w:rsidR="009647CA" w:rsidRDefault="00362A93">
            <w:pPr>
              <w:jc w:val="right"/>
            </w:pPr>
            <w:r>
              <w:rPr>
                <w:color w:val="000000"/>
                <w:sz w:val="24"/>
                <w:szCs w:val="24"/>
              </w:rPr>
              <w:t>670,344</w:t>
            </w:r>
          </w:p>
        </w:tc>
        <w:tc>
          <w:tcPr>
            <w:tcW w:w="1924" w:type="dxa"/>
            <w:vAlign w:val="center"/>
          </w:tcPr>
          <w:p w:rsidR="009647CA" w:rsidRDefault="00362A93">
            <w:pPr>
              <w:jc w:val="right"/>
            </w:pPr>
            <w:r>
              <w:rPr>
                <w:color w:val="000000"/>
                <w:sz w:val="24"/>
                <w:szCs w:val="24"/>
              </w:rPr>
              <w:t>13,386,769.68</w:t>
            </w:r>
          </w:p>
        </w:tc>
        <w:tc>
          <w:tcPr>
            <w:tcW w:w="1644" w:type="dxa"/>
            <w:vAlign w:val="center"/>
          </w:tcPr>
          <w:p w:rsidR="009647CA" w:rsidRDefault="00362A93">
            <w:pPr>
              <w:jc w:val="right"/>
            </w:pPr>
            <w:r>
              <w:rPr>
                <w:color w:val="000000"/>
                <w:sz w:val="24"/>
                <w:szCs w:val="24"/>
              </w:rPr>
              <w:t>2.53</w:t>
            </w:r>
          </w:p>
        </w:tc>
      </w:tr>
      <w:tr w:rsidR="009647CA">
        <w:trPr>
          <w:jc w:val="center"/>
        </w:trPr>
        <w:tc>
          <w:tcPr>
            <w:tcW w:w="855" w:type="dxa"/>
            <w:vAlign w:val="center"/>
          </w:tcPr>
          <w:p w:rsidR="009647CA" w:rsidRDefault="00362A93">
            <w:pPr>
              <w:jc w:val="center"/>
            </w:pPr>
            <w:r>
              <w:rPr>
                <w:color w:val="000000"/>
                <w:sz w:val="24"/>
                <w:szCs w:val="24"/>
              </w:rPr>
              <w:t>8</w:t>
            </w:r>
          </w:p>
        </w:tc>
        <w:tc>
          <w:tcPr>
            <w:tcW w:w="1334" w:type="dxa"/>
            <w:vAlign w:val="center"/>
          </w:tcPr>
          <w:p w:rsidR="009647CA" w:rsidRDefault="00362A93">
            <w:pPr>
              <w:jc w:val="center"/>
            </w:pPr>
            <w:r>
              <w:rPr>
                <w:color w:val="000000"/>
                <w:sz w:val="24"/>
                <w:szCs w:val="24"/>
              </w:rPr>
              <w:t>300137</w:t>
            </w:r>
          </w:p>
        </w:tc>
        <w:tc>
          <w:tcPr>
            <w:tcW w:w="1777" w:type="dxa"/>
            <w:vAlign w:val="center"/>
          </w:tcPr>
          <w:p w:rsidR="009647CA" w:rsidRDefault="00362A93">
            <w:pPr>
              <w:jc w:val="center"/>
            </w:pPr>
            <w:r>
              <w:rPr>
                <w:color w:val="000000"/>
                <w:sz w:val="24"/>
                <w:szCs w:val="24"/>
              </w:rPr>
              <w:t>先河环保</w:t>
            </w:r>
          </w:p>
        </w:tc>
        <w:tc>
          <w:tcPr>
            <w:tcW w:w="1334" w:type="dxa"/>
            <w:vAlign w:val="center"/>
          </w:tcPr>
          <w:p w:rsidR="009647CA" w:rsidRDefault="00362A93">
            <w:pPr>
              <w:jc w:val="right"/>
            </w:pPr>
            <w:r>
              <w:rPr>
                <w:color w:val="000000"/>
                <w:sz w:val="24"/>
                <w:szCs w:val="24"/>
              </w:rPr>
              <w:t>504,712</w:t>
            </w:r>
          </w:p>
        </w:tc>
        <w:tc>
          <w:tcPr>
            <w:tcW w:w="1924" w:type="dxa"/>
            <w:vAlign w:val="center"/>
          </w:tcPr>
          <w:p w:rsidR="009647CA" w:rsidRDefault="00362A93">
            <w:pPr>
              <w:jc w:val="right"/>
            </w:pPr>
            <w:r>
              <w:rPr>
                <w:color w:val="000000"/>
                <w:sz w:val="24"/>
                <w:szCs w:val="24"/>
              </w:rPr>
              <w:t>10,528,292.32</w:t>
            </w:r>
          </w:p>
        </w:tc>
        <w:tc>
          <w:tcPr>
            <w:tcW w:w="1644" w:type="dxa"/>
            <w:vAlign w:val="center"/>
          </w:tcPr>
          <w:p w:rsidR="009647CA" w:rsidRDefault="00362A93">
            <w:pPr>
              <w:jc w:val="right"/>
            </w:pPr>
            <w:r>
              <w:rPr>
                <w:color w:val="000000"/>
                <w:sz w:val="24"/>
                <w:szCs w:val="24"/>
              </w:rPr>
              <w:t>1.99</w:t>
            </w:r>
          </w:p>
        </w:tc>
      </w:tr>
      <w:tr w:rsidR="009647CA">
        <w:trPr>
          <w:jc w:val="center"/>
        </w:trPr>
        <w:tc>
          <w:tcPr>
            <w:tcW w:w="855" w:type="dxa"/>
            <w:vAlign w:val="center"/>
          </w:tcPr>
          <w:p w:rsidR="009647CA" w:rsidRDefault="00362A93">
            <w:pPr>
              <w:jc w:val="center"/>
            </w:pPr>
            <w:r>
              <w:rPr>
                <w:color w:val="000000"/>
                <w:sz w:val="24"/>
                <w:szCs w:val="24"/>
              </w:rPr>
              <w:t>9</w:t>
            </w:r>
          </w:p>
        </w:tc>
        <w:tc>
          <w:tcPr>
            <w:tcW w:w="1334" w:type="dxa"/>
            <w:vAlign w:val="center"/>
          </w:tcPr>
          <w:p w:rsidR="009647CA" w:rsidRDefault="00362A93">
            <w:pPr>
              <w:jc w:val="center"/>
            </w:pPr>
            <w:r>
              <w:rPr>
                <w:color w:val="000000"/>
                <w:sz w:val="24"/>
                <w:szCs w:val="24"/>
              </w:rPr>
              <w:t>600109</w:t>
            </w:r>
          </w:p>
        </w:tc>
        <w:tc>
          <w:tcPr>
            <w:tcW w:w="1777" w:type="dxa"/>
            <w:vAlign w:val="center"/>
          </w:tcPr>
          <w:p w:rsidR="009647CA" w:rsidRDefault="00362A93">
            <w:pPr>
              <w:jc w:val="center"/>
            </w:pPr>
            <w:r>
              <w:rPr>
                <w:color w:val="000000"/>
                <w:sz w:val="24"/>
                <w:szCs w:val="24"/>
              </w:rPr>
              <w:t>国金证券</w:t>
            </w:r>
          </w:p>
        </w:tc>
        <w:tc>
          <w:tcPr>
            <w:tcW w:w="1334" w:type="dxa"/>
            <w:vAlign w:val="center"/>
          </w:tcPr>
          <w:p w:rsidR="009647CA" w:rsidRDefault="00362A93">
            <w:pPr>
              <w:jc w:val="right"/>
            </w:pPr>
            <w:r>
              <w:rPr>
                <w:color w:val="000000"/>
                <w:sz w:val="24"/>
                <w:szCs w:val="24"/>
              </w:rPr>
              <w:t>528,500</w:t>
            </w:r>
          </w:p>
        </w:tc>
        <w:tc>
          <w:tcPr>
            <w:tcW w:w="1924" w:type="dxa"/>
            <w:vAlign w:val="center"/>
          </w:tcPr>
          <w:p w:rsidR="009647CA" w:rsidRDefault="00362A93">
            <w:pPr>
              <w:jc w:val="right"/>
            </w:pPr>
            <w:r>
              <w:rPr>
                <w:color w:val="000000"/>
                <w:sz w:val="24"/>
                <w:szCs w:val="24"/>
              </w:rPr>
              <w:t>10,501,295.00</w:t>
            </w:r>
          </w:p>
        </w:tc>
        <w:tc>
          <w:tcPr>
            <w:tcW w:w="1644" w:type="dxa"/>
            <w:vAlign w:val="center"/>
          </w:tcPr>
          <w:p w:rsidR="009647CA" w:rsidRDefault="00362A93">
            <w:pPr>
              <w:jc w:val="right"/>
            </w:pPr>
            <w:r>
              <w:rPr>
                <w:color w:val="000000"/>
                <w:sz w:val="24"/>
                <w:szCs w:val="24"/>
              </w:rPr>
              <w:t>1.98</w:t>
            </w:r>
          </w:p>
        </w:tc>
      </w:tr>
      <w:tr w:rsidR="009647CA">
        <w:trPr>
          <w:jc w:val="center"/>
        </w:trPr>
        <w:tc>
          <w:tcPr>
            <w:tcW w:w="855" w:type="dxa"/>
            <w:vAlign w:val="center"/>
          </w:tcPr>
          <w:p w:rsidR="009647CA" w:rsidRDefault="00362A93">
            <w:pPr>
              <w:jc w:val="center"/>
            </w:pPr>
            <w:r>
              <w:rPr>
                <w:color w:val="000000"/>
                <w:sz w:val="24"/>
                <w:szCs w:val="24"/>
              </w:rPr>
              <w:t>10</w:t>
            </w:r>
          </w:p>
        </w:tc>
        <w:tc>
          <w:tcPr>
            <w:tcW w:w="1334" w:type="dxa"/>
            <w:vAlign w:val="center"/>
          </w:tcPr>
          <w:p w:rsidR="009647CA" w:rsidRDefault="00362A93">
            <w:pPr>
              <w:jc w:val="center"/>
            </w:pPr>
            <w:r>
              <w:rPr>
                <w:color w:val="000000"/>
                <w:sz w:val="24"/>
                <w:szCs w:val="24"/>
              </w:rPr>
              <w:t>600511</w:t>
            </w:r>
          </w:p>
        </w:tc>
        <w:tc>
          <w:tcPr>
            <w:tcW w:w="1777" w:type="dxa"/>
            <w:vAlign w:val="center"/>
          </w:tcPr>
          <w:p w:rsidR="009647CA" w:rsidRDefault="00362A93">
            <w:pPr>
              <w:jc w:val="center"/>
            </w:pPr>
            <w:r>
              <w:rPr>
                <w:color w:val="000000"/>
                <w:sz w:val="24"/>
                <w:szCs w:val="24"/>
              </w:rPr>
              <w:t>国药股份</w:t>
            </w:r>
          </w:p>
        </w:tc>
        <w:tc>
          <w:tcPr>
            <w:tcW w:w="1334" w:type="dxa"/>
            <w:vAlign w:val="center"/>
          </w:tcPr>
          <w:p w:rsidR="009647CA" w:rsidRDefault="00362A93">
            <w:pPr>
              <w:jc w:val="right"/>
            </w:pPr>
            <w:r>
              <w:rPr>
                <w:color w:val="000000"/>
                <w:sz w:val="24"/>
                <w:szCs w:val="24"/>
              </w:rPr>
              <w:t>447,819</w:t>
            </w:r>
          </w:p>
        </w:tc>
        <w:tc>
          <w:tcPr>
            <w:tcW w:w="1924" w:type="dxa"/>
            <w:vAlign w:val="center"/>
          </w:tcPr>
          <w:p w:rsidR="009647CA" w:rsidRDefault="00362A93">
            <w:pPr>
              <w:jc w:val="right"/>
            </w:pPr>
            <w:r>
              <w:rPr>
                <w:color w:val="000000"/>
                <w:sz w:val="24"/>
                <w:szCs w:val="24"/>
              </w:rPr>
              <w:t>10,165,491.30</w:t>
            </w:r>
          </w:p>
        </w:tc>
        <w:tc>
          <w:tcPr>
            <w:tcW w:w="1644" w:type="dxa"/>
            <w:vAlign w:val="center"/>
          </w:tcPr>
          <w:p w:rsidR="009647CA" w:rsidRDefault="00362A93">
            <w:pPr>
              <w:jc w:val="right"/>
            </w:pPr>
            <w:r>
              <w:rPr>
                <w:color w:val="000000"/>
                <w:sz w:val="24"/>
                <w:szCs w:val="24"/>
              </w:rPr>
              <w:t>1.92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70,612,000.00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13.34</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20,088,000.00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3.80</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90,700,000.00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9647CA">
        <w:trPr>
          <w:jc w:val="center"/>
        </w:trPr>
        <w:tc>
          <w:tcPr>
            <w:tcW w:w="850" w:type="dxa"/>
            <w:vAlign w:val="center"/>
          </w:tcPr>
          <w:p w:rsidR="009647CA" w:rsidRDefault="00362A93">
            <w:pPr>
              <w:jc w:val="center"/>
            </w:pPr>
            <w:r>
              <w:rPr>
                <w:color w:val="000000"/>
                <w:sz w:val="24"/>
                <w:szCs w:val="24"/>
              </w:rPr>
              <w:t>1</w:t>
            </w:r>
          </w:p>
        </w:tc>
        <w:tc>
          <w:tcPr>
            <w:tcW w:w="1475" w:type="dxa"/>
            <w:vAlign w:val="center"/>
          </w:tcPr>
          <w:p w:rsidR="009647CA" w:rsidRDefault="00362A93">
            <w:pPr>
              <w:jc w:val="center"/>
            </w:pPr>
            <w:r>
              <w:rPr>
                <w:color w:val="000000"/>
                <w:sz w:val="24"/>
                <w:szCs w:val="24"/>
              </w:rPr>
              <w:t>130020</w:t>
            </w:r>
          </w:p>
        </w:tc>
        <w:tc>
          <w:tcPr>
            <w:tcW w:w="1769" w:type="dxa"/>
            <w:vAlign w:val="center"/>
          </w:tcPr>
          <w:p w:rsidR="009647CA" w:rsidRDefault="00362A93">
            <w:pPr>
              <w:jc w:val="center"/>
            </w:pPr>
            <w:r>
              <w:rPr>
                <w:color w:val="000000"/>
                <w:sz w:val="24"/>
                <w:szCs w:val="24"/>
              </w:rPr>
              <w:t>13</w:t>
            </w:r>
            <w:r>
              <w:rPr>
                <w:color w:val="000000"/>
                <w:sz w:val="24"/>
                <w:szCs w:val="24"/>
              </w:rPr>
              <w:t>附息国债</w:t>
            </w:r>
            <w:r>
              <w:rPr>
                <w:color w:val="000000"/>
                <w:sz w:val="24"/>
                <w:szCs w:val="24"/>
              </w:rPr>
              <w:t>20</w:t>
            </w:r>
          </w:p>
        </w:tc>
        <w:tc>
          <w:tcPr>
            <w:tcW w:w="1387" w:type="dxa"/>
            <w:vAlign w:val="center"/>
          </w:tcPr>
          <w:p w:rsidR="009647CA" w:rsidRDefault="00362A93">
            <w:pPr>
              <w:jc w:val="right"/>
            </w:pPr>
            <w:r>
              <w:rPr>
                <w:color w:val="000000"/>
                <w:sz w:val="24"/>
                <w:szCs w:val="24"/>
              </w:rPr>
              <w:t>300,000</w:t>
            </w:r>
          </w:p>
        </w:tc>
        <w:tc>
          <w:tcPr>
            <w:tcW w:w="2150" w:type="dxa"/>
            <w:vAlign w:val="center"/>
          </w:tcPr>
          <w:p w:rsidR="009647CA" w:rsidRDefault="00362A93">
            <w:pPr>
              <w:jc w:val="right"/>
            </w:pPr>
            <w:r>
              <w:rPr>
                <w:color w:val="000000"/>
                <w:sz w:val="24"/>
                <w:szCs w:val="24"/>
              </w:rPr>
              <w:t>30,048,000.00</w:t>
            </w:r>
          </w:p>
        </w:tc>
        <w:tc>
          <w:tcPr>
            <w:tcW w:w="1237" w:type="dxa"/>
            <w:vAlign w:val="center"/>
          </w:tcPr>
          <w:p w:rsidR="009647CA" w:rsidRDefault="00362A93">
            <w:pPr>
              <w:jc w:val="right"/>
            </w:pPr>
            <w:r>
              <w:rPr>
                <w:color w:val="000000"/>
                <w:sz w:val="24"/>
                <w:szCs w:val="24"/>
              </w:rPr>
              <w:t>5.68</w:t>
            </w:r>
          </w:p>
        </w:tc>
      </w:tr>
      <w:tr w:rsidR="009647CA">
        <w:trPr>
          <w:jc w:val="center"/>
        </w:trPr>
        <w:tc>
          <w:tcPr>
            <w:tcW w:w="850" w:type="dxa"/>
            <w:vAlign w:val="center"/>
          </w:tcPr>
          <w:p w:rsidR="009647CA" w:rsidRDefault="00362A93">
            <w:pPr>
              <w:jc w:val="center"/>
            </w:pPr>
            <w:r>
              <w:rPr>
                <w:color w:val="000000"/>
                <w:sz w:val="24"/>
                <w:szCs w:val="24"/>
              </w:rPr>
              <w:t>2</w:t>
            </w:r>
          </w:p>
        </w:tc>
        <w:tc>
          <w:tcPr>
            <w:tcW w:w="1475" w:type="dxa"/>
            <w:vAlign w:val="center"/>
          </w:tcPr>
          <w:p w:rsidR="009647CA" w:rsidRDefault="00362A93">
            <w:pPr>
              <w:jc w:val="center"/>
            </w:pPr>
            <w:r>
              <w:rPr>
                <w:color w:val="000000"/>
                <w:sz w:val="24"/>
                <w:szCs w:val="24"/>
              </w:rPr>
              <w:t>140003</w:t>
            </w:r>
          </w:p>
        </w:tc>
        <w:tc>
          <w:tcPr>
            <w:tcW w:w="1769" w:type="dxa"/>
            <w:vAlign w:val="center"/>
          </w:tcPr>
          <w:p w:rsidR="009647CA" w:rsidRDefault="00362A93">
            <w:pPr>
              <w:jc w:val="center"/>
            </w:pPr>
            <w:r>
              <w:rPr>
                <w:color w:val="000000"/>
                <w:sz w:val="24"/>
                <w:szCs w:val="24"/>
              </w:rPr>
              <w:t>14</w:t>
            </w:r>
            <w:r>
              <w:rPr>
                <w:color w:val="000000"/>
                <w:sz w:val="24"/>
                <w:szCs w:val="24"/>
              </w:rPr>
              <w:t>附息国债</w:t>
            </w:r>
            <w:r>
              <w:rPr>
                <w:color w:val="000000"/>
                <w:sz w:val="24"/>
                <w:szCs w:val="24"/>
              </w:rPr>
              <w:t>03</w:t>
            </w:r>
          </w:p>
        </w:tc>
        <w:tc>
          <w:tcPr>
            <w:tcW w:w="1387" w:type="dxa"/>
            <w:vAlign w:val="center"/>
          </w:tcPr>
          <w:p w:rsidR="009647CA" w:rsidRDefault="00362A93">
            <w:pPr>
              <w:jc w:val="right"/>
            </w:pPr>
            <w:r>
              <w:rPr>
                <w:color w:val="000000"/>
                <w:sz w:val="24"/>
                <w:szCs w:val="24"/>
              </w:rPr>
              <w:t>200,000</w:t>
            </w:r>
          </w:p>
        </w:tc>
        <w:tc>
          <w:tcPr>
            <w:tcW w:w="2150" w:type="dxa"/>
            <w:vAlign w:val="center"/>
          </w:tcPr>
          <w:p w:rsidR="009647CA" w:rsidRDefault="00362A93">
            <w:pPr>
              <w:jc w:val="right"/>
            </w:pPr>
            <w:r>
              <w:rPr>
                <w:color w:val="000000"/>
                <w:sz w:val="24"/>
                <w:szCs w:val="24"/>
              </w:rPr>
              <w:t>20,564,000.00</w:t>
            </w:r>
          </w:p>
        </w:tc>
        <w:tc>
          <w:tcPr>
            <w:tcW w:w="1237" w:type="dxa"/>
            <w:vAlign w:val="center"/>
          </w:tcPr>
          <w:p w:rsidR="009647CA" w:rsidRDefault="00362A93">
            <w:pPr>
              <w:jc w:val="right"/>
            </w:pPr>
            <w:r>
              <w:rPr>
                <w:color w:val="000000"/>
                <w:sz w:val="24"/>
                <w:szCs w:val="24"/>
              </w:rPr>
              <w:t>3.89</w:t>
            </w:r>
          </w:p>
        </w:tc>
      </w:tr>
      <w:tr w:rsidR="009647CA">
        <w:trPr>
          <w:jc w:val="center"/>
        </w:trPr>
        <w:tc>
          <w:tcPr>
            <w:tcW w:w="850" w:type="dxa"/>
            <w:vAlign w:val="center"/>
          </w:tcPr>
          <w:p w:rsidR="009647CA" w:rsidRDefault="00362A93">
            <w:pPr>
              <w:jc w:val="center"/>
            </w:pPr>
            <w:r>
              <w:rPr>
                <w:color w:val="000000"/>
                <w:sz w:val="24"/>
                <w:szCs w:val="24"/>
              </w:rPr>
              <w:t>3</w:t>
            </w:r>
          </w:p>
        </w:tc>
        <w:tc>
          <w:tcPr>
            <w:tcW w:w="1475" w:type="dxa"/>
            <w:vAlign w:val="center"/>
          </w:tcPr>
          <w:p w:rsidR="009647CA" w:rsidRDefault="00362A93">
            <w:pPr>
              <w:jc w:val="center"/>
            </w:pPr>
            <w:r>
              <w:rPr>
                <w:color w:val="000000"/>
                <w:sz w:val="24"/>
                <w:szCs w:val="24"/>
              </w:rPr>
              <w:t>1080077</w:t>
            </w:r>
          </w:p>
        </w:tc>
        <w:tc>
          <w:tcPr>
            <w:tcW w:w="1769" w:type="dxa"/>
            <w:vAlign w:val="center"/>
          </w:tcPr>
          <w:p w:rsidR="009647CA" w:rsidRDefault="00362A93">
            <w:pPr>
              <w:jc w:val="center"/>
            </w:pPr>
            <w:r>
              <w:rPr>
                <w:color w:val="000000"/>
                <w:sz w:val="24"/>
                <w:szCs w:val="24"/>
              </w:rPr>
              <w:t>10</w:t>
            </w:r>
            <w:r>
              <w:rPr>
                <w:color w:val="000000"/>
                <w:sz w:val="24"/>
                <w:szCs w:val="24"/>
              </w:rPr>
              <w:t>马建投债</w:t>
            </w:r>
          </w:p>
        </w:tc>
        <w:tc>
          <w:tcPr>
            <w:tcW w:w="1387" w:type="dxa"/>
            <w:vAlign w:val="center"/>
          </w:tcPr>
          <w:p w:rsidR="009647CA" w:rsidRDefault="00362A93">
            <w:pPr>
              <w:jc w:val="right"/>
            </w:pPr>
            <w:r>
              <w:rPr>
                <w:color w:val="000000"/>
                <w:sz w:val="24"/>
                <w:szCs w:val="24"/>
              </w:rPr>
              <w:t>200,000</w:t>
            </w:r>
          </w:p>
        </w:tc>
        <w:tc>
          <w:tcPr>
            <w:tcW w:w="2150" w:type="dxa"/>
            <w:vAlign w:val="center"/>
          </w:tcPr>
          <w:p w:rsidR="009647CA" w:rsidRDefault="00362A93">
            <w:pPr>
              <w:jc w:val="right"/>
            </w:pPr>
            <w:r>
              <w:rPr>
                <w:color w:val="000000"/>
                <w:sz w:val="24"/>
                <w:szCs w:val="24"/>
              </w:rPr>
              <w:t>20,088,000.00</w:t>
            </w:r>
          </w:p>
        </w:tc>
        <w:tc>
          <w:tcPr>
            <w:tcW w:w="1237" w:type="dxa"/>
            <w:vAlign w:val="center"/>
          </w:tcPr>
          <w:p w:rsidR="009647CA" w:rsidRDefault="00362A93">
            <w:pPr>
              <w:jc w:val="right"/>
            </w:pPr>
            <w:r>
              <w:rPr>
                <w:color w:val="000000"/>
                <w:sz w:val="24"/>
                <w:szCs w:val="24"/>
              </w:rPr>
              <w:t>3.80</w:t>
            </w:r>
          </w:p>
        </w:tc>
      </w:tr>
      <w:tr w:rsidR="009647CA">
        <w:trPr>
          <w:jc w:val="center"/>
        </w:trPr>
        <w:tc>
          <w:tcPr>
            <w:tcW w:w="850" w:type="dxa"/>
            <w:vAlign w:val="center"/>
          </w:tcPr>
          <w:p w:rsidR="009647CA" w:rsidRDefault="00362A93">
            <w:pPr>
              <w:jc w:val="center"/>
            </w:pPr>
            <w:r>
              <w:rPr>
                <w:color w:val="000000"/>
                <w:sz w:val="24"/>
                <w:szCs w:val="24"/>
              </w:rPr>
              <w:t>4</w:t>
            </w:r>
          </w:p>
        </w:tc>
        <w:tc>
          <w:tcPr>
            <w:tcW w:w="1475" w:type="dxa"/>
            <w:vAlign w:val="center"/>
          </w:tcPr>
          <w:p w:rsidR="009647CA" w:rsidRDefault="00362A93">
            <w:pPr>
              <w:jc w:val="center"/>
            </w:pPr>
            <w:r>
              <w:rPr>
                <w:color w:val="000000"/>
                <w:sz w:val="24"/>
                <w:szCs w:val="24"/>
              </w:rPr>
              <w:t>130018</w:t>
            </w:r>
          </w:p>
        </w:tc>
        <w:tc>
          <w:tcPr>
            <w:tcW w:w="1769" w:type="dxa"/>
            <w:vAlign w:val="center"/>
          </w:tcPr>
          <w:p w:rsidR="009647CA" w:rsidRDefault="00362A93">
            <w:pPr>
              <w:jc w:val="center"/>
            </w:pPr>
            <w:r>
              <w:rPr>
                <w:color w:val="000000"/>
                <w:sz w:val="24"/>
                <w:szCs w:val="24"/>
              </w:rPr>
              <w:t>13</w:t>
            </w:r>
            <w:r>
              <w:rPr>
                <w:color w:val="000000"/>
                <w:sz w:val="24"/>
                <w:szCs w:val="24"/>
              </w:rPr>
              <w:t>附息国债</w:t>
            </w:r>
            <w:r>
              <w:rPr>
                <w:color w:val="000000"/>
                <w:sz w:val="24"/>
                <w:szCs w:val="24"/>
              </w:rPr>
              <w:t>18</w:t>
            </w:r>
          </w:p>
        </w:tc>
        <w:tc>
          <w:tcPr>
            <w:tcW w:w="1387" w:type="dxa"/>
            <w:vAlign w:val="center"/>
          </w:tcPr>
          <w:p w:rsidR="009647CA" w:rsidRDefault="00362A93">
            <w:pPr>
              <w:jc w:val="right"/>
            </w:pPr>
            <w:r>
              <w:rPr>
                <w:color w:val="000000"/>
                <w:sz w:val="24"/>
                <w:szCs w:val="24"/>
              </w:rPr>
              <w:t>200,000</w:t>
            </w:r>
          </w:p>
        </w:tc>
        <w:tc>
          <w:tcPr>
            <w:tcW w:w="2150" w:type="dxa"/>
            <w:vAlign w:val="center"/>
          </w:tcPr>
          <w:p w:rsidR="009647CA" w:rsidRDefault="00362A93">
            <w:pPr>
              <w:jc w:val="right"/>
            </w:pPr>
            <w:r>
              <w:rPr>
                <w:color w:val="000000"/>
                <w:sz w:val="24"/>
                <w:szCs w:val="24"/>
              </w:rPr>
              <w:t>20,000,000.00</w:t>
            </w:r>
          </w:p>
        </w:tc>
        <w:tc>
          <w:tcPr>
            <w:tcW w:w="1237" w:type="dxa"/>
            <w:vAlign w:val="center"/>
          </w:tcPr>
          <w:p w:rsidR="009647CA" w:rsidRDefault="00362A93">
            <w:pPr>
              <w:jc w:val="right"/>
            </w:pPr>
            <w:r>
              <w:rPr>
                <w:color w:val="000000"/>
                <w:sz w:val="24"/>
                <w:szCs w:val="24"/>
              </w:rPr>
              <w:t>3.78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147,945.52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50,011,917.81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2,320,998.87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15,793.96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52,496,656.16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9647CA">
        <w:trPr>
          <w:jc w:val="center"/>
        </w:trPr>
        <w:tc>
          <w:tcPr>
            <w:tcW w:w="1129" w:type="dxa"/>
            <w:vAlign w:val="center"/>
          </w:tcPr>
          <w:p w:rsidR="009647CA" w:rsidRDefault="00362A93">
            <w:pPr>
              <w:jc w:val="center"/>
            </w:pPr>
            <w:r>
              <w:rPr>
                <w:color w:val="000000"/>
                <w:sz w:val="24"/>
                <w:szCs w:val="24"/>
              </w:rPr>
              <w:t>1</w:t>
            </w:r>
          </w:p>
        </w:tc>
        <w:tc>
          <w:tcPr>
            <w:tcW w:w="1356" w:type="dxa"/>
            <w:vAlign w:val="center"/>
          </w:tcPr>
          <w:p w:rsidR="009647CA" w:rsidRDefault="00362A93">
            <w:pPr>
              <w:jc w:val="center"/>
            </w:pPr>
            <w:r>
              <w:rPr>
                <w:color w:val="000000"/>
                <w:sz w:val="24"/>
                <w:szCs w:val="24"/>
              </w:rPr>
              <w:t>300137</w:t>
            </w:r>
          </w:p>
        </w:tc>
        <w:tc>
          <w:tcPr>
            <w:tcW w:w="1355" w:type="dxa"/>
            <w:vAlign w:val="center"/>
          </w:tcPr>
          <w:p w:rsidR="009647CA" w:rsidRDefault="00362A93">
            <w:pPr>
              <w:jc w:val="center"/>
            </w:pPr>
            <w:r>
              <w:rPr>
                <w:color w:val="000000"/>
                <w:sz w:val="24"/>
                <w:szCs w:val="24"/>
              </w:rPr>
              <w:t>先河环保</w:t>
            </w:r>
          </w:p>
        </w:tc>
        <w:tc>
          <w:tcPr>
            <w:tcW w:w="1880" w:type="dxa"/>
            <w:vAlign w:val="center"/>
          </w:tcPr>
          <w:p w:rsidR="009647CA" w:rsidRDefault="00362A93">
            <w:pPr>
              <w:jc w:val="right"/>
            </w:pPr>
            <w:r>
              <w:rPr>
                <w:color w:val="000000"/>
                <w:sz w:val="24"/>
                <w:szCs w:val="24"/>
              </w:rPr>
              <w:t>10,528,292.32</w:t>
            </w:r>
          </w:p>
        </w:tc>
        <w:tc>
          <w:tcPr>
            <w:tcW w:w="1724" w:type="dxa"/>
            <w:vAlign w:val="center"/>
          </w:tcPr>
          <w:p w:rsidR="009647CA" w:rsidRDefault="00362A93">
            <w:pPr>
              <w:jc w:val="right"/>
            </w:pPr>
            <w:r>
              <w:rPr>
                <w:color w:val="000000"/>
                <w:sz w:val="24"/>
                <w:szCs w:val="24"/>
              </w:rPr>
              <w:t>1.99</w:t>
            </w:r>
          </w:p>
        </w:tc>
        <w:tc>
          <w:tcPr>
            <w:tcW w:w="1424" w:type="dxa"/>
            <w:vAlign w:val="center"/>
          </w:tcPr>
          <w:p w:rsidR="009647CA" w:rsidRDefault="00362A93">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717,700,489.55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3,160,116.95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28,224,474.48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692,636,132.02</w:t>
            </w:r>
          </w:p>
        </w:tc>
      </w:tr>
    </w:tbl>
    <w:p w:rsidR="009647CA" w:rsidRDefault="00362A9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362A93">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202,878,105.88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202,878,105.88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29.29</w:t>
            </w:r>
          </w:p>
        </w:tc>
      </w:tr>
    </w:tbl>
    <w:p w:rsidR="009647CA" w:rsidRDefault="00362A9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362A93">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）基金行业股票估值指数的通知》的指导意见，经与基金托管人协商一致，本基金对其所持有的鱼跃医疗（证券代码：</w:t>
      </w:r>
      <w:r w:rsidRPr="00414345">
        <w:rPr>
          <w:color w:val="000000"/>
          <w:sz w:val="24"/>
          <w:szCs w:val="24"/>
        </w:rPr>
        <w:t>002223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28</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24</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362A9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647CA" w:rsidRDefault="00362A9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9647CA" w:rsidRDefault="00362A9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9647CA" w:rsidRDefault="00362A9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9647CA" w:rsidRDefault="00362A9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9647CA" w:rsidRDefault="00362A9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9647CA" w:rsidRDefault="00362A9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647CA" w:rsidRDefault="00362A9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647CA" w:rsidRDefault="00362A9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180" w:rsidRDefault="00B93180" w:rsidP="00876D65">
      <w:r>
        <w:separator/>
      </w:r>
    </w:p>
  </w:endnote>
  <w:endnote w:type="continuationSeparator" w:id="0">
    <w:p w:rsidR="00B93180" w:rsidRDefault="00B9318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9647CA">
      <w:rPr>
        <w:kern w:val="0"/>
        <w:szCs w:val="21"/>
      </w:rPr>
      <w:fldChar w:fldCharType="begin"/>
    </w:r>
    <w:r>
      <w:rPr>
        <w:kern w:val="0"/>
        <w:szCs w:val="21"/>
      </w:rPr>
      <w:instrText xml:space="preserve"> PAGE </w:instrText>
    </w:r>
    <w:r w:rsidR="009647CA">
      <w:rPr>
        <w:kern w:val="0"/>
        <w:szCs w:val="21"/>
      </w:rPr>
      <w:fldChar w:fldCharType="separate"/>
    </w:r>
    <w:r w:rsidR="001A30CD">
      <w:rPr>
        <w:noProof/>
        <w:kern w:val="0"/>
        <w:szCs w:val="21"/>
      </w:rPr>
      <w:t>1</w:t>
    </w:r>
    <w:r w:rsidR="009647CA">
      <w:rPr>
        <w:kern w:val="0"/>
        <w:szCs w:val="21"/>
      </w:rPr>
      <w:fldChar w:fldCharType="end"/>
    </w:r>
    <w:r>
      <w:rPr>
        <w:rFonts w:hint="eastAsia"/>
        <w:kern w:val="0"/>
        <w:szCs w:val="21"/>
      </w:rPr>
      <w:t>页共</w:t>
    </w:r>
    <w:r w:rsidR="009647CA">
      <w:rPr>
        <w:kern w:val="0"/>
        <w:szCs w:val="21"/>
      </w:rPr>
      <w:fldChar w:fldCharType="begin"/>
    </w:r>
    <w:r>
      <w:rPr>
        <w:kern w:val="0"/>
        <w:szCs w:val="21"/>
      </w:rPr>
      <w:instrText xml:space="preserve"> NUMPAGES </w:instrText>
    </w:r>
    <w:r w:rsidR="009647CA">
      <w:rPr>
        <w:kern w:val="0"/>
        <w:szCs w:val="21"/>
      </w:rPr>
      <w:fldChar w:fldCharType="separate"/>
    </w:r>
    <w:r w:rsidR="001A30CD">
      <w:rPr>
        <w:noProof/>
        <w:kern w:val="0"/>
        <w:szCs w:val="21"/>
      </w:rPr>
      <w:t>11</w:t>
    </w:r>
    <w:r w:rsidR="009647C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180" w:rsidRDefault="00B93180" w:rsidP="00876D65">
      <w:r>
        <w:separator/>
      </w:r>
    </w:p>
  </w:footnote>
  <w:footnote w:type="continuationSeparator" w:id="0">
    <w:p w:rsidR="00B93180" w:rsidRDefault="00B9318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30CD"/>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2A93"/>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3228"/>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96"/>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647CA"/>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3180"/>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077211-5B89-40BE-BF08-665A92F5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5A005-D3EA-4F3A-AA3D-1C09F161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1758</TotalTime>
  <Pages>1</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530</cp:revision>
  <dcterms:created xsi:type="dcterms:W3CDTF">2012-10-16T06:07:00Z</dcterms:created>
  <dcterms:modified xsi:type="dcterms:W3CDTF">2014-07-15T09:07:00Z</dcterms:modified>
</cp:coreProperties>
</file>