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交银施罗德蓝筹股票证券投资基金</w:t>
      </w:r>
      <w:bookmarkStart w:id="0" w:name="_GoBack"/>
      <w:bookmarkEnd w:id="0"/>
    </w:p>
    <w:p w:rsidR="002279D3" w:rsidRPr="0081286B" w:rsidRDefault="002279D3" w:rsidP="00C15CAC">
      <w:pPr>
        <w:spacing w:before="29" w:line="288" w:lineRule="auto"/>
        <w:jc w:val="center"/>
        <w:rPr>
          <w:b/>
          <w:sz w:val="36"/>
          <w:szCs w:val="36"/>
        </w:rPr>
      </w:pPr>
      <w:r w:rsidRPr="0081286B">
        <w:rPr>
          <w:b/>
          <w:sz w:val="36"/>
          <w:szCs w:val="36"/>
        </w:rPr>
        <w:t>2014</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2014</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二〇一四年七月十九日</w:t>
      </w:r>
    </w:p>
    <w:p w:rsidR="004061AC" w:rsidRPr="00414345" w:rsidRDefault="004061AC" w:rsidP="000F2365">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D910C1" w:rsidRDefault="000F2365">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D910C1" w:rsidRDefault="000F2365">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2014</w:t>
      </w:r>
      <w:r>
        <w:rPr>
          <w:color w:val="000000"/>
          <w:sz w:val="24"/>
          <w:szCs w:val="24"/>
        </w:rPr>
        <w:t>年</w:t>
      </w:r>
      <w:r>
        <w:rPr>
          <w:color w:val="000000"/>
          <w:sz w:val="24"/>
          <w:szCs w:val="24"/>
        </w:rPr>
        <w:t>7</w:t>
      </w:r>
      <w:r>
        <w:rPr>
          <w:color w:val="000000"/>
          <w:sz w:val="24"/>
          <w:szCs w:val="24"/>
        </w:rPr>
        <w:t>月</w:t>
      </w:r>
      <w:r>
        <w:rPr>
          <w:color w:val="000000"/>
          <w:sz w:val="24"/>
          <w:szCs w:val="24"/>
        </w:rPr>
        <w:t>18</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D910C1" w:rsidRDefault="000F2365">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D910C1" w:rsidRDefault="000F2365">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D910C1" w:rsidRDefault="000F2365">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2014</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0F2365">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AA6513">
        <w:trPr>
          <w:jc w:val="center"/>
        </w:trPr>
        <w:tc>
          <w:tcPr>
            <w:tcW w:w="2835"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479"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交银蓝筹股票</w:t>
            </w:r>
          </w:p>
        </w:tc>
      </w:tr>
      <w:tr w:rsidR="00D94B8D"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479"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519694</w:t>
            </w:r>
          </w:p>
        </w:tc>
      </w:tr>
      <w:tr w:rsidR="001B2F35"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739"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519694</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740"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519695</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2007</w:t>
            </w:r>
            <w:r w:rsidRPr="00414345">
              <w:rPr>
                <w:color w:val="000000"/>
                <w:kern w:val="0"/>
                <w:sz w:val="24"/>
                <w:szCs w:val="24"/>
              </w:rPr>
              <w:t>年</w:t>
            </w:r>
            <w:r w:rsidRPr="00414345">
              <w:rPr>
                <w:color w:val="000000"/>
                <w:kern w:val="0"/>
                <w:sz w:val="24"/>
                <w:szCs w:val="24"/>
              </w:rPr>
              <w:t>8</w:t>
            </w:r>
            <w:r w:rsidRPr="00414345">
              <w:rPr>
                <w:color w:val="000000"/>
                <w:kern w:val="0"/>
                <w:sz w:val="24"/>
                <w:szCs w:val="24"/>
              </w:rPr>
              <w:t>月</w:t>
            </w:r>
            <w:r w:rsidRPr="00414345">
              <w:rPr>
                <w:color w:val="000000"/>
                <w:kern w:val="0"/>
                <w:sz w:val="24"/>
                <w:szCs w:val="24"/>
              </w:rPr>
              <w:t>8</w:t>
            </w:r>
            <w:r w:rsidRPr="00414345">
              <w:rPr>
                <w:color w:val="000000"/>
                <w:kern w:val="0"/>
                <w:sz w:val="24"/>
                <w:szCs w:val="24"/>
              </w:rPr>
              <w:t>日</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9,534,376,014.48</w:t>
            </w:r>
            <w:r w:rsidRPr="00414345">
              <w:rPr>
                <w:color w:val="000000"/>
                <w:kern w:val="0"/>
                <w:sz w:val="24"/>
                <w:szCs w:val="24"/>
              </w:rPr>
              <w:t>份</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为一只蓝筹股票基金，主要通过投资于业绩优良、发展稳定、在行业内占有支配性地位、分红稳定的蓝筹上市公司股票，在有效控制风险并保持基金资产良好流动性的前提下，追求在稳定分红的基础上实现基金资产的长期稳定增长。</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通过优选业绩优良、发展稳定、在行业内占有支配性地位、分红稳定的蓝筹上市公司股票进行投资，以谋求基金资产的长期稳定增长。</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中证</w:t>
            </w:r>
            <w:r w:rsidRPr="00414345">
              <w:rPr>
                <w:color w:val="000000"/>
                <w:kern w:val="0"/>
                <w:sz w:val="24"/>
                <w:szCs w:val="24"/>
              </w:rPr>
              <w:t>100</w:t>
            </w:r>
            <w:r w:rsidRPr="00414345">
              <w:rPr>
                <w:color w:val="000000"/>
                <w:kern w:val="0"/>
                <w:sz w:val="24"/>
                <w:szCs w:val="24"/>
              </w:rPr>
              <w:t>指数</w:t>
            </w:r>
            <w:r w:rsidRPr="00414345">
              <w:rPr>
                <w:color w:val="000000"/>
                <w:kern w:val="0"/>
                <w:sz w:val="24"/>
                <w:szCs w:val="24"/>
              </w:rPr>
              <w:t>+25%×</w:t>
            </w:r>
            <w:r w:rsidRPr="00414345">
              <w:rPr>
                <w:color w:val="000000"/>
                <w:kern w:val="0"/>
                <w:sz w:val="24"/>
                <w:szCs w:val="24"/>
              </w:rPr>
              <w:t>中信标普全债指数</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本基金是一只股票型基金，以优质蓝筹股为主要投资</w:t>
            </w:r>
            <w:r w:rsidRPr="00414345">
              <w:rPr>
                <w:color w:val="000000"/>
                <w:kern w:val="0"/>
                <w:sz w:val="24"/>
                <w:szCs w:val="24"/>
              </w:rPr>
              <w:lastRenderedPageBreak/>
              <w:t>对象，属于证券投资基金中较高预期收益和较高风险的品种，本基金的风险与预期收益都要高于混合型基金和债券型基金。</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0F2365">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0F2365" w:rsidRPr="00414345" w:rsidTr="000F2365">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(2014</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-2014</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0F2365" w:rsidRPr="00414345" w:rsidTr="000F236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-123,515,413.61</w:t>
            </w:r>
          </w:p>
        </w:tc>
      </w:tr>
      <w:tr w:rsidR="000F2365" w:rsidRPr="00414345" w:rsidTr="000F236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50,458,873.90</w:t>
            </w:r>
          </w:p>
        </w:tc>
      </w:tr>
      <w:tr w:rsidR="000F2365" w:rsidRPr="00414345" w:rsidTr="000F236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0.0052</w:t>
            </w:r>
          </w:p>
        </w:tc>
      </w:tr>
      <w:tr w:rsidR="000F2365" w:rsidRPr="00414345" w:rsidTr="000F236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6,580,383,597.34</w:t>
            </w:r>
          </w:p>
        </w:tc>
      </w:tr>
      <w:tr w:rsidR="000F2365" w:rsidRPr="00414345" w:rsidTr="000F2365">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0.6902</w:t>
            </w:r>
          </w:p>
        </w:tc>
      </w:tr>
    </w:tbl>
    <w:p w:rsidR="00D910C1" w:rsidRDefault="000F2365">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D910C1">
        <w:trPr>
          <w:jc w:val="center"/>
        </w:trPr>
        <w:tc>
          <w:tcPr>
            <w:tcW w:w="1701" w:type="dxa"/>
            <w:vAlign w:val="center"/>
          </w:tcPr>
          <w:p w:rsidR="00D910C1" w:rsidRDefault="000F2365">
            <w:pPr>
              <w:jc w:val="left"/>
            </w:pPr>
            <w:r>
              <w:rPr>
                <w:color w:val="000000"/>
                <w:sz w:val="24"/>
                <w:szCs w:val="24"/>
              </w:rPr>
              <w:t>过去三个月</w:t>
            </w:r>
          </w:p>
        </w:tc>
        <w:tc>
          <w:tcPr>
            <w:tcW w:w="1045" w:type="dxa"/>
            <w:vAlign w:val="center"/>
          </w:tcPr>
          <w:p w:rsidR="00D910C1" w:rsidRDefault="000F2365">
            <w:pPr>
              <w:jc w:val="center"/>
            </w:pPr>
            <w:r>
              <w:rPr>
                <w:color w:val="000000"/>
                <w:sz w:val="24"/>
                <w:szCs w:val="24"/>
              </w:rPr>
              <w:t>0.76%</w:t>
            </w:r>
          </w:p>
        </w:tc>
        <w:tc>
          <w:tcPr>
            <w:tcW w:w="1344" w:type="dxa"/>
            <w:vAlign w:val="center"/>
          </w:tcPr>
          <w:p w:rsidR="00D910C1" w:rsidRDefault="000F2365">
            <w:pPr>
              <w:jc w:val="center"/>
            </w:pPr>
            <w:r>
              <w:rPr>
                <w:color w:val="000000"/>
                <w:sz w:val="24"/>
                <w:szCs w:val="24"/>
              </w:rPr>
              <w:t>0.81%</w:t>
            </w:r>
          </w:p>
        </w:tc>
        <w:tc>
          <w:tcPr>
            <w:tcW w:w="1194" w:type="dxa"/>
            <w:vAlign w:val="center"/>
          </w:tcPr>
          <w:p w:rsidR="00D910C1" w:rsidRDefault="000F2365">
            <w:pPr>
              <w:jc w:val="center"/>
            </w:pPr>
            <w:r>
              <w:rPr>
                <w:color w:val="000000"/>
                <w:sz w:val="24"/>
                <w:szCs w:val="24"/>
              </w:rPr>
              <w:t>1.24%</w:t>
            </w:r>
          </w:p>
        </w:tc>
        <w:tc>
          <w:tcPr>
            <w:tcW w:w="1492" w:type="dxa"/>
            <w:vAlign w:val="center"/>
          </w:tcPr>
          <w:p w:rsidR="00D910C1" w:rsidRDefault="000F2365">
            <w:pPr>
              <w:jc w:val="center"/>
            </w:pPr>
            <w:r>
              <w:rPr>
                <w:color w:val="000000"/>
                <w:sz w:val="24"/>
                <w:szCs w:val="24"/>
              </w:rPr>
              <w:t>0.68%</w:t>
            </w:r>
          </w:p>
        </w:tc>
        <w:tc>
          <w:tcPr>
            <w:tcW w:w="1194" w:type="dxa"/>
            <w:vAlign w:val="center"/>
          </w:tcPr>
          <w:p w:rsidR="00D910C1" w:rsidRDefault="000F2365">
            <w:pPr>
              <w:jc w:val="center"/>
            </w:pPr>
            <w:r>
              <w:rPr>
                <w:color w:val="000000"/>
                <w:sz w:val="24"/>
                <w:szCs w:val="24"/>
              </w:rPr>
              <w:t>-0.48%</w:t>
            </w:r>
          </w:p>
        </w:tc>
        <w:tc>
          <w:tcPr>
            <w:tcW w:w="898" w:type="dxa"/>
            <w:vAlign w:val="center"/>
          </w:tcPr>
          <w:p w:rsidR="00D910C1" w:rsidRDefault="000F2365">
            <w:pPr>
              <w:jc w:val="center"/>
            </w:pPr>
            <w:r>
              <w:rPr>
                <w:color w:val="000000"/>
                <w:sz w:val="24"/>
                <w:szCs w:val="24"/>
              </w:rPr>
              <w:t>0.13%</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875DAC">
        <w:rPr>
          <w:rFonts w:hint="eastAsia"/>
          <w:b/>
          <w:bCs/>
          <w:color w:val="000000"/>
          <w:kern w:val="0"/>
          <w:sz w:val="24"/>
          <w:szCs w:val="24"/>
        </w:rPr>
        <w:t xml:space="preserve"> </w:t>
      </w:r>
      <w:r w:rsidR="00875DAC">
        <w:rPr>
          <w:rFonts w:hint="eastAsia"/>
          <w:b/>
          <w:bCs/>
          <w:color w:val="000000"/>
          <w:kern w:val="0"/>
          <w:sz w:val="24"/>
          <w:szCs w:val="24"/>
        </w:rPr>
        <w:t>自</w:t>
      </w:r>
      <w:r w:rsidR="006742DC">
        <w:rPr>
          <w:rFonts w:hint="eastAsia"/>
          <w:b/>
          <w:bCs/>
          <w:color w:val="000000"/>
          <w:sz w:val="24"/>
        </w:rPr>
        <w:t>基金</w:t>
      </w:r>
      <w:r w:rsidR="00570842" w:rsidRPr="00570842">
        <w:rPr>
          <w:rFonts w:hint="eastAsia"/>
          <w:b/>
          <w:bCs/>
          <w:color w:val="000000"/>
          <w:sz w:val="24"/>
        </w:rPr>
        <w:t>合同生效</w:t>
      </w:r>
      <w:r w:rsidR="006742DC">
        <w:rPr>
          <w:rFonts w:hint="eastAsia"/>
          <w:b/>
          <w:bCs/>
          <w:color w:val="000000"/>
          <w:sz w:val="24"/>
        </w:rPr>
        <w:t>以来</w:t>
      </w:r>
      <w:r w:rsidR="00C6002A" w:rsidRPr="00414345">
        <w:rPr>
          <w:b/>
          <w:bCs/>
          <w:color w:val="000000"/>
          <w:sz w:val="24"/>
        </w:rPr>
        <w:t>基金份额累计净值增长率变动及其与同期业绩比较基准收益率变动的比较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交银施罗德蓝筹股票证券投资基金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lastRenderedPageBreak/>
        <w:t>（</w:t>
      </w:r>
      <w:r w:rsidR="0042009D" w:rsidRPr="00414345">
        <w:rPr>
          <w:rFonts w:ascii="Times New Roman" w:hAnsi="Times New Roman" w:cs="Times New Roman"/>
          <w:sz w:val="24"/>
          <w:szCs w:val="24"/>
        </w:rPr>
        <w:t>2007</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8</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8</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2014</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0F2365">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D910C1">
        <w:trPr>
          <w:jc w:val="center"/>
        </w:trPr>
        <w:tc>
          <w:tcPr>
            <w:tcW w:w="846" w:type="dxa"/>
            <w:vAlign w:val="center"/>
          </w:tcPr>
          <w:p w:rsidR="00D910C1" w:rsidRDefault="000F2365">
            <w:pPr>
              <w:jc w:val="center"/>
            </w:pPr>
            <w:r>
              <w:rPr>
                <w:color w:val="000000"/>
                <w:sz w:val="24"/>
                <w:szCs w:val="24"/>
              </w:rPr>
              <w:t>张媚钗</w:t>
            </w:r>
          </w:p>
        </w:tc>
        <w:tc>
          <w:tcPr>
            <w:tcW w:w="845" w:type="dxa"/>
            <w:vAlign w:val="center"/>
          </w:tcPr>
          <w:p w:rsidR="00D910C1" w:rsidRDefault="000F2365">
            <w:pPr>
              <w:jc w:val="center"/>
            </w:pPr>
            <w:r>
              <w:rPr>
                <w:color w:val="000000"/>
                <w:sz w:val="24"/>
                <w:szCs w:val="24"/>
              </w:rPr>
              <w:t>本基金的基金经理</w:t>
            </w:r>
          </w:p>
        </w:tc>
        <w:tc>
          <w:tcPr>
            <w:tcW w:w="1549" w:type="dxa"/>
            <w:vAlign w:val="center"/>
          </w:tcPr>
          <w:p w:rsidR="00D910C1" w:rsidRDefault="000F2365">
            <w:pPr>
              <w:jc w:val="center"/>
            </w:pPr>
            <w:r>
              <w:rPr>
                <w:color w:val="000000"/>
                <w:sz w:val="24"/>
                <w:szCs w:val="24"/>
              </w:rPr>
              <w:t>2010-06-04</w:t>
            </w:r>
          </w:p>
        </w:tc>
        <w:tc>
          <w:tcPr>
            <w:tcW w:w="1548" w:type="dxa"/>
            <w:vAlign w:val="center"/>
          </w:tcPr>
          <w:p w:rsidR="00D910C1" w:rsidRDefault="000F2365">
            <w:pPr>
              <w:jc w:val="center"/>
            </w:pPr>
            <w:r>
              <w:rPr>
                <w:color w:val="000000"/>
                <w:sz w:val="24"/>
                <w:szCs w:val="24"/>
              </w:rPr>
              <w:t>-</w:t>
            </w:r>
          </w:p>
        </w:tc>
        <w:tc>
          <w:tcPr>
            <w:tcW w:w="1407" w:type="dxa"/>
            <w:vAlign w:val="center"/>
          </w:tcPr>
          <w:p w:rsidR="00D910C1" w:rsidRDefault="000F2365">
            <w:pPr>
              <w:jc w:val="center"/>
            </w:pPr>
            <w:r>
              <w:rPr>
                <w:color w:val="000000"/>
                <w:sz w:val="24"/>
                <w:szCs w:val="24"/>
              </w:rPr>
              <w:t>12</w:t>
            </w:r>
            <w:r>
              <w:rPr>
                <w:color w:val="000000"/>
                <w:sz w:val="24"/>
                <w:szCs w:val="24"/>
              </w:rPr>
              <w:t>年</w:t>
            </w:r>
          </w:p>
        </w:tc>
        <w:tc>
          <w:tcPr>
            <w:tcW w:w="2673" w:type="dxa"/>
            <w:vAlign w:val="center"/>
          </w:tcPr>
          <w:p w:rsidR="00D910C1" w:rsidRDefault="000F2365">
            <w:r>
              <w:rPr>
                <w:color w:val="000000"/>
                <w:sz w:val="24"/>
                <w:szCs w:val="24"/>
              </w:rPr>
              <w:t>张媚钗女士，经济学硕士。历任申银万国证券研究所研究员。</w:t>
            </w:r>
            <w:r>
              <w:rPr>
                <w:color w:val="000000"/>
                <w:sz w:val="24"/>
                <w:szCs w:val="24"/>
              </w:rPr>
              <w:t>2005</w:t>
            </w:r>
            <w:r>
              <w:rPr>
                <w:color w:val="000000"/>
                <w:sz w:val="24"/>
                <w:szCs w:val="24"/>
              </w:rPr>
              <w:t>年加入交银施罗德基金管理有限公司，历任投资研究部研究员、基金经理助理和专户投资经理。</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w:t>
      </w:r>
      <w:r w:rsidRPr="00414345">
        <w:rPr>
          <w:color w:val="000000"/>
          <w:sz w:val="24"/>
          <w:szCs w:val="24"/>
        </w:rPr>
        <w:lastRenderedPageBreak/>
        <w:t>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D910C1" w:rsidRDefault="000F2365">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D910C1" w:rsidRDefault="000F2365">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D910C1" w:rsidRDefault="000F2365">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w:t>
      </w:r>
      <w:r w:rsidRPr="00414345">
        <w:rPr>
          <w:color w:val="000000"/>
          <w:sz w:val="24"/>
          <w:szCs w:val="24"/>
        </w:rPr>
        <w:t>,</w:t>
      </w:r>
      <w:r w:rsidRPr="00414345">
        <w:rPr>
          <w:color w:val="000000"/>
          <w:sz w:val="24"/>
          <w:szCs w:val="24"/>
        </w:rPr>
        <w:t>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D910C1" w:rsidRDefault="000F2365">
      <w:pPr>
        <w:spacing w:before="29" w:line="288" w:lineRule="auto"/>
        <w:ind w:firstLineChars="200" w:firstLine="480"/>
        <w:rPr>
          <w:color w:val="000000"/>
          <w:sz w:val="24"/>
          <w:szCs w:val="24"/>
        </w:rPr>
      </w:pPr>
      <w:r>
        <w:rPr>
          <w:color w:val="000000"/>
          <w:sz w:val="24"/>
          <w:szCs w:val="24"/>
        </w:rPr>
        <w:t>国内经济在一季度趋弱后于二季度逐渐企稳，通胀压力并不明显。国内来看，地产量价持续萎靡拖累整体的地产投资需求，并促发了稳增长政策预期及出台，但鉴于结构调整压力巨大，微刺激政策以定向和分批的方式推出，仅起到托底作用。另一方面，美欧央行延续宽松政策，外需改善，人民币虽双向波动，但热钱流入仍保持一定规模，再贷款等工具的运用使得整体流动性环境保持在偏宽松的格局。管理层出台创业板再融资细则，同时明确未来发行节奏受控，使得市场对整体融资压力的担忧明显缓解，中小创业板个股先抑后扬，二季度普遍出现明显反弹。</w:t>
      </w:r>
    </w:p>
    <w:p w:rsidR="00D910C1" w:rsidRDefault="000F2365">
      <w:pPr>
        <w:spacing w:before="29" w:line="288" w:lineRule="auto"/>
        <w:ind w:firstLineChars="200" w:firstLine="480"/>
        <w:rPr>
          <w:color w:val="000000"/>
          <w:sz w:val="24"/>
          <w:szCs w:val="24"/>
        </w:rPr>
      </w:pPr>
      <w:r>
        <w:rPr>
          <w:color w:val="000000"/>
          <w:sz w:val="24"/>
          <w:szCs w:val="24"/>
        </w:rPr>
        <w:t>报告期内，伴随偏宽松的流动性和相对窄幅波动的经济状态，信息服务及设备、机械设备、电子、休闲服务等行业表现突出，而采掘、农业、食品饮料、商贸等行业则受到了需求或价格放缓的负面影响表现疲软。整个上半年，市场延续前期自下而上的成长</w:t>
      </w:r>
      <w:r>
        <w:rPr>
          <w:color w:val="000000"/>
          <w:sz w:val="24"/>
          <w:szCs w:val="24"/>
        </w:rPr>
        <w:lastRenderedPageBreak/>
        <w:t>股选股逻辑以及主题投资风格，主题的风格溢价显著回落后近期有明显升温。报告期间本基金配置延续偏向成长，在医药、传媒行业以及其他细分成长类行业中取得了一定的相对回报，但受到全市场白马成长股表现的拖累，部分中大市值成长个股对基金业绩有所影响。</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下半年，宏观经济在整体政策取向改革与结构调整的背景下，预计不会有太大起色，但随着稳增长政策的逐步起效，经济将呈现区间波动特征，代表未来长期发展方向的新兴产业估值溢价回落后仍将具备一定投资价值。下半年本基金将继续精选成长空间大的个别领域及主题并从中寻找合适估值下的投资机会。</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2014</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0.6902</w:t>
      </w:r>
      <w:r w:rsidRPr="00414345">
        <w:rPr>
          <w:color w:val="000000"/>
          <w:sz w:val="24"/>
          <w:szCs w:val="24"/>
        </w:rPr>
        <w:t>元，本报告期份额净值增长率为</w:t>
      </w:r>
      <w:r w:rsidRPr="00414345">
        <w:rPr>
          <w:color w:val="000000"/>
          <w:sz w:val="24"/>
          <w:szCs w:val="24"/>
        </w:rPr>
        <w:t>0.76%</w:t>
      </w:r>
      <w:r w:rsidRPr="00414345">
        <w:rPr>
          <w:color w:val="000000"/>
          <w:sz w:val="24"/>
          <w:szCs w:val="24"/>
        </w:rPr>
        <w:t>，同期业绩比较基准增长率为</w:t>
      </w:r>
      <w:r w:rsidRPr="00414345">
        <w:rPr>
          <w:color w:val="000000"/>
          <w:sz w:val="24"/>
          <w:szCs w:val="24"/>
        </w:rPr>
        <w:t>1.24%</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061AC" w:rsidRPr="00414345" w:rsidRDefault="004061AC" w:rsidP="000F2365">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4,864,690,713.32</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73.69</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4,864,690,713.32</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73.69</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248,403,598.96</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3.76</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248,403,598.96</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3.76</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991,403,204.71</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15.02</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431,014,410.73</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6.53</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65,857,123.73</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6,601,369,051.45</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w:t>
            </w:r>
            <w:r w:rsidRPr="00414345">
              <w:rPr>
                <w:sz w:val="24"/>
                <w:szCs w:val="24"/>
              </w:rPr>
              <w:lastRenderedPageBreak/>
              <w:t>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0F2365">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0F236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3,257,818,643.34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49.51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67,702,530.90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392,593,626.74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5.97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0F2365">
            <w:pPr>
              <w:adjustRightInd w:val="0"/>
              <w:snapToGrid w:val="0"/>
              <w:spacing w:before="29" w:line="288" w:lineRule="auto"/>
              <w:jc w:val="left"/>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148,729,933.70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275,380,000.00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4.18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255,234,345.38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3.88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139,792,003.10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58,500,000.00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0.89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66,362,788.44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202,576,841.72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4,864,690,713.32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73.93</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D910C1">
        <w:trPr>
          <w:jc w:val="center"/>
        </w:trPr>
        <w:tc>
          <w:tcPr>
            <w:tcW w:w="855" w:type="dxa"/>
            <w:vAlign w:val="center"/>
          </w:tcPr>
          <w:p w:rsidR="00D910C1" w:rsidRDefault="000F2365">
            <w:pPr>
              <w:jc w:val="center"/>
            </w:pPr>
            <w:r>
              <w:rPr>
                <w:color w:val="000000"/>
                <w:sz w:val="24"/>
                <w:szCs w:val="24"/>
              </w:rPr>
              <w:t>1</w:t>
            </w:r>
          </w:p>
        </w:tc>
        <w:tc>
          <w:tcPr>
            <w:tcW w:w="1334" w:type="dxa"/>
            <w:vAlign w:val="center"/>
          </w:tcPr>
          <w:p w:rsidR="00D910C1" w:rsidRDefault="000F2365">
            <w:pPr>
              <w:jc w:val="center"/>
            </w:pPr>
            <w:r>
              <w:rPr>
                <w:color w:val="000000"/>
                <w:sz w:val="24"/>
                <w:szCs w:val="24"/>
              </w:rPr>
              <w:t>600535</w:t>
            </w:r>
          </w:p>
        </w:tc>
        <w:tc>
          <w:tcPr>
            <w:tcW w:w="1777" w:type="dxa"/>
            <w:vAlign w:val="center"/>
          </w:tcPr>
          <w:p w:rsidR="00D910C1" w:rsidRDefault="000F2365">
            <w:pPr>
              <w:jc w:val="center"/>
            </w:pPr>
            <w:r>
              <w:rPr>
                <w:color w:val="000000"/>
                <w:sz w:val="24"/>
                <w:szCs w:val="24"/>
              </w:rPr>
              <w:t>天士力</w:t>
            </w:r>
          </w:p>
        </w:tc>
        <w:tc>
          <w:tcPr>
            <w:tcW w:w="1334" w:type="dxa"/>
            <w:vAlign w:val="center"/>
          </w:tcPr>
          <w:p w:rsidR="00D910C1" w:rsidRDefault="000F2365">
            <w:pPr>
              <w:jc w:val="right"/>
            </w:pPr>
            <w:r>
              <w:rPr>
                <w:color w:val="000000"/>
                <w:sz w:val="24"/>
                <w:szCs w:val="24"/>
              </w:rPr>
              <w:t>8,160,000</w:t>
            </w:r>
          </w:p>
        </w:tc>
        <w:tc>
          <w:tcPr>
            <w:tcW w:w="1924" w:type="dxa"/>
            <w:vAlign w:val="center"/>
          </w:tcPr>
          <w:p w:rsidR="00D910C1" w:rsidRDefault="000F2365">
            <w:pPr>
              <w:jc w:val="right"/>
            </w:pPr>
            <w:r>
              <w:rPr>
                <w:color w:val="000000"/>
                <w:sz w:val="24"/>
                <w:szCs w:val="24"/>
              </w:rPr>
              <w:t>316,363,200.00</w:t>
            </w:r>
          </w:p>
        </w:tc>
        <w:tc>
          <w:tcPr>
            <w:tcW w:w="1644" w:type="dxa"/>
            <w:vAlign w:val="center"/>
          </w:tcPr>
          <w:p w:rsidR="00D910C1" w:rsidRDefault="000F2365">
            <w:pPr>
              <w:jc w:val="right"/>
            </w:pPr>
            <w:r>
              <w:rPr>
                <w:color w:val="000000"/>
                <w:sz w:val="24"/>
                <w:szCs w:val="24"/>
              </w:rPr>
              <w:t>4.81</w:t>
            </w:r>
          </w:p>
        </w:tc>
      </w:tr>
      <w:tr w:rsidR="00D910C1">
        <w:trPr>
          <w:jc w:val="center"/>
        </w:trPr>
        <w:tc>
          <w:tcPr>
            <w:tcW w:w="855" w:type="dxa"/>
            <w:vAlign w:val="center"/>
          </w:tcPr>
          <w:p w:rsidR="00D910C1" w:rsidRDefault="000F2365">
            <w:pPr>
              <w:jc w:val="center"/>
            </w:pPr>
            <w:r>
              <w:rPr>
                <w:color w:val="000000"/>
                <w:sz w:val="24"/>
                <w:szCs w:val="24"/>
              </w:rPr>
              <w:t>2</w:t>
            </w:r>
          </w:p>
        </w:tc>
        <w:tc>
          <w:tcPr>
            <w:tcW w:w="1334" w:type="dxa"/>
            <w:vAlign w:val="center"/>
          </w:tcPr>
          <w:p w:rsidR="00D910C1" w:rsidRDefault="000F2365">
            <w:pPr>
              <w:jc w:val="center"/>
            </w:pPr>
            <w:r>
              <w:rPr>
                <w:color w:val="000000"/>
                <w:sz w:val="24"/>
                <w:szCs w:val="24"/>
              </w:rPr>
              <w:t>601318</w:t>
            </w:r>
          </w:p>
        </w:tc>
        <w:tc>
          <w:tcPr>
            <w:tcW w:w="1777" w:type="dxa"/>
            <w:vAlign w:val="center"/>
          </w:tcPr>
          <w:p w:rsidR="00D910C1" w:rsidRDefault="000F2365">
            <w:pPr>
              <w:jc w:val="center"/>
            </w:pPr>
            <w:r>
              <w:rPr>
                <w:color w:val="000000"/>
                <w:sz w:val="24"/>
                <w:szCs w:val="24"/>
              </w:rPr>
              <w:t>中国平安</w:t>
            </w:r>
          </w:p>
        </w:tc>
        <w:tc>
          <w:tcPr>
            <w:tcW w:w="1334" w:type="dxa"/>
            <w:vAlign w:val="center"/>
          </w:tcPr>
          <w:p w:rsidR="00D910C1" w:rsidRDefault="000F2365">
            <w:pPr>
              <w:jc w:val="right"/>
            </w:pPr>
            <w:r>
              <w:rPr>
                <w:color w:val="000000"/>
                <w:sz w:val="24"/>
                <w:szCs w:val="24"/>
              </w:rPr>
              <w:t>7,000,000</w:t>
            </w:r>
          </w:p>
        </w:tc>
        <w:tc>
          <w:tcPr>
            <w:tcW w:w="1924" w:type="dxa"/>
            <w:vAlign w:val="center"/>
          </w:tcPr>
          <w:p w:rsidR="00D910C1" w:rsidRDefault="000F2365">
            <w:pPr>
              <w:jc w:val="right"/>
            </w:pPr>
            <w:r>
              <w:rPr>
                <w:color w:val="000000"/>
                <w:sz w:val="24"/>
                <w:szCs w:val="24"/>
              </w:rPr>
              <w:t>275,380,000.00</w:t>
            </w:r>
          </w:p>
        </w:tc>
        <w:tc>
          <w:tcPr>
            <w:tcW w:w="1644" w:type="dxa"/>
            <w:vAlign w:val="center"/>
          </w:tcPr>
          <w:p w:rsidR="00D910C1" w:rsidRDefault="000F2365">
            <w:pPr>
              <w:jc w:val="right"/>
            </w:pPr>
            <w:r>
              <w:rPr>
                <w:color w:val="000000"/>
                <w:sz w:val="24"/>
                <w:szCs w:val="24"/>
              </w:rPr>
              <w:t>4.18</w:t>
            </w:r>
          </w:p>
        </w:tc>
      </w:tr>
      <w:tr w:rsidR="00D910C1">
        <w:trPr>
          <w:jc w:val="center"/>
        </w:trPr>
        <w:tc>
          <w:tcPr>
            <w:tcW w:w="855" w:type="dxa"/>
            <w:vAlign w:val="center"/>
          </w:tcPr>
          <w:p w:rsidR="00D910C1" w:rsidRDefault="000F2365">
            <w:pPr>
              <w:jc w:val="center"/>
            </w:pPr>
            <w:r>
              <w:rPr>
                <w:color w:val="000000"/>
                <w:sz w:val="24"/>
                <w:szCs w:val="24"/>
              </w:rPr>
              <w:t>3</w:t>
            </w:r>
          </w:p>
        </w:tc>
        <w:tc>
          <w:tcPr>
            <w:tcW w:w="1334" w:type="dxa"/>
            <w:vAlign w:val="center"/>
          </w:tcPr>
          <w:p w:rsidR="00D910C1" w:rsidRDefault="000F2365">
            <w:pPr>
              <w:jc w:val="center"/>
            </w:pPr>
            <w:r>
              <w:rPr>
                <w:color w:val="000000"/>
                <w:sz w:val="24"/>
                <w:szCs w:val="24"/>
              </w:rPr>
              <w:t>600276</w:t>
            </w:r>
          </w:p>
        </w:tc>
        <w:tc>
          <w:tcPr>
            <w:tcW w:w="1777" w:type="dxa"/>
            <w:vAlign w:val="center"/>
          </w:tcPr>
          <w:p w:rsidR="00D910C1" w:rsidRDefault="000F2365">
            <w:pPr>
              <w:jc w:val="center"/>
            </w:pPr>
            <w:r>
              <w:rPr>
                <w:color w:val="000000"/>
                <w:sz w:val="24"/>
                <w:szCs w:val="24"/>
              </w:rPr>
              <w:t>恒瑞医药</w:t>
            </w:r>
          </w:p>
        </w:tc>
        <w:tc>
          <w:tcPr>
            <w:tcW w:w="1334" w:type="dxa"/>
            <w:vAlign w:val="center"/>
          </w:tcPr>
          <w:p w:rsidR="00D910C1" w:rsidRDefault="000F2365">
            <w:pPr>
              <w:jc w:val="right"/>
            </w:pPr>
            <w:r>
              <w:rPr>
                <w:color w:val="000000"/>
                <w:sz w:val="24"/>
                <w:szCs w:val="24"/>
              </w:rPr>
              <w:t>5,418,161</w:t>
            </w:r>
          </w:p>
        </w:tc>
        <w:tc>
          <w:tcPr>
            <w:tcW w:w="1924" w:type="dxa"/>
            <w:vAlign w:val="center"/>
          </w:tcPr>
          <w:p w:rsidR="00D910C1" w:rsidRDefault="000F2365">
            <w:pPr>
              <w:jc w:val="right"/>
            </w:pPr>
            <w:r>
              <w:rPr>
                <w:color w:val="000000"/>
                <w:sz w:val="24"/>
                <w:szCs w:val="24"/>
              </w:rPr>
              <w:t>179,666,218.76</w:t>
            </w:r>
          </w:p>
        </w:tc>
        <w:tc>
          <w:tcPr>
            <w:tcW w:w="1644" w:type="dxa"/>
            <w:vAlign w:val="center"/>
          </w:tcPr>
          <w:p w:rsidR="00D910C1" w:rsidRDefault="000F2365">
            <w:pPr>
              <w:jc w:val="right"/>
            </w:pPr>
            <w:r>
              <w:rPr>
                <w:color w:val="000000"/>
                <w:sz w:val="24"/>
                <w:szCs w:val="24"/>
              </w:rPr>
              <w:t>2.73</w:t>
            </w:r>
          </w:p>
        </w:tc>
      </w:tr>
      <w:tr w:rsidR="00D910C1">
        <w:trPr>
          <w:jc w:val="center"/>
        </w:trPr>
        <w:tc>
          <w:tcPr>
            <w:tcW w:w="855" w:type="dxa"/>
            <w:vAlign w:val="center"/>
          </w:tcPr>
          <w:p w:rsidR="00D910C1" w:rsidRDefault="000F2365">
            <w:pPr>
              <w:jc w:val="center"/>
            </w:pPr>
            <w:r>
              <w:rPr>
                <w:color w:val="000000"/>
                <w:sz w:val="24"/>
                <w:szCs w:val="24"/>
              </w:rPr>
              <w:t>4</w:t>
            </w:r>
          </w:p>
        </w:tc>
        <w:tc>
          <w:tcPr>
            <w:tcW w:w="1334" w:type="dxa"/>
            <w:vAlign w:val="center"/>
          </w:tcPr>
          <w:p w:rsidR="00D910C1" w:rsidRDefault="000F2365">
            <w:pPr>
              <w:jc w:val="center"/>
            </w:pPr>
            <w:r>
              <w:rPr>
                <w:color w:val="000000"/>
                <w:sz w:val="24"/>
                <w:szCs w:val="24"/>
              </w:rPr>
              <w:t>300058</w:t>
            </w:r>
          </w:p>
        </w:tc>
        <w:tc>
          <w:tcPr>
            <w:tcW w:w="1777" w:type="dxa"/>
            <w:vAlign w:val="center"/>
          </w:tcPr>
          <w:p w:rsidR="00D910C1" w:rsidRDefault="000F2365">
            <w:pPr>
              <w:jc w:val="center"/>
            </w:pPr>
            <w:r>
              <w:rPr>
                <w:color w:val="000000"/>
                <w:sz w:val="24"/>
                <w:szCs w:val="24"/>
              </w:rPr>
              <w:t>蓝色光标</w:t>
            </w:r>
          </w:p>
        </w:tc>
        <w:tc>
          <w:tcPr>
            <w:tcW w:w="1334" w:type="dxa"/>
            <w:vAlign w:val="center"/>
          </w:tcPr>
          <w:p w:rsidR="00D910C1" w:rsidRDefault="000F2365">
            <w:pPr>
              <w:jc w:val="right"/>
            </w:pPr>
            <w:r>
              <w:rPr>
                <w:color w:val="000000"/>
                <w:sz w:val="24"/>
                <w:szCs w:val="24"/>
              </w:rPr>
              <w:t>6,631,695</w:t>
            </w:r>
          </w:p>
        </w:tc>
        <w:tc>
          <w:tcPr>
            <w:tcW w:w="1924" w:type="dxa"/>
            <w:vAlign w:val="center"/>
          </w:tcPr>
          <w:p w:rsidR="00D910C1" w:rsidRDefault="000F2365">
            <w:pPr>
              <w:jc w:val="right"/>
            </w:pPr>
            <w:r>
              <w:rPr>
                <w:color w:val="000000"/>
                <w:sz w:val="24"/>
                <w:szCs w:val="24"/>
              </w:rPr>
              <w:t>176,005,185.30</w:t>
            </w:r>
          </w:p>
        </w:tc>
        <w:tc>
          <w:tcPr>
            <w:tcW w:w="1644" w:type="dxa"/>
            <w:vAlign w:val="center"/>
          </w:tcPr>
          <w:p w:rsidR="00D910C1" w:rsidRDefault="000F2365">
            <w:pPr>
              <w:jc w:val="right"/>
            </w:pPr>
            <w:r>
              <w:rPr>
                <w:color w:val="000000"/>
                <w:sz w:val="24"/>
                <w:szCs w:val="24"/>
              </w:rPr>
              <w:t>2.67</w:t>
            </w:r>
          </w:p>
        </w:tc>
      </w:tr>
      <w:tr w:rsidR="00D910C1">
        <w:trPr>
          <w:jc w:val="center"/>
        </w:trPr>
        <w:tc>
          <w:tcPr>
            <w:tcW w:w="855" w:type="dxa"/>
            <w:vAlign w:val="center"/>
          </w:tcPr>
          <w:p w:rsidR="00D910C1" w:rsidRDefault="000F2365">
            <w:pPr>
              <w:jc w:val="center"/>
            </w:pPr>
            <w:r>
              <w:rPr>
                <w:color w:val="000000"/>
                <w:sz w:val="24"/>
                <w:szCs w:val="24"/>
              </w:rPr>
              <w:lastRenderedPageBreak/>
              <w:t>5</w:t>
            </w:r>
          </w:p>
        </w:tc>
        <w:tc>
          <w:tcPr>
            <w:tcW w:w="1334" w:type="dxa"/>
            <w:vAlign w:val="center"/>
          </w:tcPr>
          <w:p w:rsidR="00D910C1" w:rsidRDefault="000F2365">
            <w:pPr>
              <w:jc w:val="center"/>
            </w:pPr>
            <w:r>
              <w:rPr>
                <w:color w:val="000000"/>
                <w:sz w:val="24"/>
                <w:szCs w:val="24"/>
              </w:rPr>
              <w:t>600703</w:t>
            </w:r>
          </w:p>
        </w:tc>
        <w:tc>
          <w:tcPr>
            <w:tcW w:w="1777" w:type="dxa"/>
            <w:vAlign w:val="center"/>
          </w:tcPr>
          <w:p w:rsidR="00D910C1" w:rsidRDefault="000F2365">
            <w:pPr>
              <w:jc w:val="center"/>
            </w:pPr>
            <w:r>
              <w:rPr>
                <w:color w:val="000000"/>
                <w:sz w:val="24"/>
                <w:szCs w:val="24"/>
              </w:rPr>
              <w:t>三安光电</w:t>
            </w:r>
          </w:p>
        </w:tc>
        <w:tc>
          <w:tcPr>
            <w:tcW w:w="1334" w:type="dxa"/>
            <w:vAlign w:val="center"/>
          </w:tcPr>
          <w:p w:rsidR="00D910C1" w:rsidRDefault="000F2365">
            <w:pPr>
              <w:jc w:val="right"/>
            </w:pPr>
            <w:r>
              <w:rPr>
                <w:color w:val="000000"/>
                <w:sz w:val="24"/>
                <w:szCs w:val="24"/>
              </w:rPr>
              <w:t>6,999,999</w:t>
            </w:r>
          </w:p>
        </w:tc>
        <w:tc>
          <w:tcPr>
            <w:tcW w:w="1924" w:type="dxa"/>
            <w:vAlign w:val="center"/>
          </w:tcPr>
          <w:p w:rsidR="00D910C1" w:rsidRDefault="000F2365">
            <w:pPr>
              <w:jc w:val="right"/>
            </w:pPr>
            <w:r>
              <w:rPr>
                <w:color w:val="000000"/>
                <w:sz w:val="24"/>
                <w:szCs w:val="24"/>
              </w:rPr>
              <w:t>164,009,976.57</w:t>
            </w:r>
          </w:p>
        </w:tc>
        <w:tc>
          <w:tcPr>
            <w:tcW w:w="1644" w:type="dxa"/>
            <w:vAlign w:val="center"/>
          </w:tcPr>
          <w:p w:rsidR="00D910C1" w:rsidRDefault="000F2365">
            <w:pPr>
              <w:jc w:val="right"/>
            </w:pPr>
            <w:r>
              <w:rPr>
                <w:color w:val="000000"/>
                <w:sz w:val="24"/>
                <w:szCs w:val="24"/>
              </w:rPr>
              <w:t>2.49</w:t>
            </w:r>
          </w:p>
        </w:tc>
      </w:tr>
      <w:tr w:rsidR="00D910C1">
        <w:trPr>
          <w:jc w:val="center"/>
        </w:trPr>
        <w:tc>
          <w:tcPr>
            <w:tcW w:w="855" w:type="dxa"/>
            <w:vAlign w:val="center"/>
          </w:tcPr>
          <w:p w:rsidR="00D910C1" w:rsidRDefault="000F2365">
            <w:pPr>
              <w:jc w:val="center"/>
            </w:pPr>
            <w:r>
              <w:rPr>
                <w:color w:val="000000"/>
                <w:sz w:val="24"/>
                <w:szCs w:val="24"/>
              </w:rPr>
              <w:t>6</w:t>
            </w:r>
          </w:p>
        </w:tc>
        <w:tc>
          <w:tcPr>
            <w:tcW w:w="1334" w:type="dxa"/>
            <w:vAlign w:val="center"/>
          </w:tcPr>
          <w:p w:rsidR="00D910C1" w:rsidRDefault="000F2365">
            <w:pPr>
              <w:jc w:val="center"/>
            </w:pPr>
            <w:r>
              <w:rPr>
                <w:color w:val="000000"/>
                <w:sz w:val="24"/>
                <w:szCs w:val="24"/>
              </w:rPr>
              <w:t>600196</w:t>
            </w:r>
          </w:p>
        </w:tc>
        <w:tc>
          <w:tcPr>
            <w:tcW w:w="1777" w:type="dxa"/>
            <w:vAlign w:val="center"/>
          </w:tcPr>
          <w:p w:rsidR="00D910C1" w:rsidRDefault="000F2365">
            <w:pPr>
              <w:jc w:val="center"/>
            </w:pPr>
            <w:r>
              <w:rPr>
                <w:color w:val="000000"/>
                <w:sz w:val="24"/>
                <w:szCs w:val="24"/>
              </w:rPr>
              <w:t>复星医药</w:t>
            </w:r>
          </w:p>
        </w:tc>
        <w:tc>
          <w:tcPr>
            <w:tcW w:w="1334" w:type="dxa"/>
            <w:vAlign w:val="center"/>
          </w:tcPr>
          <w:p w:rsidR="00D910C1" w:rsidRDefault="000F2365">
            <w:pPr>
              <w:jc w:val="right"/>
            </w:pPr>
            <w:r>
              <w:rPr>
                <w:color w:val="000000"/>
                <w:sz w:val="24"/>
                <w:szCs w:val="24"/>
              </w:rPr>
              <w:t>8,099,990</w:t>
            </w:r>
          </w:p>
        </w:tc>
        <w:tc>
          <w:tcPr>
            <w:tcW w:w="1924" w:type="dxa"/>
            <w:vAlign w:val="center"/>
          </w:tcPr>
          <w:p w:rsidR="00D910C1" w:rsidRDefault="000F2365">
            <w:pPr>
              <w:jc w:val="right"/>
            </w:pPr>
            <w:r>
              <w:rPr>
                <w:color w:val="000000"/>
                <w:sz w:val="24"/>
                <w:szCs w:val="24"/>
              </w:rPr>
              <w:t>163,538,798.10</w:t>
            </w:r>
          </w:p>
        </w:tc>
        <w:tc>
          <w:tcPr>
            <w:tcW w:w="1644" w:type="dxa"/>
            <w:vAlign w:val="center"/>
          </w:tcPr>
          <w:p w:rsidR="00D910C1" w:rsidRDefault="000F2365">
            <w:pPr>
              <w:jc w:val="right"/>
            </w:pPr>
            <w:r>
              <w:rPr>
                <w:color w:val="000000"/>
                <w:sz w:val="24"/>
                <w:szCs w:val="24"/>
              </w:rPr>
              <w:t>2.49</w:t>
            </w:r>
          </w:p>
        </w:tc>
      </w:tr>
      <w:tr w:rsidR="00D910C1">
        <w:trPr>
          <w:jc w:val="center"/>
        </w:trPr>
        <w:tc>
          <w:tcPr>
            <w:tcW w:w="855" w:type="dxa"/>
            <w:vAlign w:val="center"/>
          </w:tcPr>
          <w:p w:rsidR="00D910C1" w:rsidRDefault="000F2365">
            <w:pPr>
              <w:jc w:val="center"/>
            </w:pPr>
            <w:r>
              <w:rPr>
                <w:color w:val="000000"/>
                <w:sz w:val="24"/>
                <w:szCs w:val="24"/>
              </w:rPr>
              <w:t>7</w:t>
            </w:r>
          </w:p>
        </w:tc>
        <w:tc>
          <w:tcPr>
            <w:tcW w:w="1334" w:type="dxa"/>
            <w:vAlign w:val="center"/>
          </w:tcPr>
          <w:p w:rsidR="00D910C1" w:rsidRDefault="000F2365">
            <w:pPr>
              <w:jc w:val="center"/>
            </w:pPr>
            <w:r>
              <w:rPr>
                <w:color w:val="000000"/>
                <w:sz w:val="24"/>
                <w:szCs w:val="24"/>
              </w:rPr>
              <w:t>000661</w:t>
            </w:r>
          </w:p>
        </w:tc>
        <w:tc>
          <w:tcPr>
            <w:tcW w:w="1777" w:type="dxa"/>
            <w:vAlign w:val="center"/>
          </w:tcPr>
          <w:p w:rsidR="00D910C1" w:rsidRDefault="000F2365">
            <w:pPr>
              <w:jc w:val="center"/>
            </w:pPr>
            <w:r>
              <w:rPr>
                <w:color w:val="000000"/>
                <w:sz w:val="24"/>
                <w:szCs w:val="24"/>
              </w:rPr>
              <w:t>长春高新</w:t>
            </w:r>
          </w:p>
        </w:tc>
        <w:tc>
          <w:tcPr>
            <w:tcW w:w="1334" w:type="dxa"/>
            <w:vAlign w:val="center"/>
          </w:tcPr>
          <w:p w:rsidR="00D910C1" w:rsidRDefault="000F2365">
            <w:pPr>
              <w:jc w:val="right"/>
            </w:pPr>
            <w:r>
              <w:rPr>
                <w:color w:val="000000"/>
                <w:sz w:val="24"/>
                <w:szCs w:val="24"/>
              </w:rPr>
              <w:t>1,609,609</w:t>
            </w:r>
          </w:p>
        </w:tc>
        <w:tc>
          <w:tcPr>
            <w:tcW w:w="1924" w:type="dxa"/>
            <w:vAlign w:val="center"/>
          </w:tcPr>
          <w:p w:rsidR="00D910C1" w:rsidRDefault="000F2365">
            <w:pPr>
              <w:jc w:val="right"/>
            </w:pPr>
            <w:r>
              <w:rPr>
                <w:color w:val="000000"/>
                <w:sz w:val="24"/>
                <w:szCs w:val="24"/>
              </w:rPr>
              <w:t>130,861,211.70</w:t>
            </w:r>
          </w:p>
        </w:tc>
        <w:tc>
          <w:tcPr>
            <w:tcW w:w="1644" w:type="dxa"/>
            <w:vAlign w:val="center"/>
          </w:tcPr>
          <w:p w:rsidR="00D910C1" w:rsidRDefault="000F2365">
            <w:pPr>
              <w:jc w:val="right"/>
            </w:pPr>
            <w:r>
              <w:rPr>
                <w:color w:val="000000"/>
                <w:sz w:val="24"/>
                <w:szCs w:val="24"/>
              </w:rPr>
              <w:t>1.99</w:t>
            </w:r>
          </w:p>
        </w:tc>
      </w:tr>
      <w:tr w:rsidR="00D910C1">
        <w:trPr>
          <w:jc w:val="center"/>
        </w:trPr>
        <w:tc>
          <w:tcPr>
            <w:tcW w:w="855" w:type="dxa"/>
            <w:vAlign w:val="center"/>
          </w:tcPr>
          <w:p w:rsidR="00D910C1" w:rsidRDefault="000F2365">
            <w:pPr>
              <w:jc w:val="center"/>
            </w:pPr>
            <w:r>
              <w:rPr>
                <w:color w:val="000000"/>
                <w:sz w:val="24"/>
                <w:szCs w:val="24"/>
              </w:rPr>
              <w:t>8</w:t>
            </w:r>
          </w:p>
        </w:tc>
        <w:tc>
          <w:tcPr>
            <w:tcW w:w="1334" w:type="dxa"/>
            <w:vAlign w:val="center"/>
          </w:tcPr>
          <w:p w:rsidR="00D910C1" w:rsidRDefault="000F2365">
            <w:pPr>
              <w:jc w:val="center"/>
            </w:pPr>
            <w:r>
              <w:rPr>
                <w:color w:val="000000"/>
                <w:sz w:val="24"/>
                <w:szCs w:val="24"/>
              </w:rPr>
              <w:t>600566</w:t>
            </w:r>
          </w:p>
        </w:tc>
        <w:tc>
          <w:tcPr>
            <w:tcW w:w="1777" w:type="dxa"/>
            <w:vAlign w:val="center"/>
          </w:tcPr>
          <w:p w:rsidR="00D910C1" w:rsidRDefault="000F2365">
            <w:pPr>
              <w:jc w:val="center"/>
            </w:pPr>
            <w:r>
              <w:rPr>
                <w:color w:val="000000"/>
                <w:sz w:val="24"/>
                <w:szCs w:val="24"/>
              </w:rPr>
              <w:t>洪城股份</w:t>
            </w:r>
          </w:p>
        </w:tc>
        <w:tc>
          <w:tcPr>
            <w:tcW w:w="1334" w:type="dxa"/>
            <w:vAlign w:val="center"/>
          </w:tcPr>
          <w:p w:rsidR="00D910C1" w:rsidRDefault="000F2365">
            <w:pPr>
              <w:jc w:val="right"/>
            </w:pPr>
            <w:r>
              <w:rPr>
                <w:color w:val="000000"/>
                <w:sz w:val="24"/>
                <w:szCs w:val="24"/>
              </w:rPr>
              <w:t>5,593,598</w:t>
            </w:r>
          </w:p>
        </w:tc>
        <w:tc>
          <w:tcPr>
            <w:tcW w:w="1924" w:type="dxa"/>
            <w:vAlign w:val="center"/>
          </w:tcPr>
          <w:p w:rsidR="00D910C1" w:rsidRDefault="000F2365">
            <w:pPr>
              <w:jc w:val="right"/>
            </w:pPr>
            <w:r>
              <w:rPr>
                <w:color w:val="000000"/>
                <w:sz w:val="24"/>
                <w:szCs w:val="24"/>
              </w:rPr>
              <w:t>129,212,113.80</w:t>
            </w:r>
          </w:p>
        </w:tc>
        <w:tc>
          <w:tcPr>
            <w:tcW w:w="1644" w:type="dxa"/>
            <w:vAlign w:val="center"/>
          </w:tcPr>
          <w:p w:rsidR="00D910C1" w:rsidRDefault="000F2365">
            <w:pPr>
              <w:jc w:val="right"/>
            </w:pPr>
            <w:r>
              <w:rPr>
                <w:color w:val="000000"/>
                <w:sz w:val="24"/>
                <w:szCs w:val="24"/>
              </w:rPr>
              <w:t>1.96</w:t>
            </w:r>
          </w:p>
        </w:tc>
      </w:tr>
      <w:tr w:rsidR="00D910C1">
        <w:trPr>
          <w:jc w:val="center"/>
        </w:trPr>
        <w:tc>
          <w:tcPr>
            <w:tcW w:w="855" w:type="dxa"/>
            <w:vAlign w:val="center"/>
          </w:tcPr>
          <w:p w:rsidR="00D910C1" w:rsidRDefault="000F2365">
            <w:pPr>
              <w:jc w:val="center"/>
            </w:pPr>
            <w:r>
              <w:rPr>
                <w:color w:val="000000"/>
                <w:sz w:val="24"/>
                <w:szCs w:val="24"/>
              </w:rPr>
              <w:t>9</w:t>
            </w:r>
          </w:p>
        </w:tc>
        <w:tc>
          <w:tcPr>
            <w:tcW w:w="1334" w:type="dxa"/>
            <w:vAlign w:val="center"/>
          </w:tcPr>
          <w:p w:rsidR="00D910C1" w:rsidRDefault="000F2365">
            <w:pPr>
              <w:jc w:val="center"/>
            </w:pPr>
            <w:r>
              <w:rPr>
                <w:color w:val="000000"/>
                <w:sz w:val="24"/>
                <w:szCs w:val="24"/>
              </w:rPr>
              <w:t>300026</w:t>
            </w:r>
          </w:p>
        </w:tc>
        <w:tc>
          <w:tcPr>
            <w:tcW w:w="1777" w:type="dxa"/>
            <w:vAlign w:val="center"/>
          </w:tcPr>
          <w:p w:rsidR="00D910C1" w:rsidRDefault="000F2365">
            <w:pPr>
              <w:jc w:val="center"/>
            </w:pPr>
            <w:r>
              <w:rPr>
                <w:color w:val="000000"/>
                <w:sz w:val="24"/>
                <w:szCs w:val="24"/>
              </w:rPr>
              <w:t>红日药业</w:t>
            </w:r>
          </w:p>
        </w:tc>
        <w:tc>
          <w:tcPr>
            <w:tcW w:w="1334" w:type="dxa"/>
            <w:vAlign w:val="center"/>
          </w:tcPr>
          <w:p w:rsidR="00D910C1" w:rsidRDefault="000F2365">
            <w:pPr>
              <w:jc w:val="right"/>
            </w:pPr>
            <w:r>
              <w:rPr>
                <w:color w:val="000000"/>
                <w:sz w:val="24"/>
                <w:szCs w:val="24"/>
              </w:rPr>
              <w:t>4,287,227</w:t>
            </w:r>
          </w:p>
        </w:tc>
        <w:tc>
          <w:tcPr>
            <w:tcW w:w="1924" w:type="dxa"/>
            <w:vAlign w:val="center"/>
          </w:tcPr>
          <w:p w:rsidR="00D910C1" w:rsidRDefault="000F2365">
            <w:pPr>
              <w:jc w:val="right"/>
            </w:pPr>
            <w:r>
              <w:rPr>
                <w:color w:val="000000"/>
                <w:sz w:val="24"/>
                <w:szCs w:val="24"/>
              </w:rPr>
              <w:t>125,615,751.10</w:t>
            </w:r>
          </w:p>
        </w:tc>
        <w:tc>
          <w:tcPr>
            <w:tcW w:w="1644" w:type="dxa"/>
            <w:vAlign w:val="center"/>
          </w:tcPr>
          <w:p w:rsidR="00D910C1" w:rsidRDefault="000F2365">
            <w:pPr>
              <w:jc w:val="right"/>
            </w:pPr>
            <w:r>
              <w:rPr>
                <w:color w:val="000000"/>
                <w:sz w:val="24"/>
                <w:szCs w:val="24"/>
              </w:rPr>
              <w:t>1.91</w:t>
            </w:r>
          </w:p>
        </w:tc>
      </w:tr>
      <w:tr w:rsidR="00D910C1">
        <w:trPr>
          <w:jc w:val="center"/>
        </w:trPr>
        <w:tc>
          <w:tcPr>
            <w:tcW w:w="855" w:type="dxa"/>
            <w:vAlign w:val="center"/>
          </w:tcPr>
          <w:p w:rsidR="00D910C1" w:rsidRDefault="000F2365">
            <w:pPr>
              <w:jc w:val="center"/>
            </w:pPr>
            <w:r>
              <w:rPr>
                <w:color w:val="000000"/>
                <w:sz w:val="24"/>
                <w:szCs w:val="24"/>
              </w:rPr>
              <w:t>10</w:t>
            </w:r>
          </w:p>
        </w:tc>
        <w:tc>
          <w:tcPr>
            <w:tcW w:w="1334" w:type="dxa"/>
            <w:vAlign w:val="center"/>
          </w:tcPr>
          <w:p w:rsidR="00D910C1" w:rsidRDefault="000F2365">
            <w:pPr>
              <w:jc w:val="center"/>
            </w:pPr>
            <w:r>
              <w:rPr>
                <w:color w:val="000000"/>
                <w:sz w:val="24"/>
                <w:szCs w:val="24"/>
              </w:rPr>
              <w:t>002317</w:t>
            </w:r>
          </w:p>
        </w:tc>
        <w:tc>
          <w:tcPr>
            <w:tcW w:w="1777" w:type="dxa"/>
            <w:vAlign w:val="center"/>
          </w:tcPr>
          <w:p w:rsidR="00D910C1" w:rsidRDefault="000F2365">
            <w:pPr>
              <w:jc w:val="center"/>
            </w:pPr>
            <w:r>
              <w:rPr>
                <w:color w:val="000000"/>
                <w:sz w:val="24"/>
                <w:szCs w:val="24"/>
              </w:rPr>
              <w:t>众生药业</w:t>
            </w:r>
          </w:p>
        </w:tc>
        <w:tc>
          <w:tcPr>
            <w:tcW w:w="1334" w:type="dxa"/>
            <w:vAlign w:val="center"/>
          </w:tcPr>
          <w:p w:rsidR="00D910C1" w:rsidRDefault="000F2365">
            <w:pPr>
              <w:jc w:val="right"/>
            </w:pPr>
            <w:r>
              <w:rPr>
                <w:color w:val="000000"/>
                <w:sz w:val="24"/>
                <w:szCs w:val="24"/>
              </w:rPr>
              <w:t>6,117,937</w:t>
            </w:r>
          </w:p>
        </w:tc>
        <w:tc>
          <w:tcPr>
            <w:tcW w:w="1924" w:type="dxa"/>
            <w:vAlign w:val="center"/>
          </w:tcPr>
          <w:p w:rsidR="00D910C1" w:rsidRDefault="000F2365">
            <w:pPr>
              <w:jc w:val="right"/>
            </w:pPr>
            <w:r>
              <w:rPr>
                <w:color w:val="000000"/>
                <w:sz w:val="24"/>
                <w:szCs w:val="24"/>
              </w:rPr>
              <w:t>122,175,201.89</w:t>
            </w:r>
          </w:p>
        </w:tc>
        <w:tc>
          <w:tcPr>
            <w:tcW w:w="1644" w:type="dxa"/>
            <w:vAlign w:val="center"/>
          </w:tcPr>
          <w:p w:rsidR="00D910C1" w:rsidRDefault="000F2365">
            <w:pPr>
              <w:jc w:val="right"/>
            </w:pPr>
            <w:r>
              <w:rPr>
                <w:color w:val="000000"/>
                <w:sz w:val="24"/>
                <w:szCs w:val="24"/>
              </w:rPr>
              <w:t>1.86</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260"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4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2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210,152,000.00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3.19</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210,152,000.00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3.19</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A8721A">
        <w:trPr>
          <w:jc w:val="center"/>
        </w:trPr>
        <w:tc>
          <w:tcPr>
            <w:tcW w:w="817"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260"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4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38,251,598.96</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0.58</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8</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9</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248,403,598.96</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3.77</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D910C1">
        <w:trPr>
          <w:jc w:val="center"/>
        </w:trPr>
        <w:tc>
          <w:tcPr>
            <w:tcW w:w="850" w:type="dxa"/>
            <w:vAlign w:val="center"/>
          </w:tcPr>
          <w:p w:rsidR="00D910C1" w:rsidRDefault="000F2365">
            <w:pPr>
              <w:jc w:val="center"/>
            </w:pPr>
            <w:r>
              <w:rPr>
                <w:color w:val="000000"/>
                <w:sz w:val="24"/>
                <w:szCs w:val="24"/>
              </w:rPr>
              <w:t>1</w:t>
            </w:r>
          </w:p>
        </w:tc>
        <w:tc>
          <w:tcPr>
            <w:tcW w:w="1475" w:type="dxa"/>
            <w:vAlign w:val="center"/>
          </w:tcPr>
          <w:p w:rsidR="00D910C1" w:rsidRDefault="000F2365">
            <w:pPr>
              <w:jc w:val="center"/>
            </w:pPr>
            <w:r>
              <w:rPr>
                <w:color w:val="000000"/>
                <w:sz w:val="24"/>
                <w:szCs w:val="24"/>
              </w:rPr>
              <w:t>130243</w:t>
            </w:r>
          </w:p>
        </w:tc>
        <w:tc>
          <w:tcPr>
            <w:tcW w:w="1769" w:type="dxa"/>
            <w:vAlign w:val="center"/>
          </w:tcPr>
          <w:p w:rsidR="00D910C1" w:rsidRDefault="000F2365">
            <w:pPr>
              <w:jc w:val="center"/>
            </w:pPr>
            <w:r>
              <w:rPr>
                <w:color w:val="000000"/>
                <w:sz w:val="24"/>
                <w:szCs w:val="24"/>
              </w:rPr>
              <w:t>13</w:t>
            </w:r>
            <w:r>
              <w:rPr>
                <w:color w:val="000000"/>
                <w:sz w:val="24"/>
                <w:szCs w:val="24"/>
              </w:rPr>
              <w:t>国开</w:t>
            </w:r>
            <w:r>
              <w:rPr>
                <w:color w:val="000000"/>
                <w:sz w:val="24"/>
                <w:szCs w:val="24"/>
              </w:rPr>
              <w:t>43</w:t>
            </w:r>
          </w:p>
        </w:tc>
        <w:tc>
          <w:tcPr>
            <w:tcW w:w="1387" w:type="dxa"/>
            <w:vAlign w:val="center"/>
          </w:tcPr>
          <w:p w:rsidR="00D910C1" w:rsidRDefault="000F2365">
            <w:pPr>
              <w:jc w:val="right"/>
            </w:pPr>
            <w:r>
              <w:rPr>
                <w:color w:val="000000"/>
                <w:sz w:val="24"/>
                <w:szCs w:val="24"/>
              </w:rPr>
              <w:t>500,000</w:t>
            </w:r>
          </w:p>
        </w:tc>
        <w:tc>
          <w:tcPr>
            <w:tcW w:w="2150" w:type="dxa"/>
            <w:vAlign w:val="center"/>
          </w:tcPr>
          <w:p w:rsidR="00D910C1" w:rsidRDefault="000F2365">
            <w:pPr>
              <w:jc w:val="right"/>
            </w:pPr>
            <w:r>
              <w:rPr>
                <w:color w:val="000000"/>
                <w:sz w:val="24"/>
                <w:szCs w:val="24"/>
              </w:rPr>
              <w:t>50,055,000.00</w:t>
            </w:r>
          </w:p>
        </w:tc>
        <w:tc>
          <w:tcPr>
            <w:tcW w:w="1237" w:type="dxa"/>
            <w:vAlign w:val="center"/>
          </w:tcPr>
          <w:p w:rsidR="00D910C1" w:rsidRDefault="000F2365">
            <w:pPr>
              <w:jc w:val="right"/>
            </w:pPr>
            <w:r>
              <w:rPr>
                <w:color w:val="000000"/>
                <w:sz w:val="24"/>
                <w:szCs w:val="24"/>
              </w:rPr>
              <w:t>0.76</w:t>
            </w:r>
          </w:p>
        </w:tc>
      </w:tr>
      <w:tr w:rsidR="00D910C1">
        <w:trPr>
          <w:jc w:val="center"/>
        </w:trPr>
        <w:tc>
          <w:tcPr>
            <w:tcW w:w="850" w:type="dxa"/>
            <w:vAlign w:val="center"/>
          </w:tcPr>
          <w:p w:rsidR="00D910C1" w:rsidRDefault="000F2365">
            <w:pPr>
              <w:jc w:val="center"/>
            </w:pPr>
            <w:r>
              <w:rPr>
                <w:color w:val="000000"/>
                <w:sz w:val="24"/>
                <w:szCs w:val="24"/>
              </w:rPr>
              <w:t>2</w:t>
            </w:r>
          </w:p>
        </w:tc>
        <w:tc>
          <w:tcPr>
            <w:tcW w:w="1475" w:type="dxa"/>
            <w:vAlign w:val="center"/>
          </w:tcPr>
          <w:p w:rsidR="00D910C1" w:rsidRDefault="000F2365">
            <w:pPr>
              <w:jc w:val="center"/>
            </w:pPr>
            <w:r>
              <w:rPr>
                <w:color w:val="000000"/>
                <w:sz w:val="24"/>
                <w:szCs w:val="24"/>
              </w:rPr>
              <w:t>110260</w:t>
            </w:r>
          </w:p>
        </w:tc>
        <w:tc>
          <w:tcPr>
            <w:tcW w:w="1769" w:type="dxa"/>
            <w:vAlign w:val="center"/>
          </w:tcPr>
          <w:p w:rsidR="00D910C1" w:rsidRDefault="000F2365">
            <w:pPr>
              <w:jc w:val="center"/>
            </w:pPr>
            <w:r>
              <w:rPr>
                <w:color w:val="000000"/>
                <w:sz w:val="24"/>
                <w:szCs w:val="24"/>
              </w:rPr>
              <w:t>11</w:t>
            </w:r>
            <w:r>
              <w:rPr>
                <w:color w:val="000000"/>
                <w:sz w:val="24"/>
                <w:szCs w:val="24"/>
              </w:rPr>
              <w:t>国开</w:t>
            </w:r>
            <w:r>
              <w:rPr>
                <w:color w:val="000000"/>
                <w:sz w:val="24"/>
                <w:szCs w:val="24"/>
              </w:rPr>
              <w:t>60</w:t>
            </w:r>
          </w:p>
        </w:tc>
        <w:tc>
          <w:tcPr>
            <w:tcW w:w="1387" w:type="dxa"/>
            <w:vAlign w:val="center"/>
          </w:tcPr>
          <w:p w:rsidR="00D910C1" w:rsidRDefault="000F2365">
            <w:pPr>
              <w:jc w:val="right"/>
            </w:pPr>
            <w:r>
              <w:rPr>
                <w:color w:val="000000"/>
                <w:sz w:val="24"/>
                <w:szCs w:val="24"/>
              </w:rPr>
              <w:t>500,000</w:t>
            </w:r>
          </w:p>
        </w:tc>
        <w:tc>
          <w:tcPr>
            <w:tcW w:w="2150" w:type="dxa"/>
            <w:vAlign w:val="center"/>
          </w:tcPr>
          <w:p w:rsidR="00D910C1" w:rsidRDefault="000F2365">
            <w:pPr>
              <w:jc w:val="right"/>
            </w:pPr>
            <w:r>
              <w:rPr>
                <w:color w:val="000000"/>
                <w:sz w:val="24"/>
                <w:szCs w:val="24"/>
              </w:rPr>
              <w:t>49,855,000.00</w:t>
            </w:r>
          </w:p>
        </w:tc>
        <w:tc>
          <w:tcPr>
            <w:tcW w:w="1237" w:type="dxa"/>
            <w:vAlign w:val="center"/>
          </w:tcPr>
          <w:p w:rsidR="00D910C1" w:rsidRDefault="000F2365">
            <w:pPr>
              <w:jc w:val="right"/>
            </w:pPr>
            <w:r>
              <w:rPr>
                <w:color w:val="000000"/>
                <w:sz w:val="24"/>
                <w:szCs w:val="24"/>
              </w:rPr>
              <w:t>0.76</w:t>
            </w:r>
          </w:p>
        </w:tc>
      </w:tr>
      <w:tr w:rsidR="00D910C1">
        <w:trPr>
          <w:jc w:val="center"/>
        </w:trPr>
        <w:tc>
          <w:tcPr>
            <w:tcW w:w="850" w:type="dxa"/>
            <w:vAlign w:val="center"/>
          </w:tcPr>
          <w:p w:rsidR="00D910C1" w:rsidRDefault="000F2365">
            <w:pPr>
              <w:jc w:val="center"/>
            </w:pPr>
            <w:r>
              <w:rPr>
                <w:color w:val="000000"/>
                <w:sz w:val="24"/>
                <w:szCs w:val="24"/>
              </w:rPr>
              <w:t>3</w:t>
            </w:r>
          </w:p>
        </w:tc>
        <w:tc>
          <w:tcPr>
            <w:tcW w:w="1475" w:type="dxa"/>
            <w:vAlign w:val="center"/>
          </w:tcPr>
          <w:p w:rsidR="00D910C1" w:rsidRDefault="000F2365">
            <w:pPr>
              <w:jc w:val="center"/>
            </w:pPr>
            <w:r>
              <w:rPr>
                <w:color w:val="000000"/>
                <w:sz w:val="24"/>
                <w:szCs w:val="24"/>
              </w:rPr>
              <w:t>140204</w:t>
            </w:r>
          </w:p>
        </w:tc>
        <w:tc>
          <w:tcPr>
            <w:tcW w:w="1769" w:type="dxa"/>
            <w:vAlign w:val="center"/>
          </w:tcPr>
          <w:p w:rsidR="00D910C1" w:rsidRDefault="000F2365">
            <w:pPr>
              <w:jc w:val="center"/>
            </w:pPr>
            <w:r>
              <w:rPr>
                <w:color w:val="000000"/>
                <w:sz w:val="24"/>
                <w:szCs w:val="24"/>
              </w:rPr>
              <w:t>14</w:t>
            </w:r>
            <w:r>
              <w:rPr>
                <w:color w:val="000000"/>
                <w:sz w:val="24"/>
                <w:szCs w:val="24"/>
              </w:rPr>
              <w:t>国开</w:t>
            </w:r>
            <w:r>
              <w:rPr>
                <w:color w:val="000000"/>
                <w:sz w:val="24"/>
                <w:szCs w:val="24"/>
              </w:rPr>
              <w:t>04</w:t>
            </w:r>
          </w:p>
        </w:tc>
        <w:tc>
          <w:tcPr>
            <w:tcW w:w="1387" w:type="dxa"/>
            <w:vAlign w:val="center"/>
          </w:tcPr>
          <w:p w:rsidR="00D910C1" w:rsidRDefault="000F2365">
            <w:pPr>
              <w:jc w:val="right"/>
            </w:pPr>
            <w:r>
              <w:rPr>
                <w:color w:val="000000"/>
                <w:sz w:val="24"/>
                <w:szCs w:val="24"/>
              </w:rPr>
              <w:t>400,000</w:t>
            </w:r>
          </w:p>
        </w:tc>
        <w:tc>
          <w:tcPr>
            <w:tcW w:w="2150" w:type="dxa"/>
            <w:vAlign w:val="center"/>
          </w:tcPr>
          <w:p w:rsidR="00D910C1" w:rsidRDefault="000F2365">
            <w:pPr>
              <w:jc w:val="right"/>
            </w:pPr>
            <w:r>
              <w:rPr>
                <w:color w:val="000000"/>
                <w:sz w:val="24"/>
                <w:szCs w:val="24"/>
              </w:rPr>
              <w:t>40,180,000.00</w:t>
            </w:r>
          </w:p>
        </w:tc>
        <w:tc>
          <w:tcPr>
            <w:tcW w:w="1237" w:type="dxa"/>
            <w:vAlign w:val="center"/>
          </w:tcPr>
          <w:p w:rsidR="00D910C1" w:rsidRDefault="000F2365">
            <w:pPr>
              <w:jc w:val="right"/>
            </w:pPr>
            <w:r>
              <w:rPr>
                <w:color w:val="000000"/>
                <w:sz w:val="24"/>
                <w:szCs w:val="24"/>
              </w:rPr>
              <w:t>0.61</w:t>
            </w:r>
          </w:p>
        </w:tc>
      </w:tr>
      <w:tr w:rsidR="00D910C1">
        <w:trPr>
          <w:jc w:val="center"/>
        </w:trPr>
        <w:tc>
          <w:tcPr>
            <w:tcW w:w="850" w:type="dxa"/>
            <w:vAlign w:val="center"/>
          </w:tcPr>
          <w:p w:rsidR="00D910C1" w:rsidRDefault="000F2365">
            <w:pPr>
              <w:jc w:val="center"/>
            </w:pPr>
            <w:r>
              <w:rPr>
                <w:color w:val="000000"/>
                <w:sz w:val="24"/>
                <w:szCs w:val="24"/>
              </w:rPr>
              <w:t>4</w:t>
            </w:r>
          </w:p>
        </w:tc>
        <w:tc>
          <w:tcPr>
            <w:tcW w:w="1475" w:type="dxa"/>
            <w:vAlign w:val="center"/>
          </w:tcPr>
          <w:p w:rsidR="00D910C1" w:rsidRDefault="000F2365">
            <w:pPr>
              <w:jc w:val="center"/>
            </w:pPr>
            <w:r>
              <w:rPr>
                <w:color w:val="000000"/>
                <w:sz w:val="24"/>
                <w:szCs w:val="24"/>
              </w:rPr>
              <w:t>130236</w:t>
            </w:r>
          </w:p>
        </w:tc>
        <w:tc>
          <w:tcPr>
            <w:tcW w:w="1769" w:type="dxa"/>
            <w:vAlign w:val="center"/>
          </w:tcPr>
          <w:p w:rsidR="00D910C1" w:rsidRDefault="000F2365">
            <w:pPr>
              <w:jc w:val="center"/>
            </w:pPr>
            <w:r>
              <w:rPr>
                <w:color w:val="000000"/>
                <w:sz w:val="24"/>
                <w:szCs w:val="24"/>
              </w:rPr>
              <w:t>13</w:t>
            </w:r>
            <w:r>
              <w:rPr>
                <w:color w:val="000000"/>
                <w:sz w:val="24"/>
                <w:szCs w:val="24"/>
              </w:rPr>
              <w:t>国开</w:t>
            </w:r>
            <w:r>
              <w:rPr>
                <w:color w:val="000000"/>
                <w:sz w:val="24"/>
                <w:szCs w:val="24"/>
              </w:rPr>
              <w:t>36</w:t>
            </w:r>
          </w:p>
        </w:tc>
        <w:tc>
          <w:tcPr>
            <w:tcW w:w="1387" w:type="dxa"/>
            <w:vAlign w:val="center"/>
          </w:tcPr>
          <w:p w:rsidR="00D910C1" w:rsidRDefault="000F2365">
            <w:pPr>
              <w:jc w:val="right"/>
            </w:pPr>
            <w:r>
              <w:rPr>
                <w:color w:val="000000"/>
                <w:sz w:val="24"/>
                <w:szCs w:val="24"/>
              </w:rPr>
              <w:t>400,000</w:t>
            </w:r>
          </w:p>
        </w:tc>
        <w:tc>
          <w:tcPr>
            <w:tcW w:w="2150" w:type="dxa"/>
            <w:vAlign w:val="center"/>
          </w:tcPr>
          <w:p w:rsidR="00D910C1" w:rsidRDefault="000F2365">
            <w:pPr>
              <w:jc w:val="right"/>
            </w:pPr>
            <w:r>
              <w:rPr>
                <w:color w:val="000000"/>
                <w:sz w:val="24"/>
                <w:szCs w:val="24"/>
              </w:rPr>
              <w:t>40,008,000.00</w:t>
            </w:r>
          </w:p>
        </w:tc>
        <w:tc>
          <w:tcPr>
            <w:tcW w:w="1237" w:type="dxa"/>
            <w:vAlign w:val="center"/>
          </w:tcPr>
          <w:p w:rsidR="00D910C1" w:rsidRDefault="000F2365">
            <w:pPr>
              <w:jc w:val="right"/>
            </w:pPr>
            <w:r>
              <w:rPr>
                <w:color w:val="000000"/>
                <w:sz w:val="24"/>
                <w:szCs w:val="24"/>
              </w:rPr>
              <w:t>0.61</w:t>
            </w:r>
          </w:p>
        </w:tc>
      </w:tr>
      <w:tr w:rsidR="00D910C1">
        <w:trPr>
          <w:jc w:val="center"/>
        </w:trPr>
        <w:tc>
          <w:tcPr>
            <w:tcW w:w="850" w:type="dxa"/>
            <w:vAlign w:val="center"/>
          </w:tcPr>
          <w:p w:rsidR="00D910C1" w:rsidRDefault="000F2365">
            <w:pPr>
              <w:jc w:val="center"/>
            </w:pPr>
            <w:r>
              <w:rPr>
                <w:color w:val="000000"/>
                <w:sz w:val="24"/>
                <w:szCs w:val="24"/>
              </w:rPr>
              <w:t>5</w:t>
            </w:r>
          </w:p>
        </w:tc>
        <w:tc>
          <w:tcPr>
            <w:tcW w:w="1475" w:type="dxa"/>
            <w:vAlign w:val="center"/>
          </w:tcPr>
          <w:p w:rsidR="00D910C1" w:rsidRDefault="000F2365">
            <w:pPr>
              <w:jc w:val="center"/>
            </w:pPr>
            <w:r>
              <w:rPr>
                <w:color w:val="000000"/>
                <w:sz w:val="24"/>
                <w:szCs w:val="24"/>
              </w:rPr>
              <w:t>130428</w:t>
            </w:r>
          </w:p>
        </w:tc>
        <w:tc>
          <w:tcPr>
            <w:tcW w:w="1769" w:type="dxa"/>
            <w:vAlign w:val="center"/>
          </w:tcPr>
          <w:p w:rsidR="00D910C1" w:rsidRDefault="000F2365">
            <w:pPr>
              <w:jc w:val="center"/>
            </w:pPr>
            <w:r>
              <w:rPr>
                <w:color w:val="000000"/>
                <w:sz w:val="24"/>
                <w:szCs w:val="24"/>
              </w:rPr>
              <w:t>13</w:t>
            </w:r>
            <w:r>
              <w:rPr>
                <w:color w:val="000000"/>
                <w:sz w:val="24"/>
                <w:szCs w:val="24"/>
              </w:rPr>
              <w:t>农发</w:t>
            </w:r>
            <w:r>
              <w:rPr>
                <w:color w:val="000000"/>
                <w:sz w:val="24"/>
                <w:szCs w:val="24"/>
              </w:rPr>
              <w:t>28</w:t>
            </w:r>
          </w:p>
        </w:tc>
        <w:tc>
          <w:tcPr>
            <w:tcW w:w="1387" w:type="dxa"/>
            <w:vAlign w:val="center"/>
          </w:tcPr>
          <w:p w:rsidR="00D910C1" w:rsidRDefault="000F2365">
            <w:pPr>
              <w:jc w:val="right"/>
            </w:pPr>
            <w:r>
              <w:rPr>
                <w:color w:val="000000"/>
                <w:sz w:val="24"/>
                <w:szCs w:val="24"/>
              </w:rPr>
              <w:t>300,000</w:t>
            </w:r>
          </w:p>
        </w:tc>
        <w:tc>
          <w:tcPr>
            <w:tcW w:w="2150" w:type="dxa"/>
            <w:vAlign w:val="center"/>
          </w:tcPr>
          <w:p w:rsidR="00D910C1" w:rsidRDefault="000F2365">
            <w:pPr>
              <w:jc w:val="right"/>
            </w:pPr>
            <w:r>
              <w:rPr>
                <w:color w:val="000000"/>
                <w:sz w:val="24"/>
                <w:szCs w:val="24"/>
              </w:rPr>
              <w:t>30,054,000.00</w:t>
            </w:r>
          </w:p>
        </w:tc>
        <w:tc>
          <w:tcPr>
            <w:tcW w:w="1237" w:type="dxa"/>
            <w:vAlign w:val="center"/>
          </w:tcPr>
          <w:p w:rsidR="00D910C1" w:rsidRDefault="000F2365">
            <w:pPr>
              <w:jc w:val="right"/>
            </w:pPr>
            <w:r>
              <w:rPr>
                <w:color w:val="000000"/>
                <w:sz w:val="24"/>
                <w:szCs w:val="24"/>
              </w:rPr>
              <w:t>0.46</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2,184,613.00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57,004,786.51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6,484,744.58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182,979.64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65,857,123.73</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rsidR="00D910C1">
        <w:trPr>
          <w:jc w:val="center"/>
        </w:trPr>
        <w:tc>
          <w:tcPr>
            <w:tcW w:w="1883" w:type="dxa"/>
            <w:vAlign w:val="center"/>
          </w:tcPr>
          <w:p w:rsidR="00D910C1" w:rsidRDefault="000F2365">
            <w:pPr>
              <w:jc w:val="center"/>
            </w:pPr>
            <w:r>
              <w:rPr>
                <w:color w:val="000000"/>
                <w:sz w:val="24"/>
                <w:szCs w:val="24"/>
              </w:rPr>
              <w:lastRenderedPageBreak/>
              <w:t>1</w:t>
            </w:r>
          </w:p>
        </w:tc>
        <w:tc>
          <w:tcPr>
            <w:tcW w:w="1801" w:type="dxa"/>
            <w:vAlign w:val="center"/>
          </w:tcPr>
          <w:p w:rsidR="00D910C1" w:rsidRDefault="000F2365">
            <w:pPr>
              <w:jc w:val="center"/>
            </w:pPr>
            <w:r>
              <w:rPr>
                <w:color w:val="000000"/>
                <w:sz w:val="24"/>
                <w:szCs w:val="24"/>
              </w:rPr>
              <w:t>113001</w:t>
            </w:r>
          </w:p>
        </w:tc>
        <w:tc>
          <w:tcPr>
            <w:tcW w:w="1727" w:type="dxa"/>
            <w:vAlign w:val="center"/>
          </w:tcPr>
          <w:p w:rsidR="00D910C1" w:rsidRDefault="000F2365">
            <w:pPr>
              <w:jc w:val="center"/>
            </w:pPr>
            <w:r>
              <w:rPr>
                <w:color w:val="000000"/>
                <w:sz w:val="24"/>
                <w:szCs w:val="24"/>
              </w:rPr>
              <w:t>中行转债</w:t>
            </w:r>
          </w:p>
        </w:tc>
        <w:tc>
          <w:tcPr>
            <w:tcW w:w="1768" w:type="dxa"/>
            <w:vAlign w:val="center"/>
          </w:tcPr>
          <w:p w:rsidR="00D910C1" w:rsidRDefault="000F2365">
            <w:pPr>
              <w:jc w:val="right"/>
            </w:pPr>
            <w:r>
              <w:rPr>
                <w:color w:val="000000"/>
                <w:sz w:val="24"/>
                <w:szCs w:val="24"/>
              </w:rPr>
              <w:t>27,961,713.00</w:t>
            </w:r>
          </w:p>
        </w:tc>
        <w:tc>
          <w:tcPr>
            <w:tcW w:w="1689" w:type="dxa"/>
            <w:vAlign w:val="center"/>
          </w:tcPr>
          <w:p w:rsidR="00D910C1" w:rsidRDefault="000F2365">
            <w:pPr>
              <w:jc w:val="right"/>
            </w:pPr>
            <w:r>
              <w:rPr>
                <w:color w:val="000000"/>
                <w:sz w:val="24"/>
                <w:szCs w:val="24"/>
              </w:rPr>
              <w:t>0.42</w:t>
            </w:r>
          </w:p>
        </w:tc>
      </w:tr>
      <w:tr w:rsidR="00D910C1">
        <w:trPr>
          <w:jc w:val="center"/>
        </w:trPr>
        <w:tc>
          <w:tcPr>
            <w:tcW w:w="1883" w:type="dxa"/>
            <w:vAlign w:val="center"/>
          </w:tcPr>
          <w:p w:rsidR="00D910C1" w:rsidRDefault="000F2365">
            <w:pPr>
              <w:jc w:val="center"/>
            </w:pPr>
            <w:r>
              <w:rPr>
                <w:color w:val="000000"/>
                <w:sz w:val="24"/>
                <w:szCs w:val="24"/>
              </w:rPr>
              <w:t>2</w:t>
            </w:r>
          </w:p>
        </w:tc>
        <w:tc>
          <w:tcPr>
            <w:tcW w:w="1801" w:type="dxa"/>
            <w:vAlign w:val="center"/>
          </w:tcPr>
          <w:p w:rsidR="00D910C1" w:rsidRDefault="000F2365">
            <w:pPr>
              <w:jc w:val="center"/>
            </w:pPr>
            <w:r>
              <w:rPr>
                <w:color w:val="000000"/>
                <w:sz w:val="24"/>
                <w:szCs w:val="24"/>
              </w:rPr>
              <w:t>110023</w:t>
            </w:r>
          </w:p>
        </w:tc>
        <w:tc>
          <w:tcPr>
            <w:tcW w:w="1727" w:type="dxa"/>
            <w:vAlign w:val="center"/>
          </w:tcPr>
          <w:p w:rsidR="00D910C1" w:rsidRDefault="000F2365">
            <w:pPr>
              <w:jc w:val="center"/>
            </w:pPr>
            <w:r>
              <w:rPr>
                <w:color w:val="000000"/>
                <w:sz w:val="24"/>
                <w:szCs w:val="24"/>
              </w:rPr>
              <w:t>民生转债</w:t>
            </w:r>
          </w:p>
        </w:tc>
        <w:tc>
          <w:tcPr>
            <w:tcW w:w="1768" w:type="dxa"/>
            <w:vAlign w:val="center"/>
          </w:tcPr>
          <w:p w:rsidR="00D910C1" w:rsidRDefault="000F2365">
            <w:pPr>
              <w:jc w:val="right"/>
            </w:pPr>
            <w:r>
              <w:rPr>
                <w:color w:val="000000"/>
                <w:sz w:val="24"/>
                <w:szCs w:val="24"/>
              </w:rPr>
              <w:t>7,802,624.00</w:t>
            </w:r>
          </w:p>
        </w:tc>
        <w:tc>
          <w:tcPr>
            <w:tcW w:w="1689" w:type="dxa"/>
            <w:vAlign w:val="center"/>
          </w:tcPr>
          <w:p w:rsidR="00D910C1" w:rsidRDefault="000F2365">
            <w:pPr>
              <w:jc w:val="right"/>
            </w:pPr>
            <w:r>
              <w:rPr>
                <w:color w:val="000000"/>
                <w:sz w:val="24"/>
                <w:szCs w:val="24"/>
              </w:rPr>
              <w:t>0.12</w:t>
            </w:r>
          </w:p>
        </w:tc>
      </w:tr>
      <w:tr w:rsidR="00D910C1">
        <w:trPr>
          <w:jc w:val="center"/>
        </w:trPr>
        <w:tc>
          <w:tcPr>
            <w:tcW w:w="1883" w:type="dxa"/>
            <w:vAlign w:val="center"/>
          </w:tcPr>
          <w:p w:rsidR="00D910C1" w:rsidRDefault="000F2365">
            <w:pPr>
              <w:jc w:val="center"/>
            </w:pPr>
            <w:r>
              <w:rPr>
                <w:color w:val="000000"/>
                <w:sz w:val="24"/>
                <w:szCs w:val="24"/>
              </w:rPr>
              <w:t>3</w:t>
            </w:r>
          </w:p>
        </w:tc>
        <w:tc>
          <w:tcPr>
            <w:tcW w:w="1801" w:type="dxa"/>
            <w:vAlign w:val="center"/>
          </w:tcPr>
          <w:p w:rsidR="00D910C1" w:rsidRDefault="000F2365">
            <w:pPr>
              <w:jc w:val="center"/>
            </w:pPr>
            <w:r>
              <w:rPr>
                <w:color w:val="000000"/>
                <w:sz w:val="24"/>
                <w:szCs w:val="24"/>
              </w:rPr>
              <w:t>128002</w:t>
            </w:r>
          </w:p>
        </w:tc>
        <w:tc>
          <w:tcPr>
            <w:tcW w:w="1727" w:type="dxa"/>
            <w:vAlign w:val="center"/>
          </w:tcPr>
          <w:p w:rsidR="00D910C1" w:rsidRDefault="000F2365">
            <w:pPr>
              <w:jc w:val="center"/>
            </w:pPr>
            <w:r>
              <w:rPr>
                <w:color w:val="000000"/>
                <w:sz w:val="24"/>
                <w:szCs w:val="24"/>
              </w:rPr>
              <w:t>东华转债</w:t>
            </w:r>
          </w:p>
        </w:tc>
        <w:tc>
          <w:tcPr>
            <w:tcW w:w="1768" w:type="dxa"/>
            <w:vAlign w:val="center"/>
          </w:tcPr>
          <w:p w:rsidR="00D910C1" w:rsidRDefault="000F2365">
            <w:pPr>
              <w:jc w:val="right"/>
            </w:pPr>
            <w:r>
              <w:rPr>
                <w:color w:val="000000"/>
                <w:sz w:val="24"/>
                <w:szCs w:val="24"/>
              </w:rPr>
              <w:t>2,487,261.96</w:t>
            </w:r>
          </w:p>
        </w:tc>
        <w:tc>
          <w:tcPr>
            <w:tcW w:w="1689" w:type="dxa"/>
            <w:vAlign w:val="center"/>
          </w:tcPr>
          <w:p w:rsidR="00D910C1" w:rsidRDefault="000F2365">
            <w:pPr>
              <w:jc w:val="right"/>
            </w:pPr>
            <w:r>
              <w:rPr>
                <w:color w:val="000000"/>
                <w:sz w:val="24"/>
                <w:szCs w:val="24"/>
              </w:rPr>
              <w:t>0.04</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本基金本报告期末前十名股票中不存在流通受限的情况。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9,871,345,552.72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6,429,489.15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343,399,027.39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4061AC" w:rsidRPr="00414345">
              <w:rPr>
                <w:color w:val="000000"/>
                <w:kern w:val="0"/>
                <w:sz w:val="24"/>
                <w:szCs w:val="24"/>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9,534,376,014.48</w:t>
            </w:r>
          </w:p>
        </w:tc>
      </w:tr>
    </w:tbl>
    <w:p w:rsidR="00D910C1" w:rsidRDefault="000F2365">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0F2365">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19,034,797.82</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19,034,797.82</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0.20</w:t>
            </w:r>
          </w:p>
        </w:tc>
      </w:tr>
    </w:tbl>
    <w:p w:rsidR="00D910C1" w:rsidRDefault="000F2365">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xml:space="preserve">    2</w:t>
      </w:r>
      <w:r w:rsidRPr="00ED2620">
        <w:rPr>
          <w:rFonts w:eastAsiaTheme="minorEastAsia"/>
          <w:color w:val="000000"/>
          <w:sz w:val="24"/>
        </w:rPr>
        <w:t>、如果本报告期间发生转换出业务，则总赎回份额中包含该业务。</w:t>
      </w:r>
    </w:p>
    <w:p w:rsidR="00410630" w:rsidRDefault="00410630" w:rsidP="00C15CAC">
      <w:pPr>
        <w:autoSpaceDE w:val="0"/>
        <w:autoSpaceDN w:val="0"/>
        <w:adjustRightInd w:val="0"/>
        <w:spacing w:before="29" w:line="288" w:lineRule="auto"/>
        <w:jc w:val="left"/>
        <w:rPr>
          <w:rFonts w:eastAsiaTheme="minorEastAsia"/>
          <w:color w:val="000000"/>
          <w:sz w:val="24"/>
        </w:rPr>
      </w:pPr>
    </w:p>
    <w:p w:rsidR="00320300" w:rsidRDefault="00410630" w:rsidP="00C15CAC">
      <w:pPr>
        <w:autoSpaceDE w:val="0"/>
        <w:autoSpaceDN w:val="0"/>
        <w:adjustRightInd w:val="0"/>
        <w:spacing w:before="29" w:line="288" w:lineRule="auto"/>
        <w:jc w:val="left"/>
        <w:rPr>
          <w:b/>
          <w:sz w:val="24"/>
        </w:rPr>
      </w:pPr>
      <w:r w:rsidRPr="00410630">
        <w:rPr>
          <w:b/>
          <w:sz w:val="24"/>
        </w:rPr>
        <w:lastRenderedPageBreak/>
        <w:t xml:space="preserve">7.2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4061AC" w:rsidRPr="00414345" w:rsidRDefault="004061AC" w:rsidP="000F2365">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676095"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影响投资者决策的其他重要信息</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依据中国证监会《关于进一步规范证券投资基金估值业务的指导意见》（证监会公告</w:t>
      </w:r>
      <w:r w:rsidRPr="00414345">
        <w:rPr>
          <w:color w:val="000000"/>
          <w:sz w:val="24"/>
          <w:szCs w:val="24"/>
        </w:rPr>
        <w:t>[2008]38</w:t>
      </w:r>
      <w:r w:rsidRPr="00414345">
        <w:rPr>
          <w:color w:val="000000"/>
          <w:sz w:val="24"/>
          <w:szCs w:val="24"/>
        </w:rPr>
        <w:t>号）的有关规定和《关于发布中基协（</w:t>
      </w:r>
      <w:r w:rsidRPr="00414345">
        <w:rPr>
          <w:color w:val="000000"/>
          <w:sz w:val="24"/>
          <w:szCs w:val="24"/>
        </w:rPr>
        <w:t>AMAC</w:t>
      </w:r>
      <w:r w:rsidRPr="00414345">
        <w:rPr>
          <w:color w:val="000000"/>
          <w:sz w:val="24"/>
          <w:szCs w:val="24"/>
        </w:rPr>
        <w:t>）基金行业股票估值指数的通知》的指导意见，经与基金托管人协商一致，本基金对其所持有的鱼跃医疗（证券代码：</w:t>
      </w:r>
      <w:r w:rsidRPr="00414345">
        <w:rPr>
          <w:color w:val="000000"/>
          <w:sz w:val="24"/>
          <w:szCs w:val="24"/>
        </w:rPr>
        <w:t>002223</w:t>
      </w:r>
      <w:r w:rsidRPr="00414345">
        <w:rPr>
          <w:color w:val="000000"/>
          <w:sz w:val="24"/>
          <w:szCs w:val="24"/>
        </w:rPr>
        <w:t>）股票自</w:t>
      </w:r>
      <w:r w:rsidRPr="00414345">
        <w:rPr>
          <w:color w:val="000000"/>
          <w:sz w:val="24"/>
          <w:szCs w:val="24"/>
        </w:rPr>
        <w:t>2014</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28</w:t>
      </w:r>
      <w:r w:rsidRPr="00414345">
        <w:rPr>
          <w:color w:val="000000"/>
          <w:sz w:val="24"/>
          <w:szCs w:val="24"/>
        </w:rPr>
        <w:t>日起按照指数收益法进行估值，并已于</w:t>
      </w:r>
      <w:r w:rsidRPr="00414345">
        <w:rPr>
          <w:color w:val="000000"/>
          <w:sz w:val="24"/>
          <w:szCs w:val="24"/>
        </w:rPr>
        <w:t>2014</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24</w:t>
      </w:r>
      <w:r w:rsidRPr="00414345">
        <w:rPr>
          <w:color w:val="000000"/>
          <w:sz w:val="24"/>
          <w:szCs w:val="24"/>
        </w:rPr>
        <w:t>日起恢复按市场价格进行估值；本基金对其所持有的日发精机（证券代码：</w:t>
      </w:r>
      <w:r w:rsidRPr="00414345">
        <w:rPr>
          <w:color w:val="000000"/>
          <w:sz w:val="24"/>
          <w:szCs w:val="24"/>
        </w:rPr>
        <w:t>002520</w:t>
      </w:r>
      <w:r w:rsidRPr="00414345">
        <w:rPr>
          <w:color w:val="000000"/>
          <w:sz w:val="24"/>
          <w:szCs w:val="24"/>
        </w:rPr>
        <w:t>）股票自</w:t>
      </w:r>
      <w:r w:rsidRPr="00414345">
        <w:rPr>
          <w:color w:val="000000"/>
          <w:sz w:val="24"/>
          <w:szCs w:val="24"/>
        </w:rPr>
        <w:t>2014</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25</w:t>
      </w:r>
      <w:r w:rsidRPr="00414345">
        <w:rPr>
          <w:color w:val="000000"/>
          <w:sz w:val="24"/>
          <w:szCs w:val="24"/>
        </w:rPr>
        <w:t>日起按照指数收益法进行估值，并已于</w:t>
      </w:r>
      <w:r w:rsidRPr="00414345">
        <w:rPr>
          <w:color w:val="000000"/>
          <w:sz w:val="24"/>
          <w:szCs w:val="24"/>
        </w:rPr>
        <w:t>2014</w:t>
      </w:r>
      <w:r w:rsidRPr="00414345">
        <w:rPr>
          <w:color w:val="000000"/>
          <w:sz w:val="24"/>
          <w:szCs w:val="24"/>
        </w:rPr>
        <w:t>年</w:t>
      </w:r>
      <w:r w:rsidRPr="00414345">
        <w:rPr>
          <w:color w:val="000000"/>
          <w:sz w:val="24"/>
          <w:szCs w:val="24"/>
        </w:rPr>
        <w:t>5</w:t>
      </w:r>
      <w:r w:rsidRPr="00414345">
        <w:rPr>
          <w:color w:val="000000"/>
          <w:sz w:val="24"/>
          <w:szCs w:val="24"/>
        </w:rPr>
        <w:t>月</w:t>
      </w:r>
      <w:r w:rsidRPr="00414345">
        <w:rPr>
          <w:color w:val="000000"/>
          <w:sz w:val="24"/>
          <w:szCs w:val="24"/>
        </w:rPr>
        <w:t>12</w:t>
      </w:r>
      <w:r w:rsidRPr="00414345">
        <w:rPr>
          <w:color w:val="000000"/>
          <w:sz w:val="24"/>
          <w:szCs w:val="24"/>
        </w:rPr>
        <w:t>日起恢复按市场价格进行估值。</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0F2365">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D910C1" w:rsidRDefault="000F2365">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、中国证监会批准交银施罗德蓝筹股票证券投资基金募集的文件；</w:t>
      </w:r>
      <w:r>
        <w:rPr>
          <w:color w:val="000000"/>
          <w:sz w:val="24"/>
          <w:szCs w:val="24"/>
        </w:rPr>
        <w:t xml:space="preserve"> </w:t>
      </w:r>
    </w:p>
    <w:p w:rsidR="00D910C1" w:rsidRDefault="000F2365">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、《交银施罗德蓝筹股票证券投资基金基金合同》；</w:t>
      </w:r>
      <w:r>
        <w:rPr>
          <w:color w:val="000000"/>
          <w:sz w:val="24"/>
          <w:szCs w:val="24"/>
        </w:rPr>
        <w:t xml:space="preserve"> </w:t>
      </w:r>
    </w:p>
    <w:p w:rsidR="00D910C1" w:rsidRDefault="000F2365">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、《交银施罗德蓝筹股票证券投资基金招募说明书》；</w:t>
      </w:r>
      <w:r>
        <w:rPr>
          <w:color w:val="000000"/>
          <w:sz w:val="24"/>
          <w:szCs w:val="24"/>
        </w:rPr>
        <w:t xml:space="preserve"> </w:t>
      </w:r>
    </w:p>
    <w:p w:rsidR="00D910C1" w:rsidRDefault="000F2365">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、《交银施罗德蓝筹股票证券投资基金托管协议》；</w:t>
      </w:r>
      <w:r>
        <w:rPr>
          <w:color w:val="000000"/>
          <w:sz w:val="24"/>
          <w:szCs w:val="24"/>
        </w:rPr>
        <w:t xml:space="preserve"> </w:t>
      </w:r>
    </w:p>
    <w:p w:rsidR="00D910C1" w:rsidRDefault="000F2365">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、关于募集交银施罗德蓝筹股票证券投资基金之法律意见书；</w:t>
      </w:r>
      <w:r>
        <w:rPr>
          <w:color w:val="000000"/>
          <w:sz w:val="24"/>
          <w:szCs w:val="24"/>
        </w:rPr>
        <w:t xml:space="preserve"> </w:t>
      </w:r>
    </w:p>
    <w:p w:rsidR="00D910C1" w:rsidRDefault="000F2365">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D910C1" w:rsidRDefault="000F2365">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、报告期内交银施罗德蓝筹股票证券投资基金在指定报刊上各项公告的原稿。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D910C1" w:rsidRDefault="000F2365">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lastRenderedPageBreak/>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433" w:rsidRDefault="00917433" w:rsidP="00876D65">
      <w:r>
        <w:separator/>
      </w:r>
    </w:p>
  </w:endnote>
  <w:endnote w:type="continuationSeparator" w:id="0">
    <w:p w:rsidR="00917433" w:rsidRDefault="00917433"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D910C1">
      <w:rPr>
        <w:kern w:val="0"/>
        <w:szCs w:val="21"/>
      </w:rPr>
      <w:fldChar w:fldCharType="begin"/>
    </w:r>
    <w:r>
      <w:rPr>
        <w:kern w:val="0"/>
        <w:szCs w:val="21"/>
      </w:rPr>
      <w:instrText xml:space="preserve"> PAGE </w:instrText>
    </w:r>
    <w:r w:rsidR="00D910C1">
      <w:rPr>
        <w:kern w:val="0"/>
        <w:szCs w:val="21"/>
      </w:rPr>
      <w:fldChar w:fldCharType="separate"/>
    </w:r>
    <w:r w:rsidR="00295E11">
      <w:rPr>
        <w:noProof/>
        <w:kern w:val="0"/>
        <w:szCs w:val="21"/>
      </w:rPr>
      <w:t>1</w:t>
    </w:r>
    <w:r w:rsidR="00D910C1">
      <w:rPr>
        <w:kern w:val="0"/>
        <w:szCs w:val="21"/>
      </w:rPr>
      <w:fldChar w:fldCharType="end"/>
    </w:r>
    <w:r>
      <w:rPr>
        <w:rFonts w:hint="eastAsia"/>
        <w:kern w:val="0"/>
        <w:szCs w:val="21"/>
      </w:rPr>
      <w:t>页共</w:t>
    </w:r>
    <w:r w:rsidR="00D910C1">
      <w:rPr>
        <w:kern w:val="0"/>
        <w:szCs w:val="21"/>
      </w:rPr>
      <w:fldChar w:fldCharType="begin"/>
    </w:r>
    <w:r>
      <w:rPr>
        <w:kern w:val="0"/>
        <w:szCs w:val="21"/>
      </w:rPr>
      <w:instrText xml:space="preserve"> NUMPAGES </w:instrText>
    </w:r>
    <w:r w:rsidR="00D910C1">
      <w:rPr>
        <w:kern w:val="0"/>
        <w:szCs w:val="21"/>
      </w:rPr>
      <w:fldChar w:fldCharType="separate"/>
    </w:r>
    <w:r w:rsidR="00295E11">
      <w:rPr>
        <w:noProof/>
        <w:kern w:val="0"/>
        <w:szCs w:val="21"/>
      </w:rPr>
      <w:t>12</w:t>
    </w:r>
    <w:r w:rsidR="00D910C1">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433" w:rsidRDefault="00917433" w:rsidP="00876D65">
      <w:r>
        <w:separator/>
      </w:r>
    </w:p>
  </w:footnote>
  <w:footnote w:type="continuationSeparator" w:id="0">
    <w:p w:rsidR="00917433" w:rsidRDefault="00917433"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25ED"/>
    <w:rsid w:val="00064D40"/>
    <w:rsid w:val="000815C0"/>
    <w:rsid w:val="0008313A"/>
    <w:rsid w:val="00085E78"/>
    <w:rsid w:val="0008689B"/>
    <w:rsid w:val="00086D4E"/>
    <w:rsid w:val="000907D2"/>
    <w:rsid w:val="00090A26"/>
    <w:rsid w:val="000A2B53"/>
    <w:rsid w:val="000A2FC0"/>
    <w:rsid w:val="000A4173"/>
    <w:rsid w:val="000B1D21"/>
    <w:rsid w:val="000B5C78"/>
    <w:rsid w:val="000B624F"/>
    <w:rsid w:val="000B73C6"/>
    <w:rsid w:val="000C190B"/>
    <w:rsid w:val="000C1E17"/>
    <w:rsid w:val="000C5216"/>
    <w:rsid w:val="000D0E6C"/>
    <w:rsid w:val="000D11DE"/>
    <w:rsid w:val="000D3ED4"/>
    <w:rsid w:val="000E7E5E"/>
    <w:rsid w:val="000F2365"/>
    <w:rsid w:val="000F6CC8"/>
    <w:rsid w:val="00111261"/>
    <w:rsid w:val="00133015"/>
    <w:rsid w:val="00137452"/>
    <w:rsid w:val="00137B31"/>
    <w:rsid w:val="00144F93"/>
    <w:rsid w:val="00147376"/>
    <w:rsid w:val="0015450B"/>
    <w:rsid w:val="00154BE1"/>
    <w:rsid w:val="0015710B"/>
    <w:rsid w:val="00160EDC"/>
    <w:rsid w:val="001675CD"/>
    <w:rsid w:val="001717D5"/>
    <w:rsid w:val="00171EF0"/>
    <w:rsid w:val="001761D2"/>
    <w:rsid w:val="00176C21"/>
    <w:rsid w:val="001830D7"/>
    <w:rsid w:val="00185A34"/>
    <w:rsid w:val="001934F6"/>
    <w:rsid w:val="00196E6C"/>
    <w:rsid w:val="001A73E8"/>
    <w:rsid w:val="001B0A62"/>
    <w:rsid w:val="001B2F35"/>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E11"/>
    <w:rsid w:val="002973A9"/>
    <w:rsid w:val="002B1D1A"/>
    <w:rsid w:val="002C2834"/>
    <w:rsid w:val="002C3C7A"/>
    <w:rsid w:val="002C5F95"/>
    <w:rsid w:val="002C657A"/>
    <w:rsid w:val="002D6872"/>
    <w:rsid w:val="002D6FB6"/>
    <w:rsid w:val="002E3B09"/>
    <w:rsid w:val="002E52B3"/>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2719"/>
    <w:rsid w:val="0035383E"/>
    <w:rsid w:val="00355364"/>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6096"/>
    <w:rsid w:val="00427F58"/>
    <w:rsid w:val="00433805"/>
    <w:rsid w:val="00443869"/>
    <w:rsid w:val="00460575"/>
    <w:rsid w:val="00463EC0"/>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B0F"/>
    <w:rsid w:val="00636DB7"/>
    <w:rsid w:val="0063783A"/>
    <w:rsid w:val="006423B9"/>
    <w:rsid w:val="00642FA0"/>
    <w:rsid w:val="00654B0D"/>
    <w:rsid w:val="0065599B"/>
    <w:rsid w:val="00655CD8"/>
    <w:rsid w:val="00655E1C"/>
    <w:rsid w:val="006571DC"/>
    <w:rsid w:val="00660D4B"/>
    <w:rsid w:val="00664ECC"/>
    <w:rsid w:val="00670547"/>
    <w:rsid w:val="00670989"/>
    <w:rsid w:val="006742DC"/>
    <w:rsid w:val="006757DC"/>
    <w:rsid w:val="00676095"/>
    <w:rsid w:val="006823C3"/>
    <w:rsid w:val="006928F1"/>
    <w:rsid w:val="00693843"/>
    <w:rsid w:val="0069426C"/>
    <w:rsid w:val="00694DFB"/>
    <w:rsid w:val="006A0893"/>
    <w:rsid w:val="006A10AB"/>
    <w:rsid w:val="006A1C62"/>
    <w:rsid w:val="006A48FD"/>
    <w:rsid w:val="006A5EA9"/>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815D8"/>
    <w:rsid w:val="00794090"/>
    <w:rsid w:val="00796CA8"/>
    <w:rsid w:val="00797305"/>
    <w:rsid w:val="007B035B"/>
    <w:rsid w:val="007B4C04"/>
    <w:rsid w:val="007B5AFB"/>
    <w:rsid w:val="007C395A"/>
    <w:rsid w:val="007C5862"/>
    <w:rsid w:val="007D0922"/>
    <w:rsid w:val="007D100C"/>
    <w:rsid w:val="007E2686"/>
    <w:rsid w:val="007F29B1"/>
    <w:rsid w:val="008014F9"/>
    <w:rsid w:val="0080358B"/>
    <w:rsid w:val="008059BD"/>
    <w:rsid w:val="0081286B"/>
    <w:rsid w:val="00812D46"/>
    <w:rsid w:val="008148E0"/>
    <w:rsid w:val="00815A38"/>
    <w:rsid w:val="0082103F"/>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17433"/>
    <w:rsid w:val="00921AC7"/>
    <w:rsid w:val="00924582"/>
    <w:rsid w:val="00931291"/>
    <w:rsid w:val="0093367D"/>
    <w:rsid w:val="009431FA"/>
    <w:rsid w:val="00945AF6"/>
    <w:rsid w:val="009550BE"/>
    <w:rsid w:val="00955531"/>
    <w:rsid w:val="00955BE8"/>
    <w:rsid w:val="00957594"/>
    <w:rsid w:val="00963F40"/>
    <w:rsid w:val="009730B8"/>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AF0A7F"/>
    <w:rsid w:val="00AF3AB2"/>
    <w:rsid w:val="00B11BE5"/>
    <w:rsid w:val="00B12B7D"/>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6CD8"/>
    <w:rsid w:val="00B87214"/>
    <w:rsid w:val="00B92FF5"/>
    <w:rsid w:val="00B959E6"/>
    <w:rsid w:val="00BA604D"/>
    <w:rsid w:val="00BB5DA7"/>
    <w:rsid w:val="00BC14B3"/>
    <w:rsid w:val="00BC216C"/>
    <w:rsid w:val="00BC4585"/>
    <w:rsid w:val="00BC50F1"/>
    <w:rsid w:val="00BC73E5"/>
    <w:rsid w:val="00BD0031"/>
    <w:rsid w:val="00BD7473"/>
    <w:rsid w:val="00BD7703"/>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9B1"/>
    <w:rsid w:val="00C63554"/>
    <w:rsid w:val="00C678B0"/>
    <w:rsid w:val="00C7047C"/>
    <w:rsid w:val="00C71497"/>
    <w:rsid w:val="00C72F5B"/>
    <w:rsid w:val="00C73BCD"/>
    <w:rsid w:val="00C74E5E"/>
    <w:rsid w:val="00C77AEF"/>
    <w:rsid w:val="00C85A6E"/>
    <w:rsid w:val="00C87129"/>
    <w:rsid w:val="00C91E1B"/>
    <w:rsid w:val="00C9690F"/>
    <w:rsid w:val="00CA574C"/>
    <w:rsid w:val="00CA5FD5"/>
    <w:rsid w:val="00CA7703"/>
    <w:rsid w:val="00CB0F92"/>
    <w:rsid w:val="00CD4E6D"/>
    <w:rsid w:val="00CD4F19"/>
    <w:rsid w:val="00CD5707"/>
    <w:rsid w:val="00CD7702"/>
    <w:rsid w:val="00CE29EA"/>
    <w:rsid w:val="00CF04CF"/>
    <w:rsid w:val="00CF2D3E"/>
    <w:rsid w:val="00CF6572"/>
    <w:rsid w:val="00D01FE6"/>
    <w:rsid w:val="00D02347"/>
    <w:rsid w:val="00D046DB"/>
    <w:rsid w:val="00D04755"/>
    <w:rsid w:val="00D13737"/>
    <w:rsid w:val="00D1638E"/>
    <w:rsid w:val="00D2061C"/>
    <w:rsid w:val="00D21FFF"/>
    <w:rsid w:val="00D272A5"/>
    <w:rsid w:val="00D346D9"/>
    <w:rsid w:val="00D43AFB"/>
    <w:rsid w:val="00D44EE8"/>
    <w:rsid w:val="00D57B7C"/>
    <w:rsid w:val="00D65B44"/>
    <w:rsid w:val="00D75E69"/>
    <w:rsid w:val="00D8099B"/>
    <w:rsid w:val="00D866A8"/>
    <w:rsid w:val="00D910C1"/>
    <w:rsid w:val="00D94B8D"/>
    <w:rsid w:val="00D96C8D"/>
    <w:rsid w:val="00D974EF"/>
    <w:rsid w:val="00DA0C61"/>
    <w:rsid w:val="00DA14B0"/>
    <w:rsid w:val="00DA2876"/>
    <w:rsid w:val="00DC0B51"/>
    <w:rsid w:val="00DC6B55"/>
    <w:rsid w:val="00DE27F7"/>
    <w:rsid w:val="00DE4B43"/>
    <w:rsid w:val="00E02660"/>
    <w:rsid w:val="00E36549"/>
    <w:rsid w:val="00E40D31"/>
    <w:rsid w:val="00E41260"/>
    <w:rsid w:val="00E44E18"/>
    <w:rsid w:val="00E54301"/>
    <w:rsid w:val="00E54BF5"/>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62BE"/>
    <w:rsid w:val="00ED6E80"/>
    <w:rsid w:val="00ED7B83"/>
    <w:rsid w:val="00EE3BC8"/>
    <w:rsid w:val="00EF17AB"/>
    <w:rsid w:val="00EF6FA5"/>
    <w:rsid w:val="00F11104"/>
    <w:rsid w:val="00F11BB5"/>
    <w:rsid w:val="00F16E3F"/>
    <w:rsid w:val="00F22499"/>
    <w:rsid w:val="00F22B0F"/>
    <w:rsid w:val="00F24B42"/>
    <w:rsid w:val="00F24F73"/>
    <w:rsid w:val="00F27299"/>
    <w:rsid w:val="00F31F6E"/>
    <w:rsid w:val="00F3389C"/>
    <w:rsid w:val="00F375F2"/>
    <w:rsid w:val="00F45C47"/>
    <w:rsid w:val="00F54EAE"/>
    <w:rsid w:val="00F66A51"/>
    <w:rsid w:val="00F71057"/>
    <w:rsid w:val="00F71A4B"/>
    <w:rsid w:val="00F728CF"/>
    <w:rsid w:val="00F743D4"/>
    <w:rsid w:val="00F80AC3"/>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503730-2601-43F1-87D6-BD754CDE2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2179D-ED9A-4B84-9626-7CD031031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1104</Words>
  <Characters>6299</Characters>
  <Application>Microsoft Office Word</Application>
  <DocSecurity>0</DocSecurity>
  <Lines>52</Lines>
  <Paragraphs>14</Paragraphs>
  <ScaleCrop>false</ScaleCrop>
  <Company/>
  <LinksUpToDate>false</LinksUpToDate>
  <CharactersWithSpaces>7389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沈文晓</dc:creator>
  <cp:lastModifiedBy>许帆</cp:lastModifiedBy>
  <cp:revision>4</cp:revision>
  <dcterms:created xsi:type="dcterms:W3CDTF">2014-07-10T11:52:00Z</dcterms:created>
  <dcterms:modified xsi:type="dcterms:W3CDTF">2014-07-15T09:06:00Z</dcterms:modified>
</cp:coreProperties>
</file>