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二〇一四年七月十九日</w:t>
      </w:r>
    </w:p>
    <w:p w:rsidR="004061AC" w:rsidRPr="00414345" w:rsidRDefault="004061AC" w:rsidP="00FF63DA">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F0A19" w:rsidRDefault="00FF63D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6F0A19" w:rsidRDefault="00FF63DA">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2014</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 xml:space="preserve">日复核了本报告中的财务指标、净值表现和投资组合报告等内容，保证复核内容不存在虚假记载、误导性陈述或者重大遗漏。　　</w:t>
      </w:r>
    </w:p>
    <w:p w:rsidR="006F0A19" w:rsidRDefault="00FF63D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6F0A19" w:rsidRDefault="00FF63D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6F0A19" w:rsidRDefault="00FF63D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F63D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2,742,122,099.83</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中信标普全债指数</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F63D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F63DA" w:rsidRPr="00414345" w:rsidTr="00FF63D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F63DA" w:rsidRPr="00414345" w:rsidTr="00FF63D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-120,361,878.55</w:t>
            </w:r>
          </w:p>
        </w:tc>
      </w:tr>
      <w:tr w:rsidR="00FF63DA" w:rsidRPr="00414345" w:rsidTr="00FF63D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125,507,490.43</w:t>
            </w:r>
          </w:p>
        </w:tc>
      </w:tr>
      <w:tr w:rsidR="00FF63DA" w:rsidRPr="00414345" w:rsidTr="00FF63D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0.0448</w:t>
            </w:r>
          </w:p>
        </w:tc>
      </w:tr>
      <w:tr w:rsidR="00FF63DA" w:rsidRPr="00414345" w:rsidTr="00FF63D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2,842,353,652.77</w:t>
            </w:r>
          </w:p>
        </w:tc>
      </w:tr>
      <w:tr w:rsidR="00FF63DA" w:rsidRPr="00414345" w:rsidTr="00FF63D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1.0366</w:t>
            </w:r>
          </w:p>
        </w:tc>
      </w:tr>
    </w:tbl>
    <w:p w:rsidR="006F0A19" w:rsidRDefault="00FF63D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F0A19">
        <w:trPr>
          <w:jc w:val="center"/>
        </w:trPr>
        <w:tc>
          <w:tcPr>
            <w:tcW w:w="1701" w:type="dxa"/>
            <w:vAlign w:val="center"/>
          </w:tcPr>
          <w:p w:rsidR="006F0A19" w:rsidRDefault="00FF63DA">
            <w:pPr>
              <w:jc w:val="left"/>
            </w:pPr>
            <w:r>
              <w:rPr>
                <w:color w:val="000000"/>
                <w:sz w:val="24"/>
                <w:szCs w:val="24"/>
              </w:rPr>
              <w:t>过去三个月</w:t>
            </w:r>
          </w:p>
        </w:tc>
        <w:tc>
          <w:tcPr>
            <w:tcW w:w="1045" w:type="dxa"/>
            <w:vAlign w:val="center"/>
          </w:tcPr>
          <w:p w:rsidR="006F0A19" w:rsidRDefault="00FF63DA">
            <w:pPr>
              <w:jc w:val="center"/>
            </w:pPr>
            <w:r>
              <w:rPr>
                <w:color w:val="000000"/>
                <w:sz w:val="24"/>
                <w:szCs w:val="24"/>
              </w:rPr>
              <w:t>4.50%</w:t>
            </w:r>
          </w:p>
        </w:tc>
        <w:tc>
          <w:tcPr>
            <w:tcW w:w="1344" w:type="dxa"/>
            <w:vAlign w:val="center"/>
          </w:tcPr>
          <w:p w:rsidR="006F0A19" w:rsidRDefault="00FF63DA">
            <w:pPr>
              <w:jc w:val="center"/>
            </w:pPr>
            <w:r>
              <w:rPr>
                <w:color w:val="000000"/>
                <w:sz w:val="24"/>
                <w:szCs w:val="24"/>
              </w:rPr>
              <w:t>1.02%</w:t>
            </w:r>
          </w:p>
        </w:tc>
        <w:tc>
          <w:tcPr>
            <w:tcW w:w="1194" w:type="dxa"/>
            <w:vAlign w:val="center"/>
          </w:tcPr>
          <w:p w:rsidR="006F0A19" w:rsidRDefault="00FF63DA">
            <w:pPr>
              <w:jc w:val="center"/>
            </w:pPr>
            <w:r>
              <w:rPr>
                <w:color w:val="000000"/>
                <w:sz w:val="24"/>
                <w:szCs w:val="24"/>
              </w:rPr>
              <w:t>1.34%</w:t>
            </w:r>
          </w:p>
        </w:tc>
        <w:tc>
          <w:tcPr>
            <w:tcW w:w="1492" w:type="dxa"/>
            <w:vAlign w:val="center"/>
          </w:tcPr>
          <w:p w:rsidR="006F0A19" w:rsidRDefault="00FF63DA">
            <w:pPr>
              <w:jc w:val="center"/>
            </w:pPr>
            <w:r>
              <w:rPr>
                <w:color w:val="000000"/>
                <w:sz w:val="24"/>
                <w:szCs w:val="24"/>
              </w:rPr>
              <w:t>0.58%</w:t>
            </w:r>
          </w:p>
        </w:tc>
        <w:tc>
          <w:tcPr>
            <w:tcW w:w="1194" w:type="dxa"/>
            <w:vAlign w:val="center"/>
          </w:tcPr>
          <w:p w:rsidR="006F0A19" w:rsidRDefault="00FF63DA">
            <w:pPr>
              <w:jc w:val="center"/>
            </w:pPr>
            <w:r>
              <w:rPr>
                <w:color w:val="000000"/>
                <w:sz w:val="24"/>
                <w:szCs w:val="24"/>
              </w:rPr>
              <w:t>3.16%</w:t>
            </w:r>
          </w:p>
        </w:tc>
        <w:tc>
          <w:tcPr>
            <w:tcW w:w="898" w:type="dxa"/>
            <w:vAlign w:val="center"/>
          </w:tcPr>
          <w:p w:rsidR="006F0A19" w:rsidRDefault="00FF63DA">
            <w:pPr>
              <w:jc w:val="center"/>
            </w:pPr>
            <w:r>
              <w:rPr>
                <w:color w:val="000000"/>
                <w:sz w:val="24"/>
                <w:szCs w:val="24"/>
              </w:rPr>
              <w:t>0.44%</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2013</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新华巴克莱资本中国全债指数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2013</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26</w:t>
      </w:r>
      <w:r w:rsidRPr="00414345">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875DAC">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F63DA">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F0A19">
        <w:trPr>
          <w:jc w:val="center"/>
        </w:trPr>
        <w:tc>
          <w:tcPr>
            <w:tcW w:w="846" w:type="dxa"/>
            <w:vAlign w:val="center"/>
          </w:tcPr>
          <w:p w:rsidR="006F0A19" w:rsidRDefault="00FF63DA">
            <w:pPr>
              <w:jc w:val="center"/>
            </w:pPr>
            <w:r>
              <w:rPr>
                <w:color w:val="000000"/>
                <w:sz w:val="24"/>
                <w:szCs w:val="24"/>
              </w:rPr>
              <w:t>唐倩</w:t>
            </w:r>
          </w:p>
        </w:tc>
        <w:tc>
          <w:tcPr>
            <w:tcW w:w="845" w:type="dxa"/>
            <w:vAlign w:val="center"/>
          </w:tcPr>
          <w:p w:rsidR="006F0A19" w:rsidRDefault="00FF63DA">
            <w:pPr>
              <w:jc w:val="center"/>
            </w:pPr>
            <w:r>
              <w:rPr>
                <w:color w:val="000000"/>
                <w:sz w:val="24"/>
                <w:szCs w:val="24"/>
              </w:rPr>
              <w:t>本基金的基金经理，公司权益部副总经理</w:t>
            </w:r>
          </w:p>
        </w:tc>
        <w:tc>
          <w:tcPr>
            <w:tcW w:w="1549" w:type="dxa"/>
            <w:vAlign w:val="center"/>
          </w:tcPr>
          <w:p w:rsidR="006F0A19" w:rsidRDefault="00FF63DA">
            <w:pPr>
              <w:jc w:val="center"/>
            </w:pPr>
            <w:r>
              <w:rPr>
                <w:color w:val="000000"/>
                <w:sz w:val="24"/>
                <w:szCs w:val="24"/>
              </w:rPr>
              <w:t>2013-12-12</w:t>
            </w:r>
          </w:p>
        </w:tc>
        <w:tc>
          <w:tcPr>
            <w:tcW w:w="1548" w:type="dxa"/>
            <w:vAlign w:val="center"/>
          </w:tcPr>
          <w:p w:rsidR="006F0A19" w:rsidRDefault="00FF63DA">
            <w:pPr>
              <w:jc w:val="center"/>
            </w:pPr>
            <w:r>
              <w:rPr>
                <w:color w:val="000000"/>
                <w:sz w:val="24"/>
                <w:szCs w:val="24"/>
              </w:rPr>
              <w:t>-</w:t>
            </w:r>
          </w:p>
        </w:tc>
        <w:tc>
          <w:tcPr>
            <w:tcW w:w="1407" w:type="dxa"/>
            <w:vAlign w:val="center"/>
          </w:tcPr>
          <w:p w:rsidR="006F0A19" w:rsidRDefault="00FF63DA">
            <w:pPr>
              <w:jc w:val="center"/>
            </w:pPr>
            <w:r>
              <w:rPr>
                <w:color w:val="000000"/>
                <w:sz w:val="24"/>
                <w:szCs w:val="24"/>
              </w:rPr>
              <w:t>14</w:t>
            </w:r>
            <w:r>
              <w:rPr>
                <w:color w:val="000000"/>
                <w:sz w:val="24"/>
                <w:szCs w:val="24"/>
              </w:rPr>
              <w:t>年</w:t>
            </w:r>
          </w:p>
        </w:tc>
        <w:tc>
          <w:tcPr>
            <w:tcW w:w="2673" w:type="dxa"/>
            <w:vAlign w:val="center"/>
          </w:tcPr>
          <w:p w:rsidR="006F0A19" w:rsidRDefault="00FF63DA">
            <w:r>
              <w:rPr>
                <w:color w:val="000000"/>
                <w:sz w:val="24"/>
                <w:szCs w:val="24"/>
              </w:rPr>
              <w:t>唐倩女士，</w:t>
            </w:r>
            <w:r>
              <w:rPr>
                <w:color w:val="000000"/>
                <w:sz w:val="24"/>
                <w:szCs w:val="24"/>
              </w:rPr>
              <w:t>CPA</w:t>
            </w:r>
            <w:r>
              <w:rPr>
                <w:color w:val="000000"/>
                <w:sz w:val="24"/>
                <w:szCs w:val="24"/>
              </w:rPr>
              <w:t>，华东师范大学金融学硕士。历任申银万国证券研究所分析师，中银国际有限公司分析师，香港雷曼兄弟证券公司研究员，上投摩根基金管理有限公司研究部总监、基金经理。其中</w:t>
            </w:r>
            <w:r>
              <w:rPr>
                <w:color w:val="000000"/>
                <w:sz w:val="24"/>
                <w:szCs w:val="24"/>
              </w:rPr>
              <w:t>2011</w:t>
            </w:r>
            <w:r>
              <w:rPr>
                <w:color w:val="000000"/>
                <w:sz w:val="24"/>
                <w:szCs w:val="24"/>
              </w:rPr>
              <w:t>年</w:t>
            </w:r>
            <w:r>
              <w:rPr>
                <w:color w:val="000000"/>
                <w:sz w:val="24"/>
                <w:szCs w:val="24"/>
              </w:rPr>
              <w:t>4</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8</w:t>
            </w:r>
            <w:r>
              <w:rPr>
                <w:color w:val="000000"/>
                <w:sz w:val="24"/>
                <w:szCs w:val="24"/>
              </w:rPr>
              <w:t>日担任上投摩根成</w:t>
            </w:r>
            <w:r>
              <w:rPr>
                <w:color w:val="000000"/>
                <w:sz w:val="24"/>
                <w:szCs w:val="24"/>
              </w:rPr>
              <w:lastRenderedPageBreak/>
              <w:t>长先锋基金经理。</w:t>
            </w:r>
            <w:r>
              <w:rPr>
                <w:color w:val="000000"/>
                <w:sz w:val="24"/>
                <w:szCs w:val="24"/>
              </w:rPr>
              <w:t>2013</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F0A19" w:rsidRDefault="00FF63D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F0A19" w:rsidRDefault="00FF63D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F0A19" w:rsidRDefault="00FF63D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F0A19" w:rsidRDefault="00FF63DA">
      <w:pPr>
        <w:spacing w:before="29" w:line="288" w:lineRule="auto"/>
        <w:ind w:firstLineChars="200" w:firstLine="480"/>
        <w:rPr>
          <w:color w:val="000000"/>
          <w:sz w:val="24"/>
          <w:szCs w:val="24"/>
        </w:rPr>
      </w:pPr>
      <w:r>
        <w:rPr>
          <w:color w:val="000000"/>
          <w:sz w:val="24"/>
          <w:szCs w:val="24"/>
        </w:rPr>
        <w:t>二季度，沪深</w:t>
      </w:r>
      <w:r>
        <w:rPr>
          <w:color w:val="000000"/>
          <w:sz w:val="24"/>
          <w:szCs w:val="24"/>
        </w:rPr>
        <w:t>300</w:t>
      </w:r>
      <w:r>
        <w:rPr>
          <w:color w:val="000000"/>
          <w:sz w:val="24"/>
          <w:szCs w:val="24"/>
        </w:rPr>
        <w:t>指数上涨</w:t>
      </w:r>
      <w:r>
        <w:rPr>
          <w:color w:val="000000"/>
          <w:sz w:val="24"/>
          <w:szCs w:val="24"/>
        </w:rPr>
        <w:t>0.88%</w:t>
      </w:r>
      <w:r>
        <w:rPr>
          <w:color w:val="000000"/>
          <w:sz w:val="24"/>
          <w:szCs w:val="24"/>
        </w:rPr>
        <w:t>，创业板上涨了</w:t>
      </w:r>
      <w:r>
        <w:rPr>
          <w:color w:val="000000"/>
          <w:sz w:val="24"/>
          <w:szCs w:val="24"/>
        </w:rPr>
        <w:t>5.79%</w:t>
      </w:r>
      <w:r>
        <w:rPr>
          <w:color w:val="000000"/>
          <w:sz w:val="24"/>
          <w:szCs w:val="24"/>
        </w:rPr>
        <w:t>，基金净值上涨了</w:t>
      </w:r>
      <w:r>
        <w:rPr>
          <w:color w:val="000000"/>
          <w:sz w:val="24"/>
          <w:szCs w:val="24"/>
        </w:rPr>
        <w:t>4.50%</w:t>
      </w:r>
      <w:r>
        <w:rPr>
          <w:color w:val="000000"/>
          <w:sz w:val="24"/>
          <w:szCs w:val="24"/>
        </w:rPr>
        <w:t>。</w:t>
      </w:r>
    </w:p>
    <w:p w:rsidR="006F0A19" w:rsidRDefault="00FF63DA">
      <w:pPr>
        <w:spacing w:before="29" w:line="288" w:lineRule="auto"/>
        <w:ind w:firstLineChars="200" w:firstLine="480"/>
        <w:rPr>
          <w:color w:val="000000"/>
          <w:sz w:val="24"/>
          <w:szCs w:val="24"/>
        </w:rPr>
      </w:pPr>
      <w:r>
        <w:rPr>
          <w:color w:val="000000"/>
          <w:sz w:val="24"/>
          <w:szCs w:val="24"/>
        </w:rPr>
        <w:t>回顾二季度，</w:t>
      </w:r>
      <w:r>
        <w:rPr>
          <w:color w:val="000000"/>
          <w:sz w:val="24"/>
          <w:szCs w:val="24"/>
        </w:rPr>
        <w:t>PMI</w:t>
      </w:r>
      <w:r>
        <w:rPr>
          <w:color w:val="000000"/>
          <w:sz w:val="24"/>
          <w:szCs w:val="24"/>
        </w:rPr>
        <w:t>数据反映出经济略有企稳但后续压力很大。相应政策方面，几次定向降准、存贷比公式的调整反映出政策扶持的态度。海外市场，美国经济确认复苏态</w:t>
      </w:r>
      <w:r>
        <w:rPr>
          <w:color w:val="000000"/>
          <w:sz w:val="24"/>
          <w:szCs w:val="24"/>
        </w:rPr>
        <w:lastRenderedPageBreak/>
        <w:t>势，使得科技医药等板块持续火热。另外，国内</w:t>
      </w:r>
      <w:r>
        <w:rPr>
          <w:color w:val="000000"/>
          <w:sz w:val="24"/>
          <w:szCs w:val="24"/>
        </w:rPr>
        <w:t>IPO</w:t>
      </w:r>
      <w:r>
        <w:rPr>
          <w:color w:val="000000"/>
          <w:sz w:val="24"/>
          <w:szCs w:val="24"/>
        </w:rPr>
        <w:t>政策持续调整，短期风险释放后使得新兴板块的炒作之风不增反减。</w:t>
      </w:r>
    </w:p>
    <w:p w:rsidR="006F0A19" w:rsidRDefault="00FF63DA">
      <w:pPr>
        <w:spacing w:before="29" w:line="288" w:lineRule="auto"/>
        <w:ind w:firstLineChars="200" w:firstLine="480"/>
        <w:rPr>
          <w:color w:val="000000"/>
          <w:sz w:val="24"/>
          <w:szCs w:val="24"/>
        </w:rPr>
      </w:pPr>
      <w:r>
        <w:rPr>
          <w:color w:val="000000"/>
          <w:sz w:val="24"/>
          <w:szCs w:val="24"/>
        </w:rPr>
        <w:t>本基金在二季度进行了一定的调整，一方面减持了部分市值较大、弹性较小的品种，一方面增加了传媒、医药和计算机、军工等板块的配置。回顾过去一年的整体环境，</w:t>
      </w:r>
      <w:r>
        <w:rPr>
          <w:color w:val="000000"/>
          <w:sz w:val="24"/>
          <w:szCs w:val="24"/>
        </w:rPr>
        <w:t>A</w:t>
      </w:r>
      <w:r>
        <w:rPr>
          <w:color w:val="000000"/>
          <w:sz w:val="24"/>
          <w:szCs w:val="24"/>
        </w:rPr>
        <w:t>股市场对于小市值公司偏爱有加，很大程度上是由于增量资金的匮乏导致。预计在可预期的未来，这种格局很难打破。</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三季度，本基金关注两个方面的投资方向，一是传统公司中有明确向好变化的企业，另外就是新兴成长中有业绩基石的企业。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1.0366</w:t>
      </w:r>
      <w:r w:rsidRPr="00414345">
        <w:rPr>
          <w:color w:val="000000"/>
          <w:sz w:val="24"/>
          <w:szCs w:val="24"/>
        </w:rPr>
        <w:t>元，本报告期份额净值增长率为</w:t>
      </w:r>
      <w:r w:rsidRPr="00414345">
        <w:rPr>
          <w:color w:val="000000"/>
          <w:sz w:val="24"/>
          <w:szCs w:val="24"/>
        </w:rPr>
        <w:t>4.50%</w:t>
      </w:r>
      <w:r w:rsidRPr="00414345">
        <w:rPr>
          <w:color w:val="000000"/>
          <w:sz w:val="24"/>
          <w:szCs w:val="24"/>
        </w:rPr>
        <w:t>，同期业绩比较基准增长率为</w:t>
      </w:r>
      <w:r w:rsidRPr="00414345">
        <w:rPr>
          <w:color w:val="000000"/>
          <w:sz w:val="24"/>
          <w:szCs w:val="24"/>
        </w:rPr>
        <w:t>1.34%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FF63D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2,154,804,396.64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75.53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2,154,804,396.64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75.53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131,311,840.00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4.60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131,311,840.00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4.60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446,083,982.00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15.64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116,973,207.13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4.10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3,852,788.96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2,853,026,214.73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w:t>
            </w:r>
            <w:r w:rsidRPr="00414345">
              <w:rPr>
                <w:sz w:val="24"/>
                <w:szCs w:val="24"/>
              </w:rPr>
              <w:lastRenderedPageBreak/>
              <w:t>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620,247.36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FF63DA">
            <w:pPr>
              <w:spacing w:before="29" w:line="288" w:lineRule="auto"/>
              <w:jc w:val="right"/>
              <w:rPr>
                <w:sz w:val="24"/>
                <w:szCs w:val="24"/>
              </w:rPr>
            </w:pPr>
            <w:r w:rsidRPr="00414345">
              <w:rPr>
                <w:sz w:val="24"/>
                <w:szCs w:val="24"/>
              </w:rPr>
              <w:t>38,289.27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FF63DA">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1,212,047,532.52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20,697,697.22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28,218,804.24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FF63DA">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233,024,997.87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134,808,630.97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112,054,619.56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130,015,076.18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15,069,876.54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34,589,820.86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111,273,401.46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122,345,402.59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2,154,804,396.64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75.81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F0A19">
        <w:trPr>
          <w:jc w:val="center"/>
        </w:trPr>
        <w:tc>
          <w:tcPr>
            <w:tcW w:w="855" w:type="dxa"/>
            <w:vAlign w:val="center"/>
          </w:tcPr>
          <w:p w:rsidR="006F0A19" w:rsidRDefault="00FF63DA">
            <w:pPr>
              <w:jc w:val="center"/>
            </w:pPr>
            <w:r>
              <w:rPr>
                <w:color w:val="000000"/>
                <w:sz w:val="24"/>
                <w:szCs w:val="24"/>
              </w:rPr>
              <w:t>1</w:t>
            </w:r>
          </w:p>
        </w:tc>
        <w:tc>
          <w:tcPr>
            <w:tcW w:w="1334" w:type="dxa"/>
            <w:vAlign w:val="center"/>
          </w:tcPr>
          <w:p w:rsidR="006F0A19" w:rsidRDefault="00FF63DA">
            <w:pPr>
              <w:jc w:val="center"/>
            </w:pPr>
            <w:r>
              <w:rPr>
                <w:color w:val="000000"/>
                <w:sz w:val="24"/>
                <w:szCs w:val="24"/>
              </w:rPr>
              <w:t>600690</w:t>
            </w:r>
          </w:p>
        </w:tc>
        <w:tc>
          <w:tcPr>
            <w:tcW w:w="1777" w:type="dxa"/>
            <w:vAlign w:val="center"/>
          </w:tcPr>
          <w:p w:rsidR="006F0A19" w:rsidRDefault="00FF63DA">
            <w:pPr>
              <w:jc w:val="center"/>
            </w:pPr>
            <w:r>
              <w:rPr>
                <w:color w:val="000000"/>
                <w:sz w:val="24"/>
                <w:szCs w:val="24"/>
              </w:rPr>
              <w:t>青岛海尔</w:t>
            </w:r>
          </w:p>
        </w:tc>
        <w:tc>
          <w:tcPr>
            <w:tcW w:w="1334" w:type="dxa"/>
            <w:vAlign w:val="center"/>
          </w:tcPr>
          <w:p w:rsidR="006F0A19" w:rsidRDefault="00FF63DA">
            <w:pPr>
              <w:jc w:val="right"/>
            </w:pPr>
            <w:r>
              <w:rPr>
                <w:color w:val="000000"/>
                <w:sz w:val="24"/>
                <w:szCs w:val="24"/>
              </w:rPr>
              <w:t>11,248,540</w:t>
            </w:r>
          </w:p>
        </w:tc>
        <w:tc>
          <w:tcPr>
            <w:tcW w:w="1924" w:type="dxa"/>
            <w:vAlign w:val="center"/>
          </w:tcPr>
          <w:p w:rsidR="006F0A19" w:rsidRDefault="00FF63DA">
            <w:pPr>
              <w:jc w:val="right"/>
            </w:pPr>
            <w:r>
              <w:rPr>
                <w:color w:val="000000"/>
                <w:sz w:val="24"/>
                <w:szCs w:val="24"/>
              </w:rPr>
              <w:t>166,028,450.40</w:t>
            </w:r>
          </w:p>
        </w:tc>
        <w:tc>
          <w:tcPr>
            <w:tcW w:w="1644" w:type="dxa"/>
            <w:vAlign w:val="center"/>
          </w:tcPr>
          <w:p w:rsidR="006F0A19" w:rsidRDefault="00FF63DA">
            <w:pPr>
              <w:jc w:val="right"/>
            </w:pPr>
            <w:r>
              <w:rPr>
                <w:color w:val="000000"/>
                <w:sz w:val="24"/>
                <w:szCs w:val="24"/>
              </w:rPr>
              <w:t>5.84</w:t>
            </w:r>
          </w:p>
        </w:tc>
      </w:tr>
      <w:tr w:rsidR="006F0A19">
        <w:trPr>
          <w:jc w:val="center"/>
        </w:trPr>
        <w:tc>
          <w:tcPr>
            <w:tcW w:w="855" w:type="dxa"/>
            <w:vAlign w:val="center"/>
          </w:tcPr>
          <w:p w:rsidR="006F0A19" w:rsidRDefault="00FF63DA">
            <w:pPr>
              <w:jc w:val="center"/>
            </w:pPr>
            <w:r>
              <w:rPr>
                <w:color w:val="000000"/>
                <w:sz w:val="24"/>
                <w:szCs w:val="24"/>
              </w:rPr>
              <w:t>2</w:t>
            </w:r>
          </w:p>
        </w:tc>
        <w:tc>
          <w:tcPr>
            <w:tcW w:w="1334" w:type="dxa"/>
            <w:vAlign w:val="center"/>
          </w:tcPr>
          <w:p w:rsidR="006F0A19" w:rsidRDefault="00FF63DA">
            <w:pPr>
              <w:jc w:val="center"/>
            </w:pPr>
            <w:r>
              <w:rPr>
                <w:color w:val="000000"/>
                <w:sz w:val="24"/>
                <w:szCs w:val="24"/>
              </w:rPr>
              <w:t>000550</w:t>
            </w:r>
          </w:p>
        </w:tc>
        <w:tc>
          <w:tcPr>
            <w:tcW w:w="1777" w:type="dxa"/>
            <w:vAlign w:val="center"/>
          </w:tcPr>
          <w:p w:rsidR="006F0A19" w:rsidRDefault="00FF63DA">
            <w:pPr>
              <w:jc w:val="center"/>
            </w:pPr>
            <w:r>
              <w:rPr>
                <w:color w:val="000000"/>
                <w:sz w:val="24"/>
                <w:szCs w:val="24"/>
              </w:rPr>
              <w:t>江铃汽车</w:t>
            </w:r>
          </w:p>
        </w:tc>
        <w:tc>
          <w:tcPr>
            <w:tcW w:w="1334" w:type="dxa"/>
            <w:vAlign w:val="center"/>
          </w:tcPr>
          <w:p w:rsidR="006F0A19" w:rsidRDefault="00FF63DA">
            <w:pPr>
              <w:jc w:val="right"/>
            </w:pPr>
            <w:r>
              <w:rPr>
                <w:color w:val="000000"/>
                <w:sz w:val="24"/>
                <w:szCs w:val="24"/>
              </w:rPr>
              <w:t>4,901,674</w:t>
            </w:r>
          </w:p>
        </w:tc>
        <w:tc>
          <w:tcPr>
            <w:tcW w:w="1924" w:type="dxa"/>
            <w:vAlign w:val="center"/>
          </w:tcPr>
          <w:p w:rsidR="006F0A19" w:rsidRDefault="00FF63DA">
            <w:pPr>
              <w:jc w:val="right"/>
            </w:pPr>
            <w:r>
              <w:rPr>
                <w:color w:val="000000"/>
                <w:sz w:val="24"/>
                <w:szCs w:val="24"/>
              </w:rPr>
              <w:t>142,050,512.52</w:t>
            </w:r>
          </w:p>
        </w:tc>
        <w:tc>
          <w:tcPr>
            <w:tcW w:w="1644" w:type="dxa"/>
            <w:vAlign w:val="center"/>
          </w:tcPr>
          <w:p w:rsidR="006F0A19" w:rsidRDefault="00FF63DA">
            <w:pPr>
              <w:jc w:val="right"/>
            </w:pPr>
            <w:r>
              <w:rPr>
                <w:color w:val="000000"/>
                <w:sz w:val="24"/>
                <w:szCs w:val="24"/>
              </w:rPr>
              <w:t>5.00</w:t>
            </w:r>
          </w:p>
        </w:tc>
      </w:tr>
      <w:tr w:rsidR="006F0A19">
        <w:trPr>
          <w:jc w:val="center"/>
        </w:trPr>
        <w:tc>
          <w:tcPr>
            <w:tcW w:w="855" w:type="dxa"/>
            <w:vAlign w:val="center"/>
          </w:tcPr>
          <w:p w:rsidR="006F0A19" w:rsidRDefault="00FF63DA">
            <w:pPr>
              <w:jc w:val="center"/>
            </w:pPr>
            <w:r>
              <w:rPr>
                <w:color w:val="000000"/>
                <w:sz w:val="24"/>
                <w:szCs w:val="24"/>
              </w:rPr>
              <w:t>3</w:t>
            </w:r>
          </w:p>
        </w:tc>
        <w:tc>
          <w:tcPr>
            <w:tcW w:w="1334" w:type="dxa"/>
            <w:vAlign w:val="center"/>
          </w:tcPr>
          <w:p w:rsidR="006F0A19" w:rsidRDefault="00FF63DA">
            <w:pPr>
              <w:jc w:val="center"/>
            </w:pPr>
            <w:r>
              <w:rPr>
                <w:color w:val="000000"/>
                <w:sz w:val="24"/>
                <w:szCs w:val="24"/>
              </w:rPr>
              <w:t>600109</w:t>
            </w:r>
          </w:p>
        </w:tc>
        <w:tc>
          <w:tcPr>
            <w:tcW w:w="1777" w:type="dxa"/>
            <w:vAlign w:val="center"/>
          </w:tcPr>
          <w:p w:rsidR="006F0A19" w:rsidRDefault="00FF63DA">
            <w:pPr>
              <w:jc w:val="center"/>
            </w:pPr>
            <w:r>
              <w:rPr>
                <w:color w:val="000000"/>
                <w:sz w:val="24"/>
                <w:szCs w:val="24"/>
              </w:rPr>
              <w:t>国金证券</w:t>
            </w:r>
          </w:p>
        </w:tc>
        <w:tc>
          <w:tcPr>
            <w:tcW w:w="1334" w:type="dxa"/>
            <w:vAlign w:val="center"/>
          </w:tcPr>
          <w:p w:rsidR="006F0A19" w:rsidRDefault="00FF63DA">
            <w:pPr>
              <w:jc w:val="right"/>
            </w:pPr>
            <w:r>
              <w:rPr>
                <w:color w:val="000000"/>
                <w:sz w:val="24"/>
                <w:szCs w:val="24"/>
              </w:rPr>
              <w:t>6,784,531</w:t>
            </w:r>
          </w:p>
        </w:tc>
        <w:tc>
          <w:tcPr>
            <w:tcW w:w="1924" w:type="dxa"/>
            <w:vAlign w:val="center"/>
          </w:tcPr>
          <w:p w:rsidR="006F0A19" w:rsidRDefault="00FF63DA">
            <w:pPr>
              <w:jc w:val="right"/>
            </w:pPr>
            <w:r>
              <w:rPr>
                <w:color w:val="000000"/>
                <w:sz w:val="24"/>
                <w:szCs w:val="24"/>
              </w:rPr>
              <w:t>134,808,630.97</w:t>
            </w:r>
          </w:p>
        </w:tc>
        <w:tc>
          <w:tcPr>
            <w:tcW w:w="1644" w:type="dxa"/>
            <w:vAlign w:val="center"/>
          </w:tcPr>
          <w:p w:rsidR="006F0A19" w:rsidRDefault="00FF63DA">
            <w:pPr>
              <w:jc w:val="right"/>
            </w:pPr>
            <w:r>
              <w:rPr>
                <w:color w:val="000000"/>
                <w:sz w:val="24"/>
                <w:szCs w:val="24"/>
              </w:rPr>
              <w:t>4.74</w:t>
            </w:r>
          </w:p>
        </w:tc>
      </w:tr>
      <w:tr w:rsidR="006F0A19">
        <w:trPr>
          <w:jc w:val="center"/>
        </w:trPr>
        <w:tc>
          <w:tcPr>
            <w:tcW w:w="855" w:type="dxa"/>
            <w:vAlign w:val="center"/>
          </w:tcPr>
          <w:p w:rsidR="006F0A19" w:rsidRDefault="00FF63DA">
            <w:pPr>
              <w:jc w:val="center"/>
            </w:pPr>
            <w:r>
              <w:rPr>
                <w:color w:val="000000"/>
                <w:sz w:val="24"/>
                <w:szCs w:val="24"/>
              </w:rPr>
              <w:t>4</w:t>
            </w:r>
          </w:p>
        </w:tc>
        <w:tc>
          <w:tcPr>
            <w:tcW w:w="1334" w:type="dxa"/>
            <w:vAlign w:val="center"/>
          </w:tcPr>
          <w:p w:rsidR="006F0A19" w:rsidRDefault="00FF63DA">
            <w:pPr>
              <w:jc w:val="center"/>
            </w:pPr>
            <w:r>
              <w:rPr>
                <w:color w:val="000000"/>
                <w:sz w:val="24"/>
                <w:szCs w:val="24"/>
              </w:rPr>
              <w:t>600763</w:t>
            </w:r>
          </w:p>
        </w:tc>
        <w:tc>
          <w:tcPr>
            <w:tcW w:w="1777" w:type="dxa"/>
            <w:vAlign w:val="center"/>
          </w:tcPr>
          <w:p w:rsidR="006F0A19" w:rsidRDefault="00FF63DA">
            <w:pPr>
              <w:jc w:val="center"/>
            </w:pPr>
            <w:r>
              <w:rPr>
                <w:color w:val="000000"/>
                <w:sz w:val="24"/>
                <w:szCs w:val="24"/>
              </w:rPr>
              <w:t>通策医疗</w:t>
            </w:r>
          </w:p>
        </w:tc>
        <w:tc>
          <w:tcPr>
            <w:tcW w:w="1334" w:type="dxa"/>
            <w:vAlign w:val="center"/>
          </w:tcPr>
          <w:p w:rsidR="006F0A19" w:rsidRDefault="00FF63DA">
            <w:pPr>
              <w:jc w:val="right"/>
            </w:pPr>
            <w:r>
              <w:rPr>
                <w:color w:val="000000"/>
                <w:sz w:val="24"/>
                <w:szCs w:val="24"/>
              </w:rPr>
              <w:t>2,725,953</w:t>
            </w:r>
          </w:p>
        </w:tc>
        <w:tc>
          <w:tcPr>
            <w:tcW w:w="1924" w:type="dxa"/>
            <w:vAlign w:val="center"/>
          </w:tcPr>
          <w:p w:rsidR="006F0A19" w:rsidRDefault="00FF63DA">
            <w:pPr>
              <w:jc w:val="right"/>
            </w:pPr>
            <w:r>
              <w:rPr>
                <w:color w:val="000000"/>
                <w:sz w:val="24"/>
                <w:szCs w:val="24"/>
              </w:rPr>
              <w:t>111,273,401.46</w:t>
            </w:r>
          </w:p>
        </w:tc>
        <w:tc>
          <w:tcPr>
            <w:tcW w:w="1644" w:type="dxa"/>
            <w:vAlign w:val="center"/>
          </w:tcPr>
          <w:p w:rsidR="006F0A19" w:rsidRDefault="00FF63DA">
            <w:pPr>
              <w:jc w:val="right"/>
            </w:pPr>
            <w:r>
              <w:rPr>
                <w:color w:val="000000"/>
                <w:sz w:val="24"/>
                <w:szCs w:val="24"/>
              </w:rPr>
              <w:t>3.91</w:t>
            </w:r>
          </w:p>
        </w:tc>
      </w:tr>
      <w:tr w:rsidR="006F0A19">
        <w:trPr>
          <w:jc w:val="center"/>
        </w:trPr>
        <w:tc>
          <w:tcPr>
            <w:tcW w:w="855" w:type="dxa"/>
            <w:vAlign w:val="center"/>
          </w:tcPr>
          <w:p w:rsidR="006F0A19" w:rsidRDefault="00FF63DA">
            <w:pPr>
              <w:jc w:val="center"/>
            </w:pPr>
            <w:r>
              <w:rPr>
                <w:color w:val="000000"/>
                <w:sz w:val="24"/>
                <w:szCs w:val="24"/>
              </w:rPr>
              <w:lastRenderedPageBreak/>
              <w:t>5</w:t>
            </w:r>
          </w:p>
        </w:tc>
        <w:tc>
          <w:tcPr>
            <w:tcW w:w="1334" w:type="dxa"/>
            <w:vAlign w:val="center"/>
          </w:tcPr>
          <w:p w:rsidR="006F0A19" w:rsidRDefault="00FF63DA">
            <w:pPr>
              <w:jc w:val="center"/>
            </w:pPr>
            <w:r>
              <w:rPr>
                <w:color w:val="000000"/>
                <w:sz w:val="24"/>
                <w:szCs w:val="24"/>
              </w:rPr>
              <w:t>600967</w:t>
            </w:r>
          </w:p>
        </w:tc>
        <w:tc>
          <w:tcPr>
            <w:tcW w:w="1777" w:type="dxa"/>
            <w:vAlign w:val="center"/>
          </w:tcPr>
          <w:p w:rsidR="006F0A19" w:rsidRDefault="00FF63DA">
            <w:pPr>
              <w:jc w:val="center"/>
            </w:pPr>
            <w:r>
              <w:rPr>
                <w:color w:val="000000"/>
                <w:sz w:val="24"/>
                <w:szCs w:val="24"/>
              </w:rPr>
              <w:t>北方创业</w:t>
            </w:r>
          </w:p>
        </w:tc>
        <w:tc>
          <w:tcPr>
            <w:tcW w:w="1334" w:type="dxa"/>
            <w:vAlign w:val="center"/>
          </w:tcPr>
          <w:p w:rsidR="006F0A19" w:rsidRDefault="00FF63DA">
            <w:pPr>
              <w:jc w:val="right"/>
            </w:pPr>
            <w:r>
              <w:rPr>
                <w:color w:val="000000"/>
                <w:sz w:val="24"/>
                <w:szCs w:val="24"/>
              </w:rPr>
              <w:t>8,171,629</w:t>
            </w:r>
          </w:p>
        </w:tc>
        <w:tc>
          <w:tcPr>
            <w:tcW w:w="1924" w:type="dxa"/>
            <w:vAlign w:val="center"/>
          </w:tcPr>
          <w:p w:rsidR="006F0A19" w:rsidRDefault="00FF63DA">
            <w:pPr>
              <w:jc w:val="right"/>
            </w:pPr>
            <w:r>
              <w:rPr>
                <w:color w:val="000000"/>
                <w:sz w:val="24"/>
                <w:szCs w:val="24"/>
              </w:rPr>
              <w:t>102,553,943.95</w:t>
            </w:r>
          </w:p>
        </w:tc>
        <w:tc>
          <w:tcPr>
            <w:tcW w:w="1644" w:type="dxa"/>
            <w:vAlign w:val="center"/>
          </w:tcPr>
          <w:p w:rsidR="006F0A19" w:rsidRDefault="00FF63DA">
            <w:pPr>
              <w:jc w:val="right"/>
            </w:pPr>
            <w:r>
              <w:rPr>
                <w:color w:val="000000"/>
                <w:sz w:val="24"/>
                <w:szCs w:val="24"/>
              </w:rPr>
              <w:t>3.61</w:t>
            </w:r>
          </w:p>
        </w:tc>
      </w:tr>
      <w:tr w:rsidR="006F0A19">
        <w:trPr>
          <w:jc w:val="center"/>
        </w:trPr>
        <w:tc>
          <w:tcPr>
            <w:tcW w:w="855" w:type="dxa"/>
            <w:vAlign w:val="center"/>
          </w:tcPr>
          <w:p w:rsidR="006F0A19" w:rsidRDefault="00FF63DA">
            <w:pPr>
              <w:jc w:val="center"/>
            </w:pPr>
            <w:r>
              <w:rPr>
                <w:color w:val="000000"/>
                <w:sz w:val="24"/>
                <w:szCs w:val="24"/>
              </w:rPr>
              <w:t>6</w:t>
            </w:r>
          </w:p>
        </w:tc>
        <w:tc>
          <w:tcPr>
            <w:tcW w:w="1334" w:type="dxa"/>
            <w:vAlign w:val="center"/>
          </w:tcPr>
          <w:p w:rsidR="006F0A19" w:rsidRDefault="00FF63DA">
            <w:pPr>
              <w:jc w:val="center"/>
            </w:pPr>
            <w:r>
              <w:rPr>
                <w:color w:val="000000"/>
                <w:sz w:val="24"/>
                <w:szCs w:val="24"/>
              </w:rPr>
              <w:t>600315</w:t>
            </w:r>
          </w:p>
        </w:tc>
        <w:tc>
          <w:tcPr>
            <w:tcW w:w="1777" w:type="dxa"/>
            <w:vAlign w:val="center"/>
          </w:tcPr>
          <w:p w:rsidR="006F0A19" w:rsidRDefault="00FF63DA">
            <w:pPr>
              <w:jc w:val="center"/>
            </w:pPr>
            <w:r>
              <w:rPr>
                <w:color w:val="000000"/>
                <w:sz w:val="24"/>
                <w:szCs w:val="24"/>
              </w:rPr>
              <w:t>上海家化</w:t>
            </w:r>
          </w:p>
        </w:tc>
        <w:tc>
          <w:tcPr>
            <w:tcW w:w="1334" w:type="dxa"/>
            <w:vAlign w:val="center"/>
          </w:tcPr>
          <w:p w:rsidR="006F0A19" w:rsidRDefault="00FF63DA">
            <w:pPr>
              <w:jc w:val="right"/>
            </w:pPr>
            <w:r>
              <w:rPr>
                <w:color w:val="000000"/>
                <w:sz w:val="24"/>
                <w:szCs w:val="24"/>
              </w:rPr>
              <w:t>2,764,527</w:t>
            </w:r>
          </w:p>
        </w:tc>
        <w:tc>
          <w:tcPr>
            <w:tcW w:w="1924" w:type="dxa"/>
            <w:vAlign w:val="center"/>
          </w:tcPr>
          <w:p w:rsidR="006F0A19" w:rsidRDefault="00FF63DA">
            <w:pPr>
              <w:jc w:val="right"/>
            </w:pPr>
            <w:r>
              <w:rPr>
                <w:color w:val="000000"/>
                <w:sz w:val="24"/>
                <w:szCs w:val="24"/>
              </w:rPr>
              <w:t>101,319,914.55</w:t>
            </w:r>
          </w:p>
        </w:tc>
        <w:tc>
          <w:tcPr>
            <w:tcW w:w="1644" w:type="dxa"/>
            <w:vAlign w:val="center"/>
          </w:tcPr>
          <w:p w:rsidR="006F0A19" w:rsidRDefault="00FF63DA">
            <w:pPr>
              <w:jc w:val="right"/>
            </w:pPr>
            <w:r>
              <w:rPr>
                <w:color w:val="000000"/>
                <w:sz w:val="24"/>
                <w:szCs w:val="24"/>
              </w:rPr>
              <w:t>3.56</w:t>
            </w:r>
          </w:p>
        </w:tc>
      </w:tr>
      <w:tr w:rsidR="006F0A19">
        <w:trPr>
          <w:jc w:val="center"/>
        </w:trPr>
        <w:tc>
          <w:tcPr>
            <w:tcW w:w="855" w:type="dxa"/>
            <w:vAlign w:val="center"/>
          </w:tcPr>
          <w:p w:rsidR="006F0A19" w:rsidRDefault="00FF63DA">
            <w:pPr>
              <w:jc w:val="center"/>
            </w:pPr>
            <w:r>
              <w:rPr>
                <w:color w:val="000000"/>
                <w:sz w:val="24"/>
                <w:szCs w:val="24"/>
              </w:rPr>
              <w:t>7</w:t>
            </w:r>
          </w:p>
        </w:tc>
        <w:tc>
          <w:tcPr>
            <w:tcW w:w="1334" w:type="dxa"/>
            <w:vAlign w:val="center"/>
          </w:tcPr>
          <w:p w:rsidR="006F0A19" w:rsidRDefault="00FF63DA">
            <w:pPr>
              <w:jc w:val="center"/>
            </w:pPr>
            <w:r>
              <w:rPr>
                <w:color w:val="000000"/>
                <w:sz w:val="24"/>
                <w:szCs w:val="24"/>
              </w:rPr>
              <w:t>300104</w:t>
            </w:r>
          </w:p>
        </w:tc>
        <w:tc>
          <w:tcPr>
            <w:tcW w:w="1777" w:type="dxa"/>
            <w:vAlign w:val="center"/>
          </w:tcPr>
          <w:p w:rsidR="006F0A19" w:rsidRDefault="00FF63DA">
            <w:pPr>
              <w:jc w:val="center"/>
            </w:pPr>
            <w:r>
              <w:rPr>
                <w:color w:val="000000"/>
                <w:sz w:val="24"/>
                <w:szCs w:val="24"/>
              </w:rPr>
              <w:t>乐视网</w:t>
            </w:r>
          </w:p>
        </w:tc>
        <w:tc>
          <w:tcPr>
            <w:tcW w:w="1334" w:type="dxa"/>
            <w:vAlign w:val="center"/>
          </w:tcPr>
          <w:p w:rsidR="006F0A19" w:rsidRDefault="00FF63DA">
            <w:pPr>
              <w:jc w:val="right"/>
            </w:pPr>
            <w:r>
              <w:rPr>
                <w:color w:val="000000"/>
                <w:sz w:val="24"/>
                <w:szCs w:val="24"/>
              </w:rPr>
              <w:t>2,280,792</w:t>
            </w:r>
          </w:p>
        </w:tc>
        <w:tc>
          <w:tcPr>
            <w:tcW w:w="1924" w:type="dxa"/>
            <w:vAlign w:val="center"/>
          </w:tcPr>
          <w:p w:rsidR="006F0A19" w:rsidRDefault="00FF63DA">
            <w:pPr>
              <w:jc w:val="right"/>
            </w:pPr>
            <w:r>
              <w:rPr>
                <w:color w:val="000000"/>
                <w:sz w:val="24"/>
                <w:szCs w:val="24"/>
              </w:rPr>
              <w:t>100,126,768.80</w:t>
            </w:r>
          </w:p>
        </w:tc>
        <w:tc>
          <w:tcPr>
            <w:tcW w:w="1644" w:type="dxa"/>
            <w:vAlign w:val="center"/>
          </w:tcPr>
          <w:p w:rsidR="006F0A19" w:rsidRDefault="00FF63DA">
            <w:pPr>
              <w:jc w:val="right"/>
            </w:pPr>
            <w:r>
              <w:rPr>
                <w:color w:val="000000"/>
                <w:sz w:val="24"/>
                <w:szCs w:val="24"/>
              </w:rPr>
              <w:t>3.52</w:t>
            </w:r>
          </w:p>
        </w:tc>
      </w:tr>
      <w:tr w:rsidR="006F0A19">
        <w:trPr>
          <w:jc w:val="center"/>
        </w:trPr>
        <w:tc>
          <w:tcPr>
            <w:tcW w:w="855" w:type="dxa"/>
            <w:vAlign w:val="center"/>
          </w:tcPr>
          <w:p w:rsidR="006F0A19" w:rsidRDefault="00FF63DA">
            <w:pPr>
              <w:jc w:val="center"/>
            </w:pPr>
            <w:r>
              <w:rPr>
                <w:color w:val="000000"/>
                <w:sz w:val="24"/>
                <w:szCs w:val="24"/>
              </w:rPr>
              <w:t>8</w:t>
            </w:r>
          </w:p>
        </w:tc>
        <w:tc>
          <w:tcPr>
            <w:tcW w:w="1334" w:type="dxa"/>
            <w:vAlign w:val="center"/>
          </w:tcPr>
          <w:p w:rsidR="006F0A19" w:rsidRDefault="00FF63DA">
            <w:pPr>
              <w:jc w:val="center"/>
            </w:pPr>
            <w:r>
              <w:rPr>
                <w:color w:val="000000"/>
                <w:sz w:val="24"/>
                <w:szCs w:val="24"/>
              </w:rPr>
              <w:t>300026</w:t>
            </w:r>
          </w:p>
        </w:tc>
        <w:tc>
          <w:tcPr>
            <w:tcW w:w="1777" w:type="dxa"/>
            <w:vAlign w:val="center"/>
          </w:tcPr>
          <w:p w:rsidR="006F0A19" w:rsidRDefault="00FF63DA">
            <w:pPr>
              <w:jc w:val="center"/>
            </w:pPr>
            <w:r>
              <w:rPr>
                <w:color w:val="000000"/>
                <w:sz w:val="24"/>
                <w:szCs w:val="24"/>
              </w:rPr>
              <w:t>红日药业</w:t>
            </w:r>
          </w:p>
        </w:tc>
        <w:tc>
          <w:tcPr>
            <w:tcW w:w="1334" w:type="dxa"/>
            <w:vAlign w:val="center"/>
          </w:tcPr>
          <w:p w:rsidR="006F0A19" w:rsidRDefault="00FF63DA">
            <w:pPr>
              <w:jc w:val="right"/>
            </w:pPr>
            <w:r>
              <w:rPr>
                <w:color w:val="000000"/>
                <w:sz w:val="24"/>
                <w:szCs w:val="24"/>
              </w:rPr>
              <w:t>3,006,810</w:t>
            </w:r>
          </w:p>
        </w:tc>
        <w:tc>
          <w:tcPr>
            <w:tcW w:w="1924" w:type="dxa"/>
            <w:vAlign w:val="center"/>
          </w:tcPr>
          <w:p w:rsidR="006F0A19" w:rsidRDefault="00FF63DA">
            <w:pPr>
              <w:jc w:val="right"/>
            </w:pPr>
            <w:r>
              <w:rPr>
                <w:color w:val="000000"/>
                <w:sz w:val="24"/>
                <w:szCs w:val="24"/>
              </w:rPr>
              <w:t>88,099,533.00</w:t>
            </w:r>
          </w:p>
        </w:tc>
        <w:tc>
          <w:tcPr>
            <w:tcW w:w="1644" w:type="dxa"/>
            <w:vAlign w:val="center"/>
          </w:tcPr>
          <w:p w:rsidR="006F0A19" w:rsidRDefault="00FF63DA">
            <w:pPr>
              <w:jc w:val="right"/>
            </w:pPr>
            <w:r>
              <w:rPr>
                <w:color w:val="000000"/>
                <w:sz w:val="24"/>
                <w:szCs w:val="24"/>
              </w:rPr>
              <w:t>3.10</w:t>
            </w:r>
          </w:p>
        </w:tc>
      </w:tr>
      <w:tr w:rsidR="006F0A19">
        <w:trPr>
          <w:jc w:val="center"/>
        </w:trPr>
        <w:tc>
          <w:tcPr>
            <w:tcW w:w="855" w:type="dxa"/>
            <w:vAlign w:val="center"/>
          </w:tcPr>
          <w:p w:rsidR="006F0A19" w:rsidRDefault="00FF63DA">
            <w:pPr>
              <w:jc w:val="center"/>
            </w:pPr>
            <w:r>
              <w:rPr>
                <w:color w:val="000000"/>
                <w:sz w:val="24"/>
                <w:szCs w:val="24"/>
              </w:rPr>
              <w:t>9</w:t>
            </w:r>
          </w:p>
        </w:tc>
        <w:tc>
          <w:tcPr>
            <w:tcW w:w="1334" w:type="dxa"/>
            <w:vAlign w:val="center"/>
          </w:tcPr>
          <w:p w:rsidR="006F0A19" w:rsidRDefault="00FF63DA">
            <w:pPr>
              <w:jc w:val="center"/>
            </w:pPr>
            <w:r>
              <w:rPr>
                <w:color w:val="000000"/>
                <w:sz w:val="24"/>
                <w:szCs w:val="24"/>
              </w:rPr>
              <w:t>600138</w:t>
            </w:r>
          </w:p>
        </w:tc>
        <w:tc>
          <w:tcPr>
            <w:tcW w:w="1777" w:type="dxa"/>
            <w:vAlign w:val="center"/>
          </w:tcPr>
          <w:p w:rsidR="006F0A19" w:rsidRDefault="00FF63DA">
            <w:pPr>
              <w:jc w:val="center"/>
            </w:pPr>
            <w:r>
              <w:rPr>
                <w:color w:val="000000"/>
                <w:sz w:val="24"/>
                <w:szCs w:val="24"/>
              </w:rPr>
              <w:t>中青旅</w:t>
            </w:r>
          </w:p>
        </w:tc>
        <w:tc>
          <w:tcPr>
            <w:tcW w:w="1334" w:type="dxa"/>
            <w:vAlign w:val="center"/>
          </w:tcPr>
          <w:p w:rsidR="006F0A19" w:rsidRDefault="00FF63DA">
            <w:pPr>
              <w:jc w:val="right"/>
            </w:pPr>
            <w:r>
              <w:rPr>
                <w:color w:val="000000"/>
                <w:sz w:val="24"/>
                <w:szCs w:val="24"/>
              </w:rPr>
              <w:t>3,765,659</w:t>
            </w:r>
          </w:p>
        </w:tc>
        <w:tc>
          <w:tcPr>
            <w:tcW w:w="1924" w:type="dxa"/>
            <w:vAlign w:val="center"/>
          </w:tcPr>
          <w:p w:rsidR="006F0A19" w:rsidRDefault="00FF63DA">
            <w:pPr>
              <w:jc w:val="right"/>
            </w:pPr>
            <w:r>
              <w:rPr>
                <w:color w:val="000000"/>
                <w:sz w:val="24"/>
                <w:szCs w:val="24"/>
              </w:rPr>
              <w:t>82,016,053.02</w:t>
            </w:r>
          </w:p>
        </w:tc>
        <w:tc>
          <w:tcPr>
            <w:tcW w:w="1644" w:type="dxa"/>
            <w:vAlign w:val="center"/>
          </w:tcPr>
          <w:p w:rsidR="006F0A19" w:rsidRDefault="00FF63DA">
            <w:pPr>
              <w:jc w:val="right"/>
            </w:pPr>
            <w:r>
              <w:rPr>
                <w:color w:val="000000"/>
                <w:sz w:val="24"/>
                <w:szCs w:val="24"/>
              </w:rPr>
              <w:t>2.89</w:t>
            </w:r>
          </w:p>
        </w:tc>
      </w:tr>
      <w:tr w:rsidR="006F0A19">
        <w:trPr>
          <w:jc w:val="center"/>
        </w:trPr>
        <w:tc>
          <w:tcPr>
            <w:tcW w:w="855" w:type="dxa"/>
            <w:vAlign w:val="center"/>
          </w:tcPr>
          <w:p w:rsidR="006F0A19" w:rsidRDefault="00FF63DA">
            <w:pPr>
              <w:jc w:val="center"/>
            </w:pPr>
            <w:r>
              <w:rPr>
                <w:color w:val="000000"/>
                <w:sz w:val="24"/>
                <w:szCs w:val="24"/>
              </w:rPr>
              <w:t>10</w:t>
            </w:r>
          </w:p>
        </w:tc>
        <w:tc>
          <w:tcPr>
            <w:tcW w:w="1334" w:type="dxa"/>
            <w:vAlign w:val="center"/>
          </w:tcPr>
          <w:p w:rsidR="006F0A19" w:rsidRDefault="00FF63DA">
            <w:pPr>
              <w:jc w:val="center"/>
            </w:pPr>
            <w:r>
              <w:rPr>
                <w:color w:val="000000"/>
                <w:sz w:val="24"/>
                <w:szCs w:val="24"/>
              </w:rPr>
              <w:t>300133</w:t>
            </w:r>
          </w:p>
        </w:tc>
        <w:tc>
          <w:tcPr>
            <w:tcW w:w="1777" w:type="dxa"/>
            <w:vAlign w:val="center"/>
          </w:tcPr>
          <w:p w:rsidR="006F0A19" w:rsidRDefault="00FF63DA">
            <w:pPr>
              <w:jc w:val="center"/>
            </w:pPr>
            <w:r>
              <w:rPr>
                <w:color w:val="000000"/>
                <w:sz w:val="24"/>
                <w:szCs w:val="24"/>
              </w:rPr>
              <w:t>华策影视</w:t>
            </w:r>
          </w:p>
        </w:tc>
        <w:tc>
          <w:tcPr>
            <w:tcW w:w="1334" w:type="dxa"/>
            <w:vAlign w:val="center"/>
          </w:tcPr>
          <w:p w:rsidR="006F0A19" w:rsidRDefault="00FF63DA">
            <w:pPr>
              <w:jc w:val="right"/>
            </w:pPr>
            <w:r>
              <w:rPr>
                <w:color w:val="000000"/>
                <w:sz w:val="24"/>
                <w:szCs w:val="24"/>
              </w:rPr>
              <w:t>2,280,703</w:t>
            </w:r>
          </w:p>
        </w:tc>
        <w:tc>
          <w:tcPr>
            <w:tcW w:w="1924" w:type="dxa"/>
            <w:vAlign w:val="center"/>
          </w:tcPr>
          <w:p w:rsidR="006F0A19" w:rsidRDefault="00FF63DA">
            <w:pPr>
              <w:jc w:val="right"/>
            </w:pPr>
            <w:r>
              <w:rPr>
                <w:color w:val="000000"/>
                <w:sz w:val="24"/>
                <w:szCs w:val="24"/>
              </w:rPr>
              <w:t>72,868,460.85</w:t>
            </w:r>
          </w:p>
        </w:tc>
        <w:tc>
          <w:tcPr>
            <w:tcW w:w="1644" w:type="dxa"/>
            <w:vAlign w:val="center"/>
          </w:tcPr>
          <w:p w:rsidR="006F0A19" w:rsidRDefault="00FF63DA">
            <w:pPr>
              <w:jc w:val="right"/>
            </w:pPr>
            <w:r>
              <w:rPr>
                <w:color w:val="000000"/>
                <w:sz w:val="24"/>
                <w:szCs w:val="24"/>
              </w:rPr>
              <w:t>2.56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109,982,000.00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3.87</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109,982,000.00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3.87</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21,329,840.00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0.75</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131,311,840.00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F0A19">
        <w:trPr>
          <w:jc w:val="center"/>
        </w:trPr>
        <w:tc>
          <w:tcPr>
            <w:tcW w:w="850" w:type="dxa"/>
            <w:vAlign w:val="center"/>
          </w:tcPr>
          <w:p w:rsidR="006F0A19" w:rsidRDefault="00FF63DA">
            <w:pPr>
              <w:jc w:val="center"/>
            </w:pPr>
            <w:r>
              <w:rPr>
                <w:color w:val="000000"/>
                <w:sz w:val="24"/>
                <w:szCs w:val="24"/>
              </w:rPr>
              <w:t>1</w:t>
            </w:r>
          </w:p>
        </w:tc>
        <w:tc>
          <w:tcPr>
            <w:tcW w:w="1475" w:type="dxa"/>
            <w:vAlign w:val="center"/>
          </w:tcPr>
          <w:p w:rsidR="006F0A19" w:rsidRDefault="00FF63DA">
            <w:pPr>
              <w:jc w:val="center"/>
            </w:pPr>
            <w:r>
              <w:rPr>
                <w:color w:val="000000"/>
                <w:sz w:val="24"/>
                <w:szCs w:val="24"/>
              </w:rPr>
              <w:t>130227</w:t>
            </w:r>
          </w:p>
        </w:tc>
        <w:tc>
          <w:tcPr>
            <w:tcW w:w="1769" w:type="dxa"/>
            <w:vAlign w:val="center"/>
          </w:tcPr>
          <w:p w:rsidR="006F0A19" w:rsidRDefault="00FF63DA">
            <w:pPr>
              <w:jc w:val="center"/>
            </w:pPr>
            <w:r>
              <w:rPr>
                <w:color w:val="000000"/>
                <w:sz w:val="24"/>
                <w:szCs w:val="24"/>
              </w:rPr>
              <w:t>13</w:t>
            </w:r>
            <w:r>
              <w:rPr>
                <w:color w:val="000000"/>
                <w:sz w:val="24"/>
                <w:szCs w:val="24"/>
              </w:rPr>
              <w:t>国开</w:t>
            </w:r>
            <w:r>
              <w:rPr>
                <w:color w:val="000000"/>
                <w:sz w:val="24"/>
                <w:szCs w:val="24"/>
              </w:rPr>
              <w:t>27</w:t>
            </w:r>
          </w:p>
        </w:tc>
        <w:tc>
          <w:tcPr>
            <w:tcW w:w="1387" w:type="dxa"/>
            <w:vAlign w:val="center"/>
          </w:tcPr>
          <w:p w:rsidR="006F0A19" w:rsidRDefault="00FF63DA">
            <w:pPr>
              <w:jc w:val="right"/>
            </w:pPr>
            <w:r>
              <w:rPr>
                <w:color w:val="000000"/>
                <w:sz w:val="24"/>
                <w:szCs w:val="24"/>
              </w:rPr>
              <w:t>500,000</w:t>
            </w:r>
          </w:p>
        </w:tc>
        <w:tc>
          <w:tcPr>
            <w:tcW w:w="2150" w:type="dxa"/>
            <w:vAlign w:val="center"/>
          </w:tcPr>
          <w:p w:rsidR="006F0A19" w:rsidRDefault="00FF63DA">
            <w:pPr>
              <w:jc w:val="right"/>
            </w:pPr>
            <w:r>
              <w:rPr>
                <w:color w:val="000000"/>
                <w:sz w:val="24"/>
                <w:szCs w:val="24"/>
              </w:rPr>
              <w:t>50,000,000.00</w:t>
            </w:r>
          </w:p>
        </w:tc>
        <w:tc>
          <w:tcPr>
            <w:tcW w:w="1237" w:type="dxa"/>
            <w:vAlign w:val="center"/>
          </w:tcPr>
          <w:p w:rsidR="006F0A19" w:rsidRDefault="00FF63DA">
            <w:pPr>
              <w:jc w:val="right"/>
            </w:pPr>
            <w:r>
              <w:rPr>
                <w:color w:val="000000"/>
                <w:sz w:val="24"/>
                <w:szCs w:val="24"/>
              </w:rPr>
              <w:t>1.76</w:t>
            </w:r>
          </w:p>
        </w:tc>
      </w:tr>
      <w:tr w:rsidR="006F0A19">
        <w:trPr>
          <w:jc w:val="center"/>
        </w:trPr>
        <w:tc>
          <w:tcPr>
            <w:tcW w:w="850" w:type="dxa"/>
            <w:vAlign w:val="center"/>
          </w:tcPr>
          <w:p w:rsidR="006F0A19" w:rsidRDefault="00FF63DA">
            <w:pPr>
              <w:jc w:val="center"/>
            </w:pPr>
            <w:r>
              <w:rPr>
                <w:color w:val="000000"/>
                <w:sz w:val="24"/>
                <w:szCs w:val="24"/>
              </w:rPr>
              <w:t>2</w:t>
            </w:r>
          </w:p>
        </w:tc>
        <w:tc>
          <w:tcPr>
            <w:tcW w:w="1475" w:type="dxa"/>
            <w:vAlign w:val="center"/>
          </w:tcPr>
          <w:p w:rsidR="006F0A19" w:rsidRDefault="00FF63DA">
            <w:pPr>
              <w:jc w:val="center"/>
            </w:pPr>
            <w:r>
              <w:rPr>
                <w:color w:val="000000"/>
                <w:sz w:val="24"/>
                <w:szCs w:val="24"/>
              </w:rPr>
              <w:t>140207</w:t>
            </w:r>
          </w:p>
        </w:tc>
        <w:tc>
          <w:tcPr>
            <w:tcW w:w="1769" w:type="dxa"/>
            <w:vAlign w:val="center"/>
          </w:tcPr>
          <w:p w:rsidR="006F0A19" w:rsidRDefault="00FF63DA">
            <w:pPr>
              <w:jc w:val="center"/>
            </w:pPr>
            <w:r>
              <w:rPr>
                <w:color w:val="000000"/>
                <w:sz w:val="24"/>
                <w:szCs w:val="24"/>
              </w:rPr>
              <w:t>14</w:t>
            </w:r>
            <w:r>
              <w:rPr>
                <w:color w:val="000000"/>
                <w:sz w:val="24"/>
                <w:szCs w:val="24"/>
              </w:rPr>
              <w:t>国开</w:t>
            </w:r>
            <w:r>
              <w:rPr>
                <w:color w:val="000000"/>
                <w:sz w:val="24"/>
                <w:szCs w:val="24"/>
              </w:rPr>
              <w:t>07</w:t>
            </w:r>
          </w:p>
        </w:tc>
        <w:tc>
          <w:tcPr>
            <w:tcW w:w="1387" w:type="dxa"/>
            <w:vAlign w:val="center"/>
          </w:tcPr>
          <w:p w:rsidR="006F0A19" w:rsidRDefault="00FF63DA">
            <w:pPr>
              <w:jc w:val="right"/>
            </w:pPr>
            <w:r>
              <w:rPr>
                <w:color w:val="000000"/>
                <w:sz w:val="24"/>
                <w:szCs w:val="24"/>
              </w:rPr>
              <w:t>300,000</w:t>
            </w:r>
          </w:p>
        </w:tc>
        <w:tc>
          <w:tcPr>
            <w:tcW w:w="2150" w:type="dxa"/>
            <w:vAlign w:val="center"/>
          </w:tcPr>
          <w:p w:rsidR="006F0A19" w:rsidRDefault="00FF63DA">
            <w:pPr>
              <w:jc w:val="right"/>
            </w:pPr>
            <w:r>
              <w:rPr>
                <w:color w:val="000000"/>
                <w:sz w:val="24"/>
                <w:szCs w:val="24"/>
              </w:rPr>
              <w:t>30,108,000.00</w:t>
            </w:r>
          </w:p>
        </w:tc>
        <w:tc>
          <w:tcPr>
            <w:tcW w:w="1237" w:type="dxa"/>
            <w:vAlign w:val="center"/>
          </w:tcPr>
          <w:p w:rsidR="006F0A19" w:rsidRDefault="00FF63DA">
            <w:pPr>
              <w:jc w:val="right"/>
            </w:pPr>
            <w:r>
              <w:rPr>
                <w:color w:val="000000"/>
                <w:sz w:val="24"/>
                <w:szCs w:val="24"/>
              </w:rPr>
              <w:t>1.06</w:t>
            </w:r>
          </w:p>
        </w:tc>
      </w:tr>
      <w:tr w:rsidR="006F0A19">
        <w:trPr>
          <w:jc w:val="center"/>
        </w:trPr>
        <w:tc>
          <w:tcPr>
            <w:tcW w:w="850" w:type="dxa"/>
            <w:vAlign w:val="center"/>
          </w:tcPr>
          <w:p w:rsidR="006F0A19" w:rsidRDefault="00FF63DA">
            <w:pPr>
              <w:jc w:val="center"/>
            </w:pPr>
            <w:r>
              <w:rPr>
                <w:color w:val="000000"/>
                <w:sz w:val="24"/>
                <w:szCs w:val="24"/>
              </w:rPr>
              <w:t>3</w:t>
            </w:r>
          </w:p>
        </w:tc>
        <w:tc>
          <w:tcPr>
            <w:tcW w:w="1475" w:type="dxa"/>
            <w:vAlign w:val="center"/>
          </w:tcPr>
          <w:p w:rsidR="006F0A19" w:rsidRDefault="00FF63DA">
            <w:pPr>
              <w:jc w:val="center"/>
            </w:pPr>
            <w:r>
              <w:rPr>
                <w:color w:val="000000"/>
                <w:sz w:val="24"/>
                <w:szCs w:val="24"/>
              </w:rPr>
              <w:t>120204</w:t>
            </w:r>
          </w:p>
        </w:tc>
        <w:tc>
          <w:tcPr>
            <w:tcW w:w="1769" w:type="dxa"/>
            <w:vAlign w:val="center"/>
          </w:tcPr>
          <w:p w:rsidR="006F0A19" w:rsidRDefault="00FF63DA">
            <w:pPr>
              <w:jc w:val="center"/>
            </w:pPr>
            <w:r>
              <w:rPr>
                <w:color w:val="000000"/>
                <w:sz w:val="24"/>
                <w:szCs w:val="24"/>
              </w:rPr>
              <w:t>12</w:t>
            </w:r>
            <w:r>
              <w:rPr>
                <w:color w:val="000000"/>
                <w:sz w:val="24"/>
                <w:szCs w:val="24"/>
              </w:rPr>
              <w:t>国开</w:t>
            </w:r>
            <w:r>
              <w:rPr>
                <w:color w:val="000000"/>
                <w:sz w:val="24"/>
                <w:szCs w:val="24"/>
              </w:rPr>
              <w:t>04</w:t>
            </w:r>
          </w:p>
        </w:tc>
        <w:tc>
          <w:tcPr>
            <w:tcW w:w="1387" w:type="dxa"/>
            <w:vAlign w:val="center"/>
          </w:tcPr>
          <w:p w:rsidR="006F0A19" w:rsidRDefault="00FF63DA">
            <w:pPr>
              <w:jc w:val="right"/>
            </w:pPr>
            <w:r>
              <w:rPr>
                <w:color w:val="000000"/>
                <w:sz w:val="24"/>
                <w:szCs w:val="24"/>
              </w:rPr>
              <w:t>300,000</w:t>
            </w:r>
          </w:p>
        </w:tc>
        <w:tc>
          <w:tcPr>
            <w:tcW w:w="2150" w:type="dxa"/>
            <w:vAlign w:val="center"/>
          </w:tcPr>
          <w:p w:rsidR="006F0A19" w:rsidRDefault="00FF63DA">
            <w:pPr>
              <w:jc w:val="right"/>
            </w:pPr>
            <w:r>
              <w:rPr>
                <w:color w:val="000000"/>
                <w:sz w:val="24"/>
                <w:szCs w:val="24"/>
              </w:rPr>
              <w:t>29,874,000.00</w:t>
            </w:r>
          </w:p>
        </w:tc>
        <w:tc>
          <w:tcPr>
            <w:tcW w:w="1237" w:type="dxa"/>
            <w:vAlign w:val="center"/>
          </w:tcPr>
          <w:p w:rsidR="006F0A19" w:rsidRDefault="00FF63DA">
            <w:pPr>
              <w:jc w:val="right"/>
            </w:pPr>
            <w:r>
              <w:rPr>
                <w:color w:val="000000"/>
                <w:sz w:val="24"/>
                <w:szCs w:val="24"/>
              </w:rPr>
              <w:t>1.05</w:t>
            </w:r>
          </w:p>
        </w:tc>
      </w:tr>
      <w:tr w:rsidR="006F0A19">
        <w:trPr>
          <w:jc w:val="center"/>
        </w:trPr>
        <w:tc>
          <w:tcPr>
            <w:tcW w:w="850" w:type="dxa"/>
            <w:vAlign w:val="center"/>
          </w:tcPr>
          <w:p w:rsidR="006F0A19" w:rsidRDefault="00FF63DA">
            <w:pPr>
              <w:jc w:val="center"/>
            </w:pPr>
            <w:r>
              <w:rPr>
                <w:color w:val="000000"/>
                <w:sz w:val="24"/>
                <w:szCs w:val="24"/>
              </w:rPr>
              <w:t>4</w:t>
            </w:r>
          </w:p>
        </w:tc>
        <w:tc>
          <w:tcPr>
            <w:tcW w:w="1475" w:type="dxa"/>
            <w:vAlign w:val="center"/>
          </w:tcPr>
          <w:p w:rsidR="006F0A19" w:rsidRDefault="00FF63DA">
            <w:pPr>
              <w:jc w:val="center"/>
            </w:pPr>
            <w:r>
              <w:rPr>
                <w:color w:val="000000"/>
                <w:sz w:val="24"/>
                <w:szCs w:val="24"/>
              </w:rPr>
              <w:t>110025</w:t>
            </w:r>
          </w:p>
        </w:tc>
        <w:tc>
          <w:tcPr>
            <w:tcW w:w="1769" w:type="dxa"/>
            <w:vAlign w:val="center"/>
          </w:tcPr>
          <w:p w:rsidR="006F0A19" w:rsidRDefault="00FF63DA">
            <w:pPr>
              <w:jc w:val="center"/>
            </w:pPr>
            <w:r>
              <w:rPr>
                <w:color w:val="000000"/>
                <w:sz w:val="24"/>
                <w:szCs w:val="24"/>
              </w:rPr>
              <w:t>国金转债</w:t>
            </w:r>
          </w:p>
        </w:tc>
        <w:tc>
          <w:tcPr>
            <w:tcW w:w="1387" w:type="dxa"/>
            <w:vAlign w:val="center"/>
          </w:tcPr>
          <w:p w:rsidR="006F0A19" w:rsidRDefault="00FF63DA">
            <w:pPr>
              <w:jc w:val="right"/>
            </w:pPr>
            <w:r>
              <w:rPr>
                <w:color w:val="000000"/>
                <w:sz w:val="24"/>
                <w:szCs w:val="24"/>
              </w:rPr>
              <w:t>185,800</w:t>
            </w:r>
          </w:p>
        </w:tc>
        <w:tc>
          <w:tcPr>
            <w:tcW w:w="2150" w:type="dxa"/>
            <w:vAlign w:val="center"/>
          </w:tcPr>
          <w:p w:rsidR="006F0A19" w:rsidRDefault="00FF63DA">
            <w:pPr>
              <w:jc w:val="right"/>
            </w:pPr>
            <w:r>
              <w:rPr>
                <w:color w:val="000000"/>
                <w:sz w:val="24"/>
                <w:szCs w:val="24"/>
              </w:rPr>
              <w:t>21,329,840.00</w:t>
            </w:r>
          </w:p>
        </w:tc>
        <w:tc>
          <w:tcPr>
            <w:tcW w:w="1237" w:type="dxa"/>
            <w:vAlign w:val="center"/>
          </w:tcPr>
          <w:p w:rsidR="006F0A19" w:rsidRDefault="00FF63DA">
            <w:pPr>
              <w:jc w:val="right"/>
            </w:pPr>
            <w:r>
              <w:rPr>
                <w:color w:val="000000"/>
                <w:sz w:val="24"/>
                <w:szCs w:val="24"/>
              </w:rPr>
              <w:t>0.75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ED05C6" w:rsidRPr="00ED05C6" w:rsidRDefault="00BE5388" w:rsidP="00ED05C6">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0045106E">
        <w:rPr>
          <w:rFonts w:hint="eastAsia"/>
          <w:bCs/>
          <w:color w:val="000000"/>
          <w:kern w:val="0"/>
          <w:sz w:val="24"/>
          <w:szCs w:val="24"/>
        </w:rPr>
        <w:t xml:space="preserve"> </w:t>
      </w:r>
      <w:r w:rsidR="00ED05C6" w:rsidRPr="00ED05C6">
        <w:rPr>
          <w:rFonts w:hint="eastAsia"/>
          <w:bCs/>
          <w:color w:val="000000"/>
          <w:kern w:val="0"/>
          <w:sz w:val="24"/>
          <w:szCs w:val="24"/>
        </w:rPr>
        <w:t>报告期内本基金投资的前十名证券的发行主体除上海家化（证券代码：</w:t>
      </w:r>
      <w:r w:rsidR="00ED05C6" w:rsidRPr="00ED05C6">
        <w:rPr>
          <w:bCs/>
          <w:color w:val="000000"/>
          <w:kern w:val="0"/>
          <w:sz w:val="24"/>
          <w:szCs w:val="24"/>
        </w:rPr>
        <w:t>600315</w:t>
      </w:r>
      <w:r w:rsidR="00ED05C6" w:rsidRPr="00ED05C6">
        <w:rPr>
          <w:rFonts w:hint="eastAsia"/>
          <w:bCs/>
          <w:color w:val="000000"/>
          <w:kern w:val="0"/>
          <w:sz w:val="24"/>
          <w:szCs w:val="24"/>
        </w:rPr>
        <w:t>）外，未出现被监管部门立案调查，或在报告编制日前一年内受到公开谴责、处罚的情形。</w:t>
      </w:r>
    </w:p>
    <w:p w:rsidR="00ED05C6" w:rsidRPr="00ED05C6" w:rsidRDefault="00ED05C6" w:rsidP="00ED05C6">
      <w:pPr>
        <w:autoSpaceDE w:val="0"/>
        <w:autoSpaceDN w:val="0"/>
        <w:adjustRightInd w:val="0"/>
        <w:spacing w:before="29" w:line="288" w:lineRule="auto"/>
        <w:jc w:val="left"/>
        <w:rPr>
          <w:bCs/>
          <w:color w:val="000000"/>
          <w:kern w:val="0"/>
          <w:sz w:val="24"/>
          <w:szCs w:val="24"/>
        </w:rPr>
      </w:pPr>
      <w:r w:rsidRPr="00ED05C6">
        <w:rPr>
          <w:rFonts w:hint="eastAsia"/>
          <w:bCs/>
          <w:color w:val="000000"/>
          <w:kern w:val="0"/>
          <w:sz w:val="24"/>
          <w:szCs w:val="24"/>
        </w:rPr>
        <w:t>报告期内本基金投资的前十名证券之一上海家化（证券代码：</w:t>
      </w:r>
      <w:r w:rsidRPr="00ED05C6">
        <w:rPr>
          <w:bCs/>
          <w:color w:val="000000"/>
          <w:kern w:val="0"/>
          <w:sz w:val="24"/>
          <w:szCs w:val="24"/>
        </w:rPr>
        <w:t>600315</w:t>
      </w:r>
      <w:r w:rsidRPr="00ED05C6">
        <w:rPr>
          <w:rFonts w:hint="eastAsia"/>
          <w:bCs/>
          <w:color w:val="000000"/>
          <w:kern w:val="0"/>
          <w:sz w:val="24"/>
          <w:szCs w:val="24"/>
        </w:rPr>
        <w:t>）于</w:t>
      </w:r>
      <w:r w:rsidRPr="00ED05C6">
        <w:rPr>
          <w:bCs/>
          <w:color w:val="000000"/>
          <w:kern w:val="0"/>
          <w:sz w:val="24"/>
          <w:szCs w:val="24"/>
        </w:rPr>
        <w:t>2013</w:t>
      </w:r>
      <w:r w:rsidRPr="00ED05C6">
        <w:rPr>
          <w:rFonts w:hint="eastAsia"/>
          <w:bCs/>
          <w:color w:val="000000"/>
          <w:kern w:val="0"/>
          <w:sz w:val="24"/>
          <w:szCs w:val="24"/>
        </w:rPr>
        <w:t>年</w:t>
      </w:r>
      <w:r w:rsidRPr="00ED05C6">
        <w:rPr>
          <w:bCs/>
          <w:color w:val="000000"/>
          <w:kern w:val="0"/>
          <w:sz w:val="24"/>
          <w:szCs w:val="24"/>
        </w:rPr>
        <w:t>11</w:t>
      </w:r>
      <w:r w:rsidRPr="00ED05C6">
        <w:rPr>
          <w:rFonts w:hint="eastAsia"/>
          <w:bCs/>
          <w:color w:val="000000"/>
          <w:kern w:val="0"/>
          <w:sz w:val="24"/>
          <w:szCs w:val="24"/>
        </w:rPr>
        <w:t>月</w:t>
      </w:r>
      <w:r w:rsidRPr="00ED05C6">
        <w:rPr>
          <w:bCs/>
          <w:color w:val="000000"/>
          <w:kern w:val="0"/>
          <w:sz w:val="24"/>
          <w:szCs w:val="24"/>
        </w:rPr>
        <w:t>21</w:t>
      </w:r>
      <w:r w:rsidRPr="00ED05C6">
        <w:rPr>
          <w:rFonts w:hint="eastAsia"/>
          <w:bCs/>
          <w:color w:val="000000"/>
          <w:kern w:val="0"/>
          <w:sz w:val="24"/>
          <w:szCs w:val="24"/>
        </w:rPr>
        <w:t>日公告，公司于</w:t>
      </w:r>
      <w:r w:rsidRPr="00ED05C6">
        <w:rPr>
          <w:bCs/>
          <w:color w:val="000000"/>
          <w:kern w:val="0"/>
          <w:sz w:val="24"/>
          <w:szCs w:val="24"/>
        </w:rPr>
        <w:t>2013</w:t>
      </w:r>
      <w:r w:rsidRPr="00ED05C6">
        <w:rPr>
          <w:rFonts w:hint="eastAsia"/>
          <w:bCs/>
          <w:color w:val="000000"/>
          <w:kern w:val="0"/>
          <w:sz w:val="24"/>
          <w:szCs w:val="24"/>
        </w:rPr>
        <w:t>年</w:t>
      </w:r>
      <w:r w:rsidRPr="00ED05C6">
        <w:rPr>
          <w:bCs/>
          <w:color w:val="000000"/>
          <w:kern w:val="0"/>
          <w:sz w:val="24"/>
          <w:szCs w:val="24"/>
        </w:rPr>
        <w:t>11</w:t>
      </w:r>
      <w:r w:rsidRPr="00ED05C6">
        <w:rPr>
          <w:rFonts w:hint="eastAsia"/>
          <w:bCs/>
          <w:color w:val="000000"/>
          <w:kern w:val="0"/>
          <w:sz w:val="24"/>
          <w:szCs w:val="24"/>
        </w:rPr>
        <w:t>月</w:t>
      </w:r>
      <w:r w:rsidRPr="00ED05C6">
        <w:rPr>
          <w:bCs/>
          <w:color w:val="000000"/>
          <w:kern w:val="0"/>
          <w:sz w:val="24"/>
          <w:szCs w:val="24"/>
        </w:rPr>
        <w:t>20</w:t>
      </w:r>
      <w:r w:rsidRPr="00ED05C6">
        <w:rPr>
          <w:rFonts w:hint="eastAsia"/>
          <w:bCs/>
          <w:color w:val="000000"/>
          <w:kern w:val="0"/>
          <w:sz w:val="24"/>
          <w:szCs w:val="24"/>
        </w:rPr>
        <w:t>日收到中国证券监督管理委员会《调查通知书》及上海证监局《行政监管措施决定书》，据此上海家化已于</w:t>
      </w:r>
      <w:r w:rsidRPr="00ED05C6">
        <w:rPr>
          <w:bCs/>
          <w:color w:val="000000"/>
          <w:kern w:val="0"/>
          <w:sz w:val="24"/>
          <w:szCs w:val="24"/>
        </w:rPr>
        <w:t>2013</w:t>
      </w:r>
      <w:r w:rsidRPr="00ED05C6">
        <w:rPr>
          <w:rFonts w:hint="eastAsia"/>
          <w:bCs/>
          <w:color w:val="000000"/>
          <w:kern w:val="0"/>
          <w:sz w:val="24"/>
          <w:szCs w:val="24"/>
        </w:rPr>
        <w:t>年</w:t>
      </w:r>
      <w:r w:rsidRPr="00ED05C6">
        <w:rPr>
          <w:bCs/>
          <w:color w:val="000000"/>
          <w:kern w:val="0"/>
          <w:sz w:val="24"/>
          <w:szCs w:val="24"/>
        </w:rPr>
        <w:t>12</w:t>
      </w:r>
      <w:r w:rsidRPr="00ED05C6">
        <w:rPr>
          <w:rFonts w:hint="eastAsia"/>
          <w:bCs/>
          <w:color w:val="000000"/>
          <w:kern w:val="0"/>
          <w:sz w:val="24"/>
          <w:szCs w:val="24"/>
        </w:rPr>
        <w:t>月</w:t>
      </w:r>
      <w:r w:rsidRPr="00ED05C6">
        <w:rPr>
          <w:bCs/>
          <w:color w:val="000000"/>
          <w:kern w:val="0"/>
          <w:sz w:val="24"/>
          <w:szCs w:val="24"/>
        </w:rPr>
        <w:t>18</w:t>
      </w:r>
      <w:r w:rsidRPr="00ED05C6">
        <w:rPr>
          <w:rFonts w:hint="eastAsia"/>
          <w:bCs/>
          <w:color w:val="000000"/>
          <w:kern w:val="0"/>
          <w:sz w:val="24"/>
          <w:szCs w:val="24"/>
        </w:rPr>
        <w:t>日公告，按照上海证监局要求对关联交易进行了相关信息披露。证监会对于关联交易的调查还在进行中，截止</w:t>
      </w:r>
      <w:r w:rsidRPr="00ED05C6">
        <w:rPr>
          <w:bCs/>
          <w:color w:val="000000"/>
          <w:kern w:val="0"/>
          <w:sz w:val="24"/>
          <w:szCs w:val="24"/>
        </w:rPr>
        <w:t>2014</w:t>
      </w:r>
      <w:r w:rsidRPr="00ED05C6">
        <w:rPr>
          <w:rFonts w:hint="eastAsia"/>
          <w:bCs/>
          <w:color w:val="000000"/>
          <w:kern w:val="0"/>
          <w:sz w:val="24"/>
          <w:szCs w:val="24"/>
        </w:rPr>
        <w:t>年</w:t>
      </w:r>
      <w:r w:rsidRPr="00ED05C6">
        <w:rPr>
          <w:bCs/>
          <w:color w:val="000000"/>
          <w:kern w:val="0"/>
          <w:sz w:val="24"/>
          <w:szCs w:val="24"/>
        </w:rPr>
        <w:t>6</w:t>
      </w:r>
      <w:r w:rsidRPr="00ED05C6">
        <w:rPr>
          <w:rFonts w:hint="eastAsia"/>
          <w:bCs/>
          <w:color w:val="000000"/>
          <w:kern w:val="0"/>
          <w:sz w:val="24"/>
          <w:szCs w:val="24"/>
        </w:rPr>
        <w:t>月</w:t>
      </w:r>
      <w:r w:rsidRPr="00ED05C6">
        <w:rPr>
          <w:bCs/>
          <w:color w:val="000000"/>
          <w:kern w:val="0"/>
          <w:sz w:val="24"/>
          <w:szCs w:val="24"/>
        </w:rPr>
        <w:t>30</w:t>
      </w:r>
      <w:r w:rsidRPr="00ED05C6">
        <w:rPr>
          <w:rFonts w:hint="eastAsia"/>
          <w:bCs/>
          <w:color w:val="000000"/>
          <w:kern w:val="0"/>
          <w:sz w:val="24"/>
          <w:szCs w:val="24"/>
        </w:rPr>
        <w:t>日尚未作出任何决定。</w:t>
      </w:r>
    </w:p>
    <w:p w:rsidR="00BE5388" w:rsidRPr="00BE5388" w:rsidRDefault="00ED05C6" w:rsidP="001A2299">
      <w:pPr>
        <w:autoSpaceDE w:val="0"/>
        <w:autoSpaceDN w:val="0"/>
        <w:adjustRightInd w:val="0"/>
        <w:spacing w:before="29" w:line="288" w:lineRule="auto"/>
        <w:ind w:firstLine="420"/>
        <w:jc w:val="left"/>
        <w:rPr>
          <w:bCs/>
          <w:color w:val="000000"/>
          <w:kern w:val="0"/>
          <w:sz w:val="24"/>
          <w:szCs w:val="24"/>
        </w:rPr>
      </w:pPr>
      <w:r w:rsidRPr="00ED05C6">
        <w:rPr>
          <w:rFonts w:hint="eastAsia"/>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此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0045106E">
        <w:rPr>
          <w:rFonts w:hint="eastAsia"/>
          <w:bCs/>
          <w:color w:val="000000"/>
          <w:kern w:val="0"/>
          <w:sz w:val="24"/>
          <w:szCs w:val="24"/>
        </w:rPr>
        <w:t xml:space="preserve"> </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899,145.80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2,799,489.59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154,153.57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3,852,788.96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3,080,192,277.75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22,154,077.82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360,224,255.74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2,742,122,099.83</w:t>
            </w:r>
          </w:p>
        </w:tc>
      </w:tr>
    </w:tbl>
    <w:p w:rsidR="006F0A19" w:rsidRDefault="00FF63D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F63DA">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86,161,914.71</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86,161,914.71</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lastRenderedPageBreak/>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3.14</w:t>
            </w:r>
          </w:p>
        </w:tc>
      </w:tr>
    </w:tbl>
    <w:p w:rsidR="006F0A19" w:rsidRDefault="00FF63D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320300" w:rsidRDefault="00410630" w:rsidP="00C15CAC">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FF63DA">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6F0A19" w:rsidRDefault="00FF63D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6F0A19" w:rsidRDefault="00FF63D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6F0A19" w:rsidRDefault="00FF63D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6F0A19" w:rsidRDefault="00FF63D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6F0A19" w:rsidRDefault="00FF63DA">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6F0A19" w:rsidRDefault="00FF63D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6F0A19" w:rsidRDefault="00FF63D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6F0A19" w:rsidRDefault="00FF63D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2F3" w:rsidRDefault="005F32F3" w:rsidP="00876D65">
      <w:r>
        <w:separator/>
      </w:r>
    </w:p>
  </w:endnote>
  <w:endnote w:type="continuationSeparator" w:id="0">
    <w:p w:rsidR="005F32F3" w:rsidRDefault="005F32F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6F0A19">
      <w:rPr>
        <w:kern w:val="0"/>
        <w:szCs w:val="21"/>
      </w:rPr>
      <w:fldChar w:fldCharType="begin"/>
    </w:r>
    <w:r>
      <w:rPr>
        <w:kern w:val="0"/>
        <w:szCs w:val="21"/>
      </w:rPr>
      <w:instrText xml:space="preserve"> PAGE </w:instrText>
    </w:r>
    <w:r w:rsidR="006F0A19">
      <w:rPr>
        <w:kern w:val="0"/>
        <w:szCs w:val="21"/>
      </w:rPr>
      <w:fldChar w:fldCharType="separate"/>
    </w:r>
    <w:r w:rsidR="001A2299">
      <w:rPr>
        <w:noProof/>
        <w:kern w:val="0"/>
        <w:szCs w:val="21"/>
      </w:rPr>
      <w:t>1</w:t>
    </w:r>
    <w:r w:rsidR="006F0A19">
      <w:rPr>
        <w:kern w:val="0"/>
        <w:szCs w:val="21"/>
      </w:rPr>
      <w:fldChar w:fldCharType="end"/>
    </w:r>
    <w:r>
      <w:rPr>
        <w:rFonts w:hint="eastAsia"/>
        <w:kern w:val="0"/>
        <w:szCs w:val="21"/>
      </w:rPr>
      <w:t>页共</w:t>
    </w:r>
    <w:r w:rsidR="006F0A19">
      <w:rPr>
        <w:kern w:val="0"/>
        <w:szCs w:val="21"/>
      </w:rPr>
      <w:fldChar w:fldCharType="begin"/>
    </w:r>
    <w:r>
      <w:rPr>
        <w:kern w:val="0"/>
        <w:szCs w:val="21"/>
      </w:rPr>
      <w:instrText xml:space="preserve"> NUMPAGES </w:instrText>
    </w:r>
    <w:r w:rsidR="006F0A19">
      <w:rPr>
        <w:kern w:val="0"/>
        <w:szCs w:val="21"/>
      </w:rPr>
      <w:fldChar w:fldCharType="separate"/>
    </w:r>
    <w:r w:rsidR="001A2299">
      <w:rPr>
        <w:noProof/>
        <w:kern w:val="0"/>
        <w:szCs w:val="21"/>
      </w:rPr>
      <w:t>11</w:t>
    </w:r>
    <w:r w:rsidR="006F0A1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2F3" w:rsidRDefault="005F32F3" w:rsidP="00876D65">
      <w:r>
        <w:separator/>
      </w:r>
    </w:p>
  </w:footnote>
  <w:footnote w:type="continuationSeparator" w:id="0">
    <w:p w:rsidR="005F32F3" w:rsidRDefault="005F32F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75CD"/>
    <w:rsid w:val="001717D5"/>
    <w:rsid w:val="00171EF0"/>
    <w:rsid w:val="001761D2"/>
    <w:rsid w:val="00176C21"/>
    <w:rsid w:val="001830D7"/>
    <w:rsid w:val="00185A34"/>
    <w:rsid w:val="001934F6"/>
    <w:rsid w:val="00196E6C"/>
    <w:rsid w:val="001A2299"/>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57036"/>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5106E"/>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2F3"/>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0A19"/>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298"/>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1E00"/>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36549"/>
    <w:rsid w:val="00E40D31"/>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05C6"/>
    <w:rsid w:val="00ED14D5"/>
    <w:rsid w:val="00ED2620"/>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3DA"/>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66FADD-938C-4C5A-A202-81616F96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rsid w:val="004061AC"/>
    <w:rPr>
      <w:rFonts w:ascii="宋体" w:hAnsi="Courier New" w:cs="宋体"/>
    </w:rPr>
  </w:style>
  <w:style w:type="character" w:customStyle="1" w:styleId="Char0">
    <w:name w:val="纯文本 Char"/>
    <w:basedOn w:val="a1"/>
    <w:link w:val="a5"/>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9EB7A-3A15-4987-A41C-EB4C36B6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1099</Words>
  <Characters>6268</Characters>
  <Application>Microsoft Office Word</Application>
  <DocSecurity>0</DocSecurity>
  <Lines>52</Lines>
  <Paragraphs>14</Paragraphs>
  <ScaleCrop>false</ScaleCrop>
  <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沈文晓</dc:creator>
  <cp:lastModifiedBy>许帆</cp:lastModifiedBy>
  <cp:revision>7</cp:revision>
  <dcterms:created xsi:type="dcterms:W3CDTF">2014-07-10T11:57:00Z</dcterms:created>
  <dcterms:modified xsi:type="dcterms:W3CDTF">2014-07-15T09:05:00Z</dcterms:modified>
</cp:coreProperties>
</file>