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交银施罗德精选股票证券投资基金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二〇一四年七月十九日</w:t>
      </w:r>
    </w:p>
    <w:p w:rsidR="004061AC" w:rsidRPr="00414345" w:rsidRDefault="004061AC" w:rsidP="00356F1A">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D56F0" w:rsidRDefault="00356F1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rsidR="00AD56F0" w:rsidRDefault="00356F1A">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2014</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 xml:space="preserve">日复核了本报告中的财务指标、净值表现和投资组合报告等内容，保证复核内容不存在虚假记载、误导性陈述或者重大遗漏。　　</w:t>
      </w:r>
    </w:p>
    <w:p w:rsidR="00AD56F0" w:rsidRDefault="00356F1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rsidR="00AD56F0" w:rsidRDefault="00356F1A">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rsidR="00AD56F0" w:rsidRDefault="00356F1A">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356F1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交银精选股票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519688</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2005</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6,100,904,181.27</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自上而下配置资产，自下而上精选证券，有效控制下行风险。</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中信标普全债指数</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本基金是一只稳健型的股票基金，属于股票型基金中的中等风险品种，本基金的预期收益和风险都要高于混合型基金。本基金力争在严格控制风险的前提下谋求实现基金资产长期稳定增长。</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356F1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56F1A" w:rsidRPr="00414345" w:rsidTr="00356F1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356F1A" w:rsidRPr="00414345" w:rsidTr="00356F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-144,952,831.44</w:t>
            </w:r>
          </w:p>
        </w:tc>
      </w:tr>
      <w:tr w:rsidR="00356F1A" w:rsidRPr="00414345" w:rsidTr="00356F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71,397,317.24</w:t>
            </w:r>
          </w:p>
        </w:tc>
      </w:tr>
      <w:tr w:rsidR="00356F1A" w:rsidRPr="00414345" w:rsidTr="00356F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0.0115</w:t>
            </w:r>
          </w:p>
        </w:tc>
      </w:tr>
      <w:tr w:rsidR="00356F1A" w:rsidRPr="00414345" w:rsidTr="00356F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4,059,211,594.85</w:t>
            </w:r>
          </w:p>
        </w:tc>
      </w:tr>
      <w:tr w:rsidR="00356F1A" w:rsidRPr="00414345" w:rsidTr="00356F1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0.6653</w:t>
            </w:r>
          </w:p>
        </w:tc>
      </w:tr>
    </w:tbl>
    <w:p w:rsidR="00AD56F0" w:rsidRDefault="00356F1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D56F0">
        <w:trPr>
          <w:jc w:val="center"/>
        </w:trPr>
        <w:tc>
          <w:tcPr>
            <w:tcW w:w="1701" w:type="dxa"/>
            <w:vAlign w:val="center"/>
          </w:tcPr>
          <w:p w:rsidR="00AD56F0" w:rsidRDefault="00356F1A">
            <w:pPr>
              <w:jc w:val="left"/>
            </w:pPr>
            <w:r>
              <w:rPr>
                <w:color w:val="000000"/>
                <w:sz w:val="24"/>
                <w:szCs w:val="24"/>
              </w:rPr>
              <w:t>过去三个月</w:t>
            </w:r>
          </w:p>
        </w:tc>
        <w:tc>
          <w:tcPr>
            <w:tcW w:w="1045" w:type="dxa"/>
            <w:vAlign w:val="center"/>
          </w:tcPr>
          <w:p w:rsidR="00AD56F0" w:rsidRDefault="00356F1A">
            <w:pPr>
              <w:jc w:val="center"/>
            </w:pPr>
            <w:r>
              <w:rPr>
                <w:color w:val="000000"/>
                <w:sz w:val="24"/>
                <w:szCs w:val="24"/>
              </w:rPr>
              <w:t>1.77%</w:t>
            </w:r>
          </w:p>
        </w:tc>
        <w:tc>
          <w:tcPr>
            <w:tcW w:w="1344" w:type="dxa"/>
            <w:vAlign w:val="center"/>
          </w:tcPr>
          <w:p w:rsidR="00AD56F0" w:rsidRDefault="00356F1A">
            <w:pPr>
              <w:jc w:val="center"/>
            </w:pPr>
            <w:r>
              <w:rPr>
                <w:color w:val="000000"/>
                <w:sz w:val="24"/>
                <w:szCs w:val="24"/>
              </w:rPr>
              <w:t>0.96%</w:t>
            </w:r>
          </w:p>
        </w:tc>
        <w:tc>
          <w:tcPr>
            <w:tcW w:w="1194" w:type="dxa"/>
            <w:vAlign w:val="center"/>
          </w:tcPr>
          <w:p w:rsidR="00AD56F0" w:rsidRDefault="00356F1A">
            <w:pPr>
              <w:jc w:val="center"/>
            </w:pPr>
            <w:r>
              <w:rPr>
                <w:color w:val="000000"/>
                <w:sz w:val="24"/>
                <w:szCs w:val="24"/>
              </w:rPr>
              <w:t>1.30%</w:t>
            </w:r>
          </w:p>
        </w:tc>
        <w:tc>
          <w:tcPr>
            <w:tcW w:w="1492" w:type="dxa"/>
            <w:vAlign w:val="center"/>
          </w:tcPr>
          <w:p w:rsidR="00AD56F0" w:rsidRDefault="00356F1A">
            <w:pPr>
              <w:jc w:val="center"/>
            </w:pPr>
            <w:r>
              <w:rPr>
                <w:color w:val="000000"/>
                <w:sz w:val="24"/>
                <w:szCs w:val="24"/>
              </w:rPr>
              <w:t>0.66%</w:t>
            </w:r>
          </w:p>
        </w:tc>
        <w:tc>
          <w:tcPr>
            <w:tcW w:w="1194" w:type="dxa"/>
            <w:vAlign w:val="center"/>
          </w:tcPr>
          <w:p w:rsidR="00AD56F0" w:rsidRDefault="00356F1A">
            <w:pPr>
              <w:jc w:val="center"/>
            </w:pPr>
            <w:r>
              <w:rPr>
                <w:color w:val="000000"/>
                <w:sz w:val="24"/>
                <w:szCs w:val="24"/>
              </w:rPr>
              <w:t>0.47%</w:t>
            </w:r>
          </w:p>
        </w:tc>
        <w:tc>
          <w:tcPr>
            <w:tcW w:w="898" w:type="dxa"/>
            <w:vAlign w:val="center"/>
          </w:tcPr>
          <w:p w:rsidR="00AD56F0" w:rsidRDefault="00356F1A">
            <w:pPr>
              <w:jc w:val="center"/>
            </w:pPr>
            <w:r>
              <w:rPr>
                <w:color w:val="000000"/>
                <w:sz w:val="24"/>
                <w:szCs w:val="24"/>
              </w:rPr>
              <w:t>0.30%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875DAC">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交银施罗德精选股票证券投资基金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356F1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D56F0">
        <w:trPr>
          <w:jc w:val="center"/>
        </w:trPr>
        <w:tc>
          <w:tcPr>
            <w:tcW w:w="846" w:type="dxa"/>
            <w:vAlign w:val="center"/>
          </w:tcPr>
          <w:p w:rsidR="00AD56F0" w:rsidRDefault="00356F1A">
            <w:pPr>
              <w:jc w:val="center"/>
            </w:pPr>
            <w:r>
              <w:rPr>
                <w:color w:val="000000"/>
                <w:sz w:val="24"/>
                <w:szCs w:val="24"/>
              </w:rPr>
              <w:t>张鸿羽</w:t>
            </w:r>
          </w:p>
        </w:tc>
        <w:tc>
          <w:tcPr>
            <w:tcW w:w="845" w:type="dxa"/>
            <w:vAlign w:val="center"/>
          </w:tcPr>
          <w:p w:rsidR="00AD56F0" w:rsidRDefault="00356F1A">
            <w:pPr>
              <w:jc w:val="center"/>
            </w:pPr>
            <w:r>
              <w:rPr>
                <w:color w:val="000000"/>
                <w:sz w:val="24"/>
                <w:szCs w:val="24"/>
              </w:rPr>
              <w:t>本基金的基金经理</w:t>
            </w:r>
          </w:p>
        </w:tc>
        <w:tc>
          <w:tcPr>
            <w:tcW w:w="1549" w:type="dxa"/>
            <w:vAlign w:val="center"/>
          </w:tcPr>
          <w:p w:rsidR="00AD56F0" w:rsidRDefault="00356F1A">
            <w:pPr>
              <w:jc w:val="center"/>
            </w:pPr>
            <w:r>
              <w:rPr>
                <w:color w:val="000000"/>
                <w:sz w:val="24"/>
                <w:szCs w:val="24"/>
              </w:rPr>
              <w:t>2012-04-20</w:t>
            </w:r>
          </w:p>
        </w:tc>
        <w:tc>
          <w:tcPr>
            <w:tcW w:w="1548" w:type="dxa"/>
            <w:vAlign w:val="center"/>
          </w:tcPr>
          <w:p w:rsidR="00AD56F0" w:rsidRDefault="00356F1A">
            <w:pPr>
              <w:jc w:val="center"/>
            </w:pPr>
            <w:r>
              <w:rPr>
                <w:color w:val="000000"/>
                <w:sz w:val="24"/>
                <w:szCs w:val="24"/>
              </w:rPr>
              <w:t>-</w:t>
            </w:r>
          </w:p>
        </w:tc>
        <w:tc>
          <w:tcPr>
            <w:tcW w:w="1407" w:type="dxa"/>
            <w:vAlign w:val="center"/>
          </w:tcPr>
          <w:p w:rsidR="00AD56F0" w:rsidRDefault="00356F1A">
            <w:pPr>
              <w:jc w:val="center"/>
            </w:pPr>
            <w:r>
              <w:rPr>
                <w:color w:val="000000"/>
                <w:sz w:val="24"/>
                <w:szCs w:val="24"/>
              </w:rPr>
              <w:t>14</w:t>
            </w:r>
            <w:r>
              <w:rPr>
                <w:color w:val="000000"/>
                <w:sz w:val="24"/>
                <w:szCs w:val="24"/>
              </w:rPr>
              <w:t>年</w:t>
            </w:r>
          </w:p>
        </w:tc>
        <w:tc>
          <w:tcPr>
            <w:tcW w:w="2673" w:type="dxa"/>
            <w:vAlign w:val="center"/>
          </w:tcPr>
          <w:p w:rsidR="00AD56F0" w:rsidRDefault="00356F1A">
            <w:r>
              <w:rPr>
                <w:color w:val="000000"/>
                <w:sz w:val="24"/>
                <w:szCs w:val="24"/>
              </w:rPr>
              <w:t>张鸿羽女士，上海财经大学硕士。历任广发证券股份有限公司高级研究员，上投摩根基金管理有限公司高级研究员。</w:t>
            </w:r>
            <w:r>
              <w:rPr>
                <w:color w:val="000000"/>
                <w:sz w:val="24"/>
                <w:szCs w:val="24"/>
              </w:rPr>
              <w:t>2007</w:t>
            </w:r>
            <w:r>
              <w:rPr>
                <w:color w:val="000000"/>
                <w:sz w:val="24"/>
                <w:szCs w:val="24"/>
              </w:rPr>
              <w:t>年加入交银施罗德基金管理有限公司，历任高级研究员、专户投资经理。</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D56F0" w:rsidRDefault="00356F1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D56F0" w:rsidRDefault="00356F1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D56F0" w:rsidRDefault="00356F1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D56F0" w:rsidRDefault="00356F1A">
      <w:pPr>
        <w:spacing w:before="29" w:line="288" w:lineRule="auto"/>
        <w:ind w:firstLineChars="200" w:firstLine="480"/>
        <w:rPr>
          <w:color w:val="000000"/>
          <w:sz w:val="24"/>
          <w:szCs w:val="24"/>
        </w:rPr>
      </w:pPr>
      <w:r>
        <w:rPr>
          <w:color w:val="000000"/>
          <w:sz w:val="24"/>
          <w:szCs w:val="24"/>
        </w:rPr>
        <w:t>二季度市场总体呈现窄幅震荡，特别是上证综指和深证成指的波动幅度非常小。中</w:t>
      </w:r>
      <w:bookmarkStart w:id="0" w:name="_GoBack"/>
      <w:bookmarkEnd w:id="0"/>
      <w:r>
        <w:rPr>
          <w:color w:val="000000"/>
          <w:sz w:val="24"/>
          <w:szCs w:val="24"/>
        </w:rPr>
        <w:t>小板和创业板波动幅度略大，在二季度的上半段呈快速下行走势，在</w:t>
      </w:r>
      <w:r>
        <w:rPr>
          <w:color w:val="000000"/>
          <w:sz w:val="24"/>
          <w:szCs w:val="24"/>
        </w:rPr>
        <w:t>5</w:t>
      </w:r>
      <w:r>
        <w:rPr>
          <w:color w:val="000000"/>
          <w:sz w:val="24"/>
          <w:szCs w:val="24"/>
        </w:rPr>
        <w:t>月下旬后走出了一波反弹，创业板指数从</w:t>
      </w:r>
      <w:r>
        <w:rPr>
          <w:color w:val="000000"/>
          <w:sz w:val="24"/>
          <w:szCs w:val="24"/>
        </w:rPr>
        <w:t>1200</w:t>
      </w:r>
      <w:r>
        <w:rPr>
          <w:color w:val="000000"/>
          <w:sz w:val="24"/>
          <w:szCs w:val="24"/>
        </w:rPr>
        <w:t>点左右反弹到</w:t>
      </w:r>
      <w:r>
        <w:rPr>
          <w:color w:val="000000"/>
          <w:sz w:val="24"/>
          <w:szCs w:val="24"/>
        </w:rPr>
        <w:t>1400</w:t>
      </w:r>
      <w:r>
        <w:rPr>
          <w:color w:val="000000"/>
          <w:sz w:val="24"/>
          <w:szCs w:val="24"/>
        </w:rPr>
        <w:t>点左右。从两大类指数的走势来看，呈现平衡线状态，以沪深</w:t>
      </w:r>
      <w:r>
        <w:rPr>
          <w:color w:val="000000"/>
          <w:sz w:val="24"/>
          <w:szCs w:val="24"/>
        </w:rPr>
        <w:t>300</w:t>
      </w:r>
      <w:r>
        <w:rPr>
          <w:color w:val="000000"/>
          <w:sz w:val="24"/>
          <w:szCs w:val="24"/>
        </w:rPr>
        <w:t>为代表的大盘蓝筹股和以创业板为代表的成长股在二季度都未取得明显的超额收益，而从其间的波动来看，大盘蓝筹股的波动非常小，而创业板指数由于经历了先下跌后反弹的过程，其间有一定的赚取超额收益的空间。</w:t>
      </w:r>
    </w:p>
    <w:p w:rsidR="00AD56F0" w:rsidRDefault="00356F1A">
      <w:pPr>
        <w:spacing w:before="29" w:line="288" w:lineRule="auto"/>
        <w:ind w:firstLineChars="200" w:firstLine="480"/>
        <w:rPr>
          <w:color w:val="000000"/>
          <w:sz w:val="24"/>
          <w:szCs w:val="24"/>
        </w:rPr>
      </w:pPr>
      <w:r>
        <w:rPr>
          <w:color w:val="000000"/>
          <w:sz w:val="24"/>
          <w:szCs w:val="24"/>
        </w:rPr>
        <w:t>二季度本基金仍以成长股为核心持仓，以精选个股提升组合的超额收益为主要目标。</w:t>
      </w:r>
    </w:p>
    <w:p w:rsidR="00AD56F0" w:rsidRDefault="00356F1A">
      <w:pPr>
        <w:spacing w:before="29" w:line="288" w:lineRule="auto"/>
        <w:ind w:firstLineChars="200" w:firstLine="480"/>
        <w:rPr>
          <w:color w:val="000000"/>
          <w:sz w:val="24"/>
          <w:szCs w:val="24"/>
        </w:rPr>
      </w:pPr>
      <w:r>
        <w:rPr>
          <w:color w:val="000000"/>
          <w:sz w:val="24"/>
          <w:szCs w:val="24"/>
        </w:rPr>
        <w:t>三季度市场整体将经历两个方面的考验：首先，在定向降准等措施推动下，流动性相对宽松，</w:t>
      </w:r>
      <w:r>
        <w:rPr>
          <w:color w:val="000000"/>
          <w:sz w:val="24"/>
          <w:szCs w:val="24"/>
        </w:rPr>
        <w:t>PMI</w:t>
      </w:r>
      <w:r>
        <w:rPr>
          <w:color w:val="000000"/>
          <w:sz w:val="24"/>
          <w:szCs w:val="24"/>
        </w:rPr>
        <w:t>经历了连续的反弹，经济有企稳回升迹象，三季度将进一步检验经济的反弹力度和持续程度；其次，三季度是半年报集中披露的时间段，上市公司业绩要经受市场的考验。</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三季度本基金仍相对关注信息服务、医疗器械和服务等符合经济转型方向的行业表现，将通过对半年报业绩的分析进一步甄选个股。</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0.6653</w:t>
      </w:r>
      <w:r w:rsidRPr="00414345">
        <w:rPr>
          <w:color w:val="000000"/>
          <w:sz w:val="24"/>
          <w:szCs w:val="24"/>
        </w:rPr>
        <w:t>元，本报告期份额净值增长率为</w:t>
      </w:r>
      <w:r w:rsidRPr="00414345">
        <w:rPr>
          <w:color w:val="000000"/>
          <w:sz w:val="24"/>
          <w:szCs w:val="24"/>
        </w:rPr>
        <w:t>1.77%</w:t>
      </w:r>
      <w:r w:rsidRPr="00414345">
        <w:rPr>
          <w:color w:val="000000"/>
          <w:sz w:val="24"/>
          <w:szCs w:val="24"/>
        </w:rPr>
        <w:t>，同期业绩比较基准增长率为</w:t>
      </w:r>
      <w:r w:rsidRPr="00414345">
        <w:rPr>
          <w:color w:val="000000"/>
          <w:sz w:val="24"/>
          <w:szCs w:val="24"/>
        </w:rPr>
        <w:t>1.30%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356F1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3,215,605,930.79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78.37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3,215,605,930.79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78.37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187,616,992.00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4.57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187,616,992.00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4.57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570,817,621.50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13.91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122,515,880.82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2.99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6,313,914.09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4,102,870,339.20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356F1A">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356F1A">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1,954,650,168.33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w:t>
            </w:r>
            <w:r w:rsidRPr="00414345">
              <w:rPr>
                <w:sz w:val="24"/>
                <w:szCs w:val="24"/>
              </w:rPr>
              <w:lastRenderedPageBreak/>
              <w:t>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lastRenderedPageBreak/>
              <w:t>19,603,911.15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188,525,871.24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356F1A">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336,506,341.85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41,364,928.86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129,877,713.06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208,111,579.20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40,963,230.50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148,474,542.39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147,527,644.21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3,215,605,930.79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79.22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D56F0">
        <w:trPr>
          <w:jc w:val="center"/>
        </w:trPr>
        <w:tc>
          <w:tcPr>
            <w:tcW w:w="855" w:type="dxa"/>
            <w:vAlign w:val="center"/>
          </w:tcPr>
          <w:p w:rsidR="00AD56F0" w:rsidRDefault="00356F1A">
            <w:pPr>
              <w:jc w:val="center"/>
            </w:pPr>
            <w:r>
              <w:rPr>
                <w:color w:val="000000"/>
                <w:sz w:val="24"/>
                <w:szCs w:val="24"/>
              </w:rPr>
              <w:t>1</w:t>
            </w:r>
          </w:p>
        </w:tc>
        <w:tc>
          <w:tcPr>
            <w:tcW w:w="1334" w:type="dxa"/>
            <w:vAlign w:val="center"/>
          </w:tcPr>
          <w:p w:rsidR="00AD56F0" w:rsidRDefault="00356F1A">
            <w:pPr>
              <w:jc w:val="center"/>
            </w:pPr>
            <w:r>
              <w:rPr>
                <w:color w:val="000000"/>
                <w:sz w:val="24"/>
                <w:szCs w:val="24"/>
              </w:rPr>
              <w:t>600535</w:t>
            </w:r>
          </w:p>
        </w:tc>
        <w:tc>
          <w:tcPr>
            <w:tcW w:w="1777" w:type="dxa"/>
            <w:vAlign w:val="center"/>
          </w:tcPr>
          <w:p w:rsidR="00AD56F0" w:rsidRDefault="00356F1A">
            <w:pPr>
              <w:jc w:val="center"/>
            </w:pPr>
            <w:r>
              <w:rPr>
                <w:color w:val="000000"/>
                <w:sz w:val="24"/>
                <w:szCs w:val="24"/>
              </w:rPr>
              <w:t>天士力</w:t>
            </w:r>
          </w:p>
        </w:tc>
        <w:tc>
          <w:tcPr>
            <w:tcW w:w="1334" w:type="dxa"/>
            <w:vAlign w:val="center"/>
          </w:tcPr>
          <w:p w:rsidR="00AD56F0" w:rsidRDefault="00356F1A">
            <w:pPr>
              <w:jc w:val="right"/>
            </w:pPr>
            <w:r>
              <w:rPr>
                <w:color w:val="000000"/>
                <w:sz w:val="24"/>
                <w:szCs w:val="24"/>
              </w:rPr>
              <w:t>4,009,254</w:t>
            </w:r>
          </w:p>
        </w:tc>
        <w:tc>
          <w:tcPr>
            <w:tcW w:w="1924" w:type="dxa"/>
            <w:vAlign w:val="center"/>
          </w:tcPr>
          <w:p w:rsidR="00AD56F0" w:rsidRDefault="00356F1A">
            <w:pPr>
              <w:jc w:val="right"/>
            </w:pPr>
            <w:r>
              <w:rPr>
                <w:color w:val="000000"/>
                <w:sz w:val="24"/>
                <w:szCs w:val="24"/>
              </w:rPr>
              <w:t>155,438,777.58</w:t>
            </w:r>
          </w:p>
        </w:tc>
        <w:tc>
          <w:tcPr>
            <w:tcW w:w="1644" w:type="dxa"/>
            <w:vAlign w:val="center"/>
          </w:tcPr>
          <w:p w:rsidR="00AD56F0" w:rsidRDefault="00356F1A">
            <w:pPr>
              <w:jc w:val="right"/>
            </w:pPr>
            <w:r>
              <w:rPr>
                <w:color w:val="000000"/>
                <w:sz w:val="24"/>
                <w:szCs w:val="24"/>
              </w:rPr>
              <w:t>3.83</w:t>
            </w:r>
          </w:p>
        </w:tc>
      </w:tr>
      <w:tr w:rsidR="00AD56F0">
        <w:trPr>
          <w:jc w:val="center"/>
        </w:trPr>
        <w:tc>
          <w:tcPr>
            <w:tcW w:w="855" w:type="dxa"/>
            <w:vAlign w:val="center"/>
          </w:tcPr>
          <w:p w:rsidR="00AD56F0" w:rsidRDefault="00356F1A">
            <w:pPr>
              <w:jc w:val="center"/>
            </w:pPr>
            <w:r>
              <w:rPr>
                <w:color w:val="000000"/>
                <w:sz w:val="24"/>
                <w:szCs w:val="24"/>
              </w:rPr>
              <w:t>2</w:t>
            </w:r>
          </w:p>
        </w:tc>
        <w:tc>
          <w:tcPr>
            <w:tcW w:w="1334" w:type="dxa"/>
            <w:vAlign w:val="center"/>
          </w:tcPr>
          <w:p w:rsidR="00AD56F0" w:rsidRDefault="00356F1A">
            <w:pPr>
              <w:jc w:val="center"/>
            </w:pPr>
            <w:r>
              <w:rPr>
                <w:color w:val="000000"/>
                <w:sz w:val="24"/>
                <w:szCs w:val="24"/>
              </w:rPr>
              <w:t>002400</w:t>
            </w:r>
          </w:p>
        </w:tc>
        <w:tc>
          <w:tcPr>
            <w:tcW w:w="1777" w:type="dxa"/>
            <w:vAlign w:val="center"/>
          </w:tcPr>
          <w:p w:rsidR="00AD56F0" w:rsidRDefault="00356F1A">
            <w:pPr>
              <w:jc w:val="center"/>
            </w:pPr>
            <w:r>
              <w:rPr>
                <w:color w:val="000000"/>
                <w:sz w:val="24"/>
                <w:szCs w:val="24"/>
              </w:rPr>
              <w:t>省广股份</w:t>
            </w:r>
          </w:p>
        </w:tc>
        <w:tc>
          <w:tcPr>
            <w:tcW w:w="1334" w:type="dxa"/>
            <w:vAlign w:val="center"/>
          </w:tcPr>
          <w:p w:rsidR="00AD56F0" w:rsidRDefault="00356F1A">
            <w:pPr>
              <w:jc w:val="right"/>
            </w:pPr>
            <w:r>
              <w:rPr>
                <w:color w:val="000000"/>
                <w:sz w:val="24"/>
                <w:szCs w:val="24"/>
              </w:rPr>
              <w:t>5,631,743</w:t>
            </w:r>
          </w:p>
        </w:tc>
        <w:tc>
          <w:tcPr>
            <w:tcW w:w="1924" w:type="dxa"/>
            <w:vAlign w:val="center"/>
          </w:tcPr>
          <w:p w:rsidR="00AD56F0" w:rsidRDefault="00356F1A">
            <w:pPr>
              <w:jc w:val="right"/>
            </w:pPr>
            <w:r>
              <w:rPr>
                <w:color w:val="000000"/>
                <w:sz w:val="24"/>
                <w:szCs w:val="24"/>
              </w:rPr>
              <w:t>138,428,242.94</w:t>
            </w:r>
          </w:p>
        </w:tc>
        <w:tc>
          <w:tcPr>
            <w:tcW w:w="1644" w:type="dxa"/>
            <w:vAlign w:val="center"/>
          </w:tcPr>
          <w:p w:rsidR="00AD56F0" w:rsidRDefault="00356F1A">
            <w:pPr>
              <w:jc w:val="right"/>
            </w:pPr>
            <w:r>
              <w:rPr>
                <w:color w:val="000000"/>
                <w:sz w:val="24"/>
                <w:szCs w:val="24"/>
              </w:rPr>
              <w:t>3.41</w:t>
            </w:r>
          </w:p>
        </w:tc>
      </w:tr>
      <w:tr w:rsidR="00AD56F0">
        <w:trPr>
          <w:jc w:val="center"/>
        </w:trPr>
        <w:tc>
          <w:tcPr>
            <w:tcW w:w="855" w:type="dxa"/>
            <w:vAlign w:val="center"/>
          </w:tcPr>
          <w:p w:rsidR="00AD56F0" w:rsidRDefault="00356F1A">
            <w:pPr>
              <w:jc w:val="center"/>
            </w:pPr>
            <w:r>
              <w:rPr>
                <w:color w:val="000000"/>
                <w:sz w:val="24"/>
                <w:szCs w:val="24"/>
              </w:rPr>
              <w:t>3</w:t>
            </w:r>
          </w:p>
        </w:tc>
        <w:tc>
          <w:tcPr>
            <w:tcW w:w="1334" w:type="dxa"/>
            <w:vAlign w:val="center"/>
          </w:tcPr>
          <w:p w:rsidR="00AD56F0" w:rsidRDefault="00356F1A">
            <w:pPr>
              <w:jc w:val="center"/>
            </w:pPr>
            <w:r>
              <w:rPr>
                <w:color w:val="000000"/>
                <w:sz w:val="24"/>
                <w:szCs w:val="24"/>
              </w:rPr>
              <w:t>300026</w:t>
            </w:r>
          </w:p>
        </w:tc>
        <w:tc>
          <w:tcPr>
            <w:tcW w:w="1777" w:type="dxa"/>
            <w:vAlign w:val="center"/>
          </w:tcPr>
          <w:p w:rsidR="00AD56F0" w:rsidRDefault="00356F1A">
            <w:pPr>
              <w:jc w:val="center"/>
            </w:pPr>
            <w:r>
              <w:rPr>
                <w:color w:val="000000"/>
                <w:sz w:val="24"/>
                <w:szCs w:val="24"/>
              </w:rPr>
              <w:t>红日药业</w:t>
            </w:r>
          </w:p>
        </w:tc>
        <w:tc>
          <w:tcPr>
            <w:tcW w:w="1334" w:type="dxa"/>
            <w:vAlign w:val="center"/>
          </w:tcPr>
          <w:p w:rsidR="00AD56F0" w:rsidRDefault="00356F1A">
            <w:pPr>
              <w:jc w:val="right"/>
            </w:pPr>
            <w:r>
              <w:rPr>
                <w:color w:val="000000"/>
                <w:sz w:val="24"/>
                <w:szCs w:val="24"/>
              </w:rPr>
              <w:t>4,646,451</w:t>
            </w:r>
          </w:p>
        </w:tc>
        <w:tc>
          <w:tcPr>
            <w:tcW w:w="1924" w:type="dxa"/>
            <w:vAlign w:val="center"/>
          </w:tcPr>
          <w:p w:rsidR="00AD56F0" w:rsidRDefault="00356F1A">
            <w:pPr>
              <w:jc w:val="right"/>
            </w:pPr>
            <w:r>
              <w:rPr>
                <w:color w:val="000000"/>
                <w:sz w:val="24"/>
                <w:szCs w:val="24"/>
              </w:rPr>
              <w:t>136,141,014.30</w:t>
            </w:r>
          </w:p>
        </w:tc>
        <w:tc>
          <w:tcPr>
            <w:tcW w:w="1644" w:type="dxa"/>
            <w:vAlign w:val="center"/>
          </w:tcPr>
          <w:p w:rsidR="00AD56F0" w:rsidRDefault="00356F1A">
            <w:pPr>
              <w:jc w:val="right"/>
            </w:pPr>
            <w:r>
              <w:rPr>
                <w:color w:val="000000"/>
                <w:sz w:val="24"/>
                <w:szCs w:val="24"/>
              </w:rPr>
              <w:t>3.35</w:t>
            </w:r>
          </w:p>
        </w:tc>
      </w:tr>
      <w:tr w:rsidR="00AD56F0">
        <w:trPr>
          <w:jc w:val="center"/>
        </w:trPr>
        <w:tc>
          <w:tcPr>
            <w:tcW w:w="855" w:type="dxa"/>
            <w:vAlign w:val="center"/>
          </w:tcPr>
          <w:p w:rsidR="00AD56F0" w:rsidRDefault="00356F1A">
            <w:pPr>
              <w:jc w:val="center"/>
            </w:pPr>
            <w:r>
              <w:rPr>
                <w:color w:val="000000"/>
                <w:sz w:val="24"/>
                <w:szCs w:val="24"/>
              </w:rPr>
              <w:t>4</w:t>
            </w:r>
          </w:p>
        </w:tc>
        <w:tc>
          <w:tcPr>
            <w:tcW w:w="1334" w:type="dxa"/>
            <w:vAlign w:val="center"/>
          </w:tcPr>
          <w:p w:rsidR="00AD56F0" w:rsidRDefault="00356F1A">
            <w:pPr>
              <w:jc w:val="center"/>
            </w:pPr>
            <w:r>
              <w:rPr>
                <w:color w:val="000000"/>
                <w:sz w:val="24"/>
                <w:szCs w:val="24"/>
              </w:rPr>
              <w:t>300104</w:t>
            </w:r>
          </w:p>
        </w:tc>
        <w:tc>
          <w:tcPr>
            <w:tcW w:w="1777" w:type="dxa"/>
            <w:vAlign w:val="center"/>
          </w:tcPr>
          <w:p w:rsidR="00AD56F0" w:rsidRDefault="00356F1A">
            <w:pPr>
              <w:jc w:val="center"/>
            </w:pPr>
            <w:r>
              <w:rPr>
                <w:color w:val="000000"/>
                <w:sz w:val="24"/>
                <w:szCs w:val="24"/>
              </w:rPr>
              <w:t>乐视网</w:t>
            </w:r>
          </w:p>
        </w:tc>
        <w:tc>
          <w:tcPr>
            <w:tcW w:w="1334" w:type="dxa"/>
            <w:vAlign w:val="center"/>
          </w:tcPr>
          <w:p w:rsidR="00AD56F0" w:rsidRDefault="00356F1A">
            <w:pPr>
              <w:jc w:val="right"/>
            </w:pPr>
            <w:r>
              <w:rPr>
                <w:color w:val="000000"/>
                <w:sz w:val="24"/>
                <w:szCs w:val="24"/>
              </w:rPr>
              <w:t>2,991,509</w:t>
            </w:r>
          </w:p>
        </w:tc>
        <w:tc>
          <w:tcPr>
            <w:tcW w:w="1924" w:type="dxa"/>
            <w:vAlign w:val="center"/>
          </w:tcPr>
          <w:p w:rsidR="00AD56F0" w:rsidRDefault="00356F1A">
            <w:pPr>
              <w:jc w:val="right"/>
            </w:pPr>
            <w:r>
              <w:rPr>
                <w:color w:val="000000"/>
                <w:sz w:val="24"/>
                <w:szCs w:val="24"/>
              </w:rPr>
              <w:t>131,327,245.10</w:t>
            </w:r>
          </w:p>
        </w:tc>
        <w:tc>
          <w:tcPr>
            <w:tcW w:w="1644" w:type="dxa"/>
            <w:vAlign w:val="center"/>
          </w:tcPr>
          <w:p w:rsidR="00AD56F0" w:rsidRDefault="00356F1A">
            <w:pPr>
              <w:jc w:val="right"/>
            </w:pPr>
            <w:r>
              <w:rPr>
                <w:color w:val="000000"/>
                <w:sz w:val="24"/>
                <w:szCs w:val="24"/>
              </w:rPr>
              <w:t>3.24</w:t>
            </w:r>
          </w:p>
        </w:tc>
      </w:tr>
      <w:tr w:rsidR="00AD56F0">
        <w:trPr>
          <w:jc w:val="center"/>
        </w:trPr>
        <w:tc>
          <w:tcPr>
            <w:tcW w:w="855" w:type="dxa"/>
            <w:vAlign w:val="center"/>
          </w:tcPr>
          <w:p w:rsidR="00AD56F0" w:rsidRDefault="00356F1A">
            <w:pPr>
              <w:jc w:val="center"/>
            </w:pPr>
            <w:r>
              <w:rPr>
                <w:color w:val="000000"/>
                <w:sz w:val="24"/>
                <w:szCs w:val="24"/>
              </w:rPr>
              <w:t>5</w:t>
            </w:r>
          </w:p>
        </w:tc>
        <w:tc>
          <w:tcPr>
            <w:tcW w:w="1334" w:type="dxa"/>
            <w:vAlign w:val="center"/>
          </w:tcPr>
          <w:p w:rsidR="00AD56F0" w:rsidRDefault="00356F1A">
            <w:pPr>
              <w:jc w:val="center"/>
            </w:pPr>
            <w:r>
              <w:rPr>
                <w:color w:val="000000"/>
                <w:sz w:val="24"/>
                <w:szCs w:val="24"/>
              </w:rPr>
              <w:t>600196</w:t>
            </w:r>
          </w:p>
        </w:tc>
        <w:tc>
          <w:tcPr>
            <w:tcW w:w="1777" w:type="dxa"/>
            <w:vAlign w:val="center"/>
          </w:tcPr>
          <w:p w:rsidR="00AD56F0" w:rsidRDefault="00356F1A">
            <w:pPr>
              <w:jc w:val="center"/>
            </w:pPr>
            <w:r>
              <w:rPr>
                <w:color w:val="000000"/>
                <w:sz w:val="24"/>
                <w:szCs w:val="24"/>
              </w:rPr>
              <w:t>复星医药</w:t>
            </w:r>
          </w:p>
        </w:tc>
        <w:tc>
          <w:tcPr>
            <w:tcW w:w="1334" w:type="dxa"/>
            <w:vAlign w:val="center"/>
          </w:tcPr>
          <w:p w:rsidR="00AD56F0" w:rsidRDefault="00356F1A">
            <w:pPr>
              <w:jc w:val="right"/>
            </w:pPr>
            <w:r>
              <w:rPr>
                <w:color w:val="000000"/>
                <w:sz w:val="24"/>
                <w:szCs w:val="24"/>
              </w:rPr>
              <w:t>6,492,772</w:t>
            </w:r>
          </w:p>
        </w:tc>
        <w:tc>
          <w:tcPr>
            <w:tcW w:w="1924" w:type="dxa"/>
            <w:vAlign w:val="center"/>
          </w:tcPr>
          <w:p w:rsidR="00AD56F0" w:rsidRDefault="00356F1A">
            <w:pPr>
              <w:jc w:val="right"/>
            </w:pPr>
            <w:r>
              <w:rPr>
                <w:color w:val="000000"/>
                <w:sz w:val="24"/>
                <w:szCs w:val="24"/>
              </w:rPr>
              <w:t>131,089,066.68</w:t>
            </w:r>
          </w:p>
        </w:tc>
        <w:tc>
          <w:tcPr>
            <w:tcW w:w="1644" w:type="dxa"/>
            <w:vAlign w:val="center"/>
          </w:tcPr>
          <w:p w:rsidR="00AD56F0" w:rsidRDefault="00356F1A">
            <w:pPr>
              <w:jc w:val="right"/>
            </w:pPr>
            <w:r>
              <w:rPr>
                <w:color w:val="000000"/>
                <w:sz w:val="24"/>
                <w:szCs w:val="24"/>
              </w:rPr>
              <w:t>3.23</w:t>
            </w:r>
          </w:p>
        </w:tc>
      </w:tr>
      <w:tr w:rsidR="00AD56F0">
        <w:trPr>
          <w:jc w:val="center"/>
        </w:trPr>
        <w:tc>
          <w:tcPr>
            <w:tcW w:w="855" w:type="dxa"/>
            <w:vAlign w:val="center"/>
          </w:tcPr>
          <w:p w:rsidR="00AD56F0" w:rsidRDefault="00356F1A">
            <w:pPr>
              <w:jc w:val="center"/>
            </w:pPr>
            <w:r>
              <w:rPr>
                <w:color w:val="000000"/>
                <w:sz w:val="24"/>
                <w:szCs w:val="24"/>
              </w:rPr>
              <w:t>6</w:t>
            </w:r>
          </w:p>
        </w:tc>
        <w:tc>
          <w:tcPr>
            <w:tcW w:w="1334" w:type="dxa"/>
            <w:vAlign w:val="center"/>
          </w:tcPr>
          <w:p w:rsidR="00AD56F0" w:rsidRDefault="00356F1A">
            <w:pPr>
              <w:jc w:val="center"/>
            </w:pPr>
            <w:r>
              <w:rPr>
                <w:color w:val="000000"/>
                <w:sz w:val="24"/>
                <w:szCs w:val="24"/>
              </w:rPr>
              <w:t>002454</w:t>
            </w:r>
          </w:p>
        </w:tc>
        <w:tc>
          <w:tcPr>
            <w:tcW w:w="1777" w:type="dxa"/>
            <w:vAlign w:val="center"/>
          </w:tcPr>
          <w:p w:rsidR="00AD56F0" w:rsidRDefault="00356F1A">
            <w:pPr>
              <w:jc w:val="center"/>
            </w:pPr>
            <w:r>
              <w:rPr>
                <w:color w:val="000000"/>
                <w:sz w:val="24"/>
                <w:szCs w:val="24"/>
              </w:rPr>
              <w:t>松芝股份</w:t>
            </w:r>
          </w:p>
        </w:tc>
        <w:tc>
          <w:tcPr>
            <w:tcW w:w="1334" w:type="dxa"/>
            <w:vAlign w:val="center"/>
          </w:tcPr>
          <w:p w:rsidR="00AD56F0" w:rsidRDefault="00356F1A">
            <w:pPr>
              <w:jc w:val="right"/>
            </w:pPr>
            <w:r>
              <w:rPr>
                <w:color w:val="000000"/>
                <w:sz w:val="24"/>
                <w:szCs w:val="24"/>
              </w:rPr>
              <w:t>10,281,549</w:t>
            </w:r>
          </w:p>
        </w:tc>
        <w:tc>
          <w:tcPr>
            <w:tcW w:w="1924" w:type="dxa"/>
            <w:vAlign w:val="center"/>
          </w:tcPr>
          <w:p w:rsidR="00AD56F0" w:rsidRDefault="00356F1A">
            <w:pPr>
              <w:jc w:val="right"/>
            </w:pPr>
            <w:r>
              <w:rPr>
                <w:color w:val="000000"/>
                <w:sz w:val="24"/>
                <w:szCs w:val="24"/>
              </w:rPr>
              <w:t>129,444,701.91</w:t>
            </w:r>
          </w:p>
        </w:tc>
        <w:tc>
          <w:tcPr>
            <w:tcW w:w="1644" w:type="dxa"/>
            <w:vAlign w:val="center"/>
          </w:tcPr>
          <w:p w:rsidR="00AD56F0" w:rsidRDefault="00356F1A">
            <w:pPr>
              <w:jc w:val="right"/>
            </w:pPr>
            <w:r>
              <w:rPr>
                <w:color w:val="000000"/>
                <w:sz w:val="24"/>
                <w:szCs w:val="24"/>
              </w:rPr>
              <w:t>3.19</w:t>
            </w:r>
          </w:p>
        </w:tc>
      </w:tr>
      <w:tr w:rsidR="00AD56F0">
        <w:trPr>
          <w:jc w:val="center"/>
        </w:trPr>
        <w:tc>
          <w:tcPr>
            <w:tcW w:w="855" w:type="dxa"/>
            <w:vAlign w:val="center"/>
          </w:tcPr>
          <w:p w:rsidR="00AD56F0" w:rsidRDefault="00356F1A">
            <w:pPr>
              <w:jc w:val="center"/>
            </w:pPr>
            <w:r>
              <w:rPr>
                <w:color w:val="000000"/>
                <w:sz w:val="24"/>
                <w:szCs w:val="24"/>
              </w:rPr>
              <w:t>7</w:t>
            </w:r>
          </w:p>
        </w:tc>
        <w:tc>
          <w:tcPr>
            <w:tcW w:w="1334" w:type="dxa"/>
            <w:vAlign w:val="center"/>
          </w:tcPr>
          <w:p w:rsidR="00AD56F0" w:rsidRDefault="00356F1A">
            <w:pPr>
              <w:jc w:val="center"/>
            </w:pPr>
            <w:r>
              <w:rPr>
                <w:color w:val="000000"/>
                <w:sz w:val="24"/>
                <w:szCs w:val="24"/>
              </w:rPr>
              <w:t>000625</w:t>
            </w:r>
          </w:p>
        </w:tc>
        <w:tc>
          <w:tcPr>
            <w:tcW w:w="1777" w:type="dxa"/>
            <w:vAlign w:val="center"/>
          </w:tcPr>
          <w:p w:rsidR="00AD56F0" w:rsidRDefault="00356F1A">
            <w:pPr>
              <w:jc w:val="center"/>
            </w:pPr>
            <w:r>
              <w:rPr>
                <w:color w:val="000000"/>
                <w:sz w:val="24"/>
                <w:szCs w:val="24"/>
              </w:rPr>
              <w:t>长安汽车</w:t>
            </w:r>
          </w:p>
        </w:tc>
        <w:tc>
          <w:tcPr>
            <w:tcW w:w="1334" w:type="dxa"/>
            <w:vAlign w:val="center"/>
          </w:tcPr>
          <w:p w:rsidR="00AD56F0" w:rsidRDefault="00356F1A">
            <w:pPr>
              <w:jc w:val="right"/>
            </w:pPr>
            <w:r>
              <w:rPr>
                <w:color w:val="000000"/>
                <w:sz w:val="24"/>
                <w:szCs w:val="24"/>
              </w:rPr>
              <w:t>9,929,210</w:t>
            </w:r>
          </w:p>
        </w:tc>
        <w:tc>
          <w:tcPr>
            <w:tcW w:w="1924" w:type="dxa"/>
            <w:vAlign w:val="center"/>
          </w:tcPr>
          <w:p w:rsidR="00AD56F0" w:rsidRDefault="00356F1A">
            <w:pPr>
              <w:jc w:val="right"/>
            </w:pPr>
            <w:r>
              <w:rPr>
                <w:color w:val="000000"/>
                <w:sz w:val="24"/>
                <w:szCs w:val="24"/>
              </w:rPr>
              <w:t>122,228,575.10</w:t>
            </w:r>
          </w:p>
        </w:tc>
        <w:tc>
          <w:tcPr>
            <w:tcW w:w="1644" w:type="dxa"/>
            <w:vAlign w:val="center"/>
          </w:tcPr>
          <w:p w:rsidR="00AD56F0" w:rsidRDefault="00356F1A">
            <w:pPr>
              <w:jc w:val="right"/>
            </w:pPr>
            <w:r>
              <w:rPr>
                <w:color w:val="000000"/>
                <w:sz w:val="24"/>
                <w:szCs w:val="24"/>
              </w:rPr>
              <w:t>3.01</w:t>
            </w:r>
          </w:p>
        </w:tc>
      </w:tr>
      <w:tr w:rsidR="00AD56F0">
        <w:trPr>
          <w:jc w:val="center"/>
        </w:trPr>
        <w:tc>
          <w:tcPr>
            <w:tcW w:w="855" w:type="dxa"/>
            <w:vAlign w:val="center"/>
          </w:tcPr>
          <w:p w:rsidR="00AD56F0" w:rsidRDefault="00356F1A">
            <w:pPr>
              <w:jc w:val="center"/>
            </w:pPr>
            <w:r>
              <w:rPr>
                <w:color w:val="000000"/>
                <w:sz w:val="24"/>
                <w:szCs w:val="24"/>
              </w:rPr>
              <w:t>8</w:t>
            </w:r>
          </w:p>
        </w:tc>
        <w:tc>
          <w:tcPr>
            <w:tcW w:w="1334" w:type="dxa"/>
            <w:vAlign w:val="center"/>
          </w:tcPr>
          <w:p w:rsidR="00AD56F0" w:rsidRDefault="00356F1A">
            <w:pPr>
              <w:jc w:val="center"/>
            </w:pPr>
            <w:r>
              <w:rPr>
                <w:color w:val="000000"/>
                <w:sz w:val="24"/>
                <w:szCs w:val="24"/>
              </w:rPr>
              <w:t>600048</w:t>
            </w:r>
          </w:p>
        </w:tc>
        <w:tc>
          <w:tcPr>
            <w:tcW w:w="1777" w:type="dxa"/>
            <w:vAlign w:val="center"/>
          </w:tcPr>
          <w:p w:rsidR="00AD56F0" w:rsidRDefault="00356F1A">
            <w:pPr>
              <w:jc w:val="center"/>
            </w:pPr>
            <w:r>
              <w:rPr>
                <w:color w:val="000000"/>
                <w:sz w:val="24"/>
                <w:szCs w:val="24"/>
              </w:rPr>
              <w:t>保利地产</w:t>
            </w:r>
          </w:p>
        </w:tc>
        <w:tc>
          <w:tcPr>
            <w:tcW w:w="1334" w:type="dxa"/>
            <w:vAlign w:val="center"/>
          </w:tcPr>
          <w:p w:rsidR="00AD56F0" w:rsidRDefault="00356F1A">
            <w:pPr>
              <w:jc w:val="right"/>
            </w:pPr>
            <w:r>
              <w:rPr>
                <w:color w:val="000000"/>
                <w:sz w:val="24"/>
                <w:szCs w:val="24"/>
              </w:rPr>
              <w:t>23,819,850</w:t>
            </w:r>
          </w:p>
        </w:tc>
        <w:tc>
          <w:tcPr>
            <w:tcW w:w="1924" w:type="dxa"/>
            <w:vAlign w:val="center"/>
          </w:tcPr>
          <w:p w:rsidR="00AD56F0" w:rsidRDefault="00356F1A">
            <w:pPr>
              <w:jc w:val="right"/>
            </w:pPr>
            <w:r>
              <w:rPr>
                <w:color w:val="000000"/>
                <w:sz w:val="24"/>
                <w:szCs w:val="24"/>
              </w:rPr>
              <w:t>118,146,456.00</w:t>
            </w:r>
          </w:p>
        </w:tc>
        <w:tc>
          <w:tcPr>
            <w:tcW w:w="1644" w:type="dxa"/>
            <w:vAlign w:val="center"/>
          </w:tcPr>
          <w:p w:rsidR="00AD56F0" w:rsidRDefault="00356F1A">
            <w:pPr>
              <w:jc w:val="right"/>
            </w:pPr>
            <w:r>
              <w:rPr>
                <w:color w:val="000000"/>
                <w:sz w:val="24"/>
                <w:szCs w:val="24"/>
              </w:rPr>
              <w:t>2.91</w:t>
            </w:r>
          </w:p>
        </w:tc>
      </w:tr>
      <w:tr w:rsidR="00AD56F0">
        <w:trPr>
          <w:jc w:val="center"/>
        </w:trPr>
        <w:tc>
          <w:tcPr>
            <w:tcW w:w="855" w:type="dxa"/>
            <w:vAlign w:val="center"/>
          </w:tcPr>
          <w:p w:rsidR="00AD56F0" w:rsidRDefault="00356F1A">
            <w:pPr>
              <w:jc w:val="center"/>
            </w:pPr>
            <w:r>
              <w:rPr>
                <w:color w:val="000000"/>
                <w:sz w:val="24"/>
                <w:szCs w:val="24"/>
              </w:rPr>
              <w:t>9</w:t>
            </w:r>
          </w:p>
        </w:tc>
        <w:tc>
          <w:tcPr>
            <w:tcW w:w="1334" w:type="dxa"/>
            <w:vAlign w:val="center"/>
          </w:tcPr>
          <w:p w:rsidR="00AD56F0" w:rsidRDefault="00356F1A">
            <w:pPr>
              <w:jc w:val="center"/>
            </w:pPr>
            <w:r>
              <w:rPr>
                <w:color w:val="000000"/>
                <w:sz w:val="24"/>
                <w:szCs w:val="24"/>
              </w:rPr>
              <w:t>300005</w:t>
            </w:r>
          </w:p>
        </w:tc>
        <w:tc>
          <w:tcPr>
            <w:tcW w:w="1777" w:type="dxa"/>
            <w:vAlign w:val="center"/>
          </w:tcPr>
          <w:p w:rsidR="00AD56F0" w:rsidRDefault="00356F1A">
            <w:pPr>
              <w:jc w:val="center"/>
            </w:pPr>
            <w:r>
              <w:rPr>
                <w:color w:val="000000"/>
                <w:sz w:val="24"/>
                <w:szCs w:val="24"/>
              </w:rPr>
              <w:t>探路者</w:t>
            </w:r>
          </w:p>
        </w:tc>
        <w:tc>
          <w:tcPr>
            <w:tcW w:w="1334" w:type="dxa"/>
            <w:vAlign w:val="center"/>
          </w:tcPr>
          <w:p w:rsidR="00AD56F0" w:rsidRDefault="00356F1A">
            <w:pPr>
              <w:jc w:val="right"/>
            </w:pPr>
            <w:r>
              <w:rPr>
                <w:color w:val="000000"/>
                <w:sz w:val="24"/>
                <w:szCs w:val="24"/>
              </w:rPr>
              <w:t>7,351,686</w:t>
            </w:r>
          </w:p>
        </w:tc>
        <w:tc>
          <w:tcPr>
            <w:tcW w:w="1924" w:type="dxa"/>
            <w:vAlign w:val="center"/>
          </w:tcPr>
          <w:p w:rsidR="00AD56F0" w:rsidRDefault="00356F1A">
            <w:pPr>
              <w:jc w:val="right"/>
            </w:pPr>
            <w:r>
              <w:rPr>
                <w:color w:val="000000"/>
                <w:sz w:val="24"/>
                <w:szCs w:val="24"/>
              </w:rPr>
              <w:t>113,510,031.84</w:t>
            </w:r>
          </w:p>
        </w:tc>
        <w:tc>
          <w:tcPr>
            <w:tcW w:w="1644" w:type="dxa"/>
            <w:vAlign w:val="center"/>
          </w:tcPr>
          <w:p w:rsidR="00AD56F0" w:rsidRDefault="00356F1A">
            <w:pPr>
              <w:jc w:val="right"/>
            </w:pPr>
            <w:r>
              <w:rPr>
                <w:color w:val="000000"/>
                <w:sz w:val="24"/>
                <w:szCs w:val="24"/>
              </w:rPr>
              <w:t>2.80</w:t>
            </w:r>
          </w:p>
        </w:tc>
      </w:tr>
      <w:tr w:rsidR="00AD56F0">
        <w:trPr>
          <w:jc w:val="center"/>
        </w:trPr>
        <w:tc>
          <w:tcPr>
            <w:tcW w:w="855" w:type="dxa"/>
            <w:vAlign w:val="center"/>
          </w:tcPr>
          <w:p w:rsidR="00AD56F0" w:rsidRDefault="00356F1A">
            <w:pPr>
              <w:jc w:val="center"/>
            </w:pPr>
            <w:r>
              <w:rPr>
                <w:color w:val="000000"/>
                <w:sz w:val="24"/>
                <w:szCs w:val="24"/>
              </w:rPr>
              <w:lastRenderedPageBreak/>
              <w:t>10</w:t>
            </w:r>
          </w:p>
        </w:tc>
        <w:tc>
          <w:tcPr>
            <w:tcW w:w="1334" w:type="dxa"/>
            <w:vAlign w:val="center"/>
          </w:tcPr>
          <w:p w:rsidR="00AD56F0" w:rsidRDefault="00356F1A">
            <w:pPr>
              <w:jc w:val="center"/>
            </w:pPr>
            <w:r>
              <w:rPr>
                <w:color w:val="000000"/>
                <w:sz w:val="24"/>
                <w:szCs w:val="24"/>
              </w:rPr>
              <w:t>300133</w:t>
            </w:r>
          </w:p>
        </w:tc>
        <w:tc>
          <w:tcPr>
            <w:tcW w:w="1777" w:type="dxa"/>
            <w:vAlign w:val="center"/>
          </w:tcPr>
          <w:p w:rsidR="00AD56F0" w:rsidRDefault="00356F1A">
            <w:pPr>
              <w:jc w:val="center"/>
            </w:pPr>
            <w:r>
              <w:rPr>
                <w:color w:val="000000"/>
                <w:sz w:val="24"/>
                <w:szCs w:val="24"/>
              </w:rPr>
              <w:t>华策影视</w:t>
            </w:r>
          </w:p>
        </w:tc>
        <w:tc>
          <w:tcPr>
            <w:tcW w:w="1334" w:type="dxa"/>
            <w:vAlign w:val="center"/>
          </w:tcPr>
          <w:p w:rsidR="00AD56F0" w:rsidRDefault="00356F1A">
            <w:pPr>
              <w:jc w:val="right"/>
            </w:pPr>
            <w:r>
              <w:rPr>
                <w:color w:val="000000"/>
                <w:sz w:val="24"/>
                <w:szCs w:val="24"/>
              </w:rPr>
              <w:t>3,388,827</w:t>
            </w:r>
          </w:p>
        </w:tc>
        <w:tc>
          <w:tcPr>
            <w:tcW w:w="1924" w:type="dxa"/>
            <w:vAlign w:val="center"/>
          </w:tcPr>
          <w:p w:rsidR="00AD56F0" w:rsidRDefault="00356F1A">
            <w:pPr>
              <w:jc w:val="right"/>
            </w:pPr>
            <w:r>
              <w:rPr>
                <w:color w:val="000000"/>
                <w:sz w:val="24"/>
                <w:szCs w:val="24"/>
              </w:rPr>
              <w:t>108,273,022.65</w:t>
            </w:r>
          </w:p>
        </w:tc>
        <w:tc>
          <w:tcPr>
            <w:tcW w:w="1644" w:type="dxa"/>
            <w:vAlign w:val="center"/>
          </w:tcPr>
          <w:p w:rsidR="00AD56F0" w:rsidRDefault="00356F1A">
            <w:pPr>
              <w:jc w:val="right"/>
            </w:pPr>
            <w:r>
              <w:rPr>
                <w:color w:val="000000"/>
                <w:sz w:val="24"/>
                <w:szCs w:val="24"/>
              </w:rPr>
              <w:t>2.67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180,093,000.00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4.44</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180,093,000.00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4.44</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7,523,992.00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0.19</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187,616,992.00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D56F0">
        <w:trPr>
          <w:jc w:val="center"/>
        </w:trPr>
        <w:tc>
          <w:tcPr>
            <w:tcW w:w="850" w:type="dxa"/>
            <w:vAlign w:val="center"/>
          </w:tcPr>
          <w:p w:rsidR="00AD56F0" w:rsidRDefault="00356F1A">
            <w:pPr>
              <w:jc w:val="center"/>
            </w:pPr>
            <w:r>
              <w:rPr>
                <w:color w:val="000000"/>
                <w:sz w:val="24"/>
                <w:szCs w:val="24"/>
              </w:rPr>
              <w:t>1</w:t>
            </w:r>
          </w:p>
        </w:tc>
        <w:tc>
          <w:tcPr>
            <w:tcW w:w="1475" w:type="dxa"/>
            <w:vAlign w:val="center"/>
          </w:tcPr>
          <w:p w:rsidR="00AD56F0" w:rsidRDefault="00356F1A">
            <w:pPr>
              <w:jc w:val="center"/>
            </w:pPr>
            <w:r>
              <w:rPr>
                <w:color w:val="000000"/>
                <w:sz w:val="24"/>
                <w:szCs w:val="24"/>
              </w:rPr>
              <w:t>140212</w:t>
            </w:r>
          </w:p>
        </w:tc>
        <w:tc>
          <w:tcPr>
            <w:tcW w:w="1769" w:type="dxa"/>
            <w:vAlign w:val="center"/>
          </w:tcPr>
          <w:p w:rsidR="00AD56F0" w:rsidRDefault="00356F1A">
            <w:pPr>
              <w:jc w:val="center"/>
            </w:pPr>
            <w:r>
              <w:rPr>
                <w:color w:val="000000"/>
                <w:sz w:val="24"/>
                <w:szCs w:val="24"/>
              </w:rPr>
              <w:t>14</w:t>
            </w:r>
            <w:r>
              <w:rPr>
                <w:color w:val="000000"/>
                <w:sz w:val="24"/>
                <w:szCs w:val="24"/>
              </w:rPr>
              <w:t>国开</w:t>
            </w:r>
            <w:r>
              <w:rPr>
                <w:color w:val="000000"/>
                <w:sz w:val="24"/>
                <w:szCs w:val="24"/>
              </w:rPr>
              <w:t>12</w:t>
            </w:r>
          </w:p>
        </w:tc>
        <w:tc>
          <w:tcPr>
            <w:tcW w:w="1387" w:type="dxa"/>
            <w:vAlign w:val="center"/>
          </w:tcPr>
          <w:p w:rsidR="00AD56F0" w:rsidRDefault="00356F1A">
            <w:pPr>
              <w:jc w:val="right"/>
            </w:pPr>
            <w:r>
              <w:rPr>
                <w:color w:val="000000"/>
                <w:sz w:val="24"/>
                <w:szCs w:val="24"/>
              </w:rPr>
              <w:t>1,000,000</w:t>
            </w:r>
          </w:p>
        </w:tc>
        <w:tc>
          <w:tcPr>
            <w:tcW w:w="2150" w:type="dxa"/>
            <w:vAlign w:val="center"/>
          </w:tcPr>
          <w:p w:rsidR="00AD56F0" w:rsidRDefault="00356F1A">
            <w:pPr>
              <w:jc w:val="right"/>
            </w:pPr>
            <w:r>
              <w:rPr>
                <w:color w:val="000000"/>
                <w:sz w:val="24"/>
                <w:szCs w:val="24"/>
              </w:rPr>
              <w:t>100,170,000.00</w:t>
            </w:r>
          </w:p>
        </w:tc>
        <w:tc>
          <w:tcPr>
            <w:tcW w:w="1237" w:type="dxa"/>
            <w:vAlign w:val="center"/>
          </w:tcPr>
          <w:p w:rsidR="00AD56F0" w:rsidRDefault="00356F1A">
            <w:pPr>
              <w:jc w:val="right"/>
            </w:pPr>
            <w:r>
              <w:rPr>
                <w:color w:val="000000"/>
                <w:sz w:val="24"/>
                <w:szCs w:val="24"/>
              </w:rPr>
              <w:t>2.47</w:t>
            </w:r>
          </w:p>
        </w:tc>
      </w:tr>
      <w:tr w:rsidR="00AD56F0">
        <w:trPr>
          <w:jc w:val="center"/>
        </w:trPr>
        <w:tc>
          <w:tcPr>
            <w:tcW w:w="850" w:type="dxa"/>
            <w:vAlign w:val="center"/>
          </w:tcPr>
          <w:p w:rsidR="00AD56F0" w:rsidRDefault="00356F1A">
            <w:pPr>
              <w:jc w:val="center"/>
            </w:pPr>
            <w:r>
              <w:rPr>
                <w:color w:val="000000"/>
                <w:sz w:val="24"/>
                <w:szCs w:val="24"/>
              </w:rPr>
              <w:t>2</w:t>
            </w:r>
          </w:p>
        </w:tc>
        <w:tc>
          <w:tcPr>
            <w:tcW w:w="1475" w:type="dxa"/>
            <w:vAlign w:val="center"/>
          </w:tcPr>
          <w:p w:rsidR="00AD56F0" w:rsidRDefault="00356F1A">
            <w:pPr>
              <w:jc w:val="center"/>
            </w:pPr>
            <w:r>
              <w:rPr>
                <w:color w:val="000000"/>
                <w:sz w:val="24"/>
                <w:szCs w:val="24"/>
              </w:rPr>
              <w:t>130236</w:t>
            </w:r>
          </w:p>
        </w:tc>
        <w:tc>
          <w:tcPr>
            <w:tcW w:w="1769" w:type="dxa"/>
            <w:vAlign w:val="center"/>
          </w:tcPr>
          <w:p w:rsidR="00AD56F0" w:rsidRDefault="00356F1A">
            <w:pPr>
              <w:jc w:val="center"/>
            </w:pPr>
            <w:r>
              <w:rPr>
                <w:color w:val="000000"/>
                <w:sz w:val="24"/>
                <w:szCs w:val="24"/>
              </w:rPr>
              <w:t>13</w:t>
            </w:r>
            <w:r>
              <w:rPr>
                <w:color w:val="000000"/>
                <w:sz w:val="24"/>
                <w:szCs w:val="24"/>
              </w:rPr>
              <w:t>国开</w:t>
            </w:r>
            <w:r>
              <w:rPr>
                <w:color w:val="000000"/>
                <w:sz w:val="24"/>
                <w:szCs w:val="24"/>
              </w:rPr>
              <w:t>36</w:t>
            </w:r>
          </w:p>
        </w:tc>
        <w:tc>
          <w:tcPr>
            <w:tcW w:w="1387" w:type="dxa"/>
            <w:vAlign w:val="center"/>
          </w:tcPr>
          <w:p w:rsidR="00AD56F0" w:rsidRDefault="00356F1A">
            <w:pPr>
              <w:jc w:val="right"/>
            </w:pPr>
            <w:r>
              <w:rPr>
                <w:color w:val="000000"/>
                <w:sz w:val="24"/>
                <w:szCs w:val="24"/>
              </w:rPr>
              <w:t>500,000</w:t>
            </w:r>
          </w:p>
        </w:tc>
        <w:tc>
          <w:tcPr>
            <w:tcW w:w="2150" w:type="dxa"/>
            <w:vAlign w:val="center"/>
          </w:tcPr>
          <w:p w:rsidR="00AD56F0" w:rsidRDefault="00356F1A">
            <w:pPr>
              <w:jc w:val="right"/>
            </w:pPr>
            <w:r>
              <w:rPr>
                <w:color w:val="000000"/>
                <w:sz w:val="24"/>
                <w:szCs w:val="24"/>
              </w:rPr>
              <w:t>50,010,000.00</w:t>
            </w:r>
          </w:p>
        </w:tc>
        <w:tc>
          <w:tcPr>
            <w:tcW w:w="1237" w:type="dxa"/>
            <w:vAlign w:val="center"/>
          </w:tcPr>
          <w:p w:rsidR="00AD56F0" w:rsidRDefault="00356F1A">
            <w:pPr>
              <w:jc w:val="right"/>
            </w:pPr>
            <w:r>
              <w:rPr>
                <w:color w:val="000000"/>
                <w:sz w:val="24"/>
                <w:szCs w:val="24"/>
              </w:rPr>
              <w:t>1.23</w:t>
            </w:r>
          </w:p>
        </w:tc>
      </w:tr>
      <w:tr w:rsidR="00AD56F0">
        <w:trPr>
          <w:jc w:val="center"/>
        </w:trPr>
        <w:tc>
          <w:tcPr>
            <w:tcW w:w="850" w:type="dxa"/>
            <w:vAlign w:val="center"/>
          </w:tcPr>
          <w:p w:rsidR="00AD56F0" w:rsidRDefault="00356F1A">
            <w:pPr>
              <w:jc w:val="center"/>
            </w:pPr>
            <w:r>
              <w:rPr>
                <w:color w:val="000000"/>
                <w:sz w:val="24"/>
                <w:szCs w:val="24"/>
              </w:rPr>
              <w:t>3</w:t>
            </w:r>
          </w:p>
        </w:tc>
        <w:tc>
          <w:tcPr>
            <w:tcW w:w="1475" w:type="dxa"/>
            <w:vAlign w:val="center"/>
          </w:tcPr>
          <w:p w:rsidR="00AD56F0" w:rsidRDefault="00356F1A">
            <w:pPr>
              <w:jc w:val="center"/>
            </w:pPr>
            <w:r>
              <w:rPr>
                <w:color w:val="000000"/>
                <w:sz w:val="24"/>
                <w:szCs w:val="24"/>
              </w:rPr>
              <w:t>110412</w:t>
            </w:r>
          </w:p>
        </w:tc>
        <w:tc>
          <w:tcPr>
            <w:tcW w:w="1769" w:type="dxa"/>
            <w:vAlign w:val="center"/>
          </w:tcPr>
          <w:p w:rsidR="00AD56F0" w:rsidRDefault="00356F1A">
            <w:pPr>
              <w:jc w:val="center"/>
            </w:pPr>
            <w:r>
              <w:rPr>
                <w:color w:val="000000"/>
                <w:sz w:val="24"/>
                <w:szCs w:val="24"/>
              </w:rPr>
              <w:t>11</w:t>
            </w:r>
            <w:r>
              <w:rPr>
                <w:color w:val="000000"/>
                <w:sz w:val="24"/>
                <w:szCs w:val="24"/>
              </w:rPr>
              <w:t>农发</w:t>
            </w:r>
            <w:r>
              <w:rPr>
                <w:color w:val="000000"/>
                <w:sz w:val="24"/>
                <w:szCs w:val="24"/>
              </w:rPr>
              <w:t>12</w:t>
            </w:r>
          </w:p>
        </w:tc>
        <w:tc>
          <w:tcPr>
            <w:tcW w:w="1387" w:type="dxa"/>
            <w:vAlign w:val="center"/>
          </w:tcPr>
          <w:p w:rsidR="00AD56F0" w:rsidRDefault="00356F1A">
            <w:pPr>
              <w:jc w:val="right"/>
            </w:pPr>
            <w:r>
              <w:rPr>
                <w:color w:val="000000"/>
                <w:sz w:val="24"/>
                <w:szCs w:val="24"/>
              </w:rPr>
              <w:t>300,000</w:t>
            </w:r>
          </w:p>
        </w:tc>
        <w:tc>
          <w:tcPr>
            <w:tcW w:w="2150" w:type="dxa"/>
            <w:vAlign w:val="center"/>
          </w:tcPr>
          <w:p w:rsidR="00AD56F0" w:rsidRDefault="00356F1A">
            <w:pPr>
              <w:jc w:val="right"/>
            </w:pPr>
            <w:r>
              <w:rPr>
                <w:color w:val="000000"/>
                <w:sz w:val="24"/>
                <w:szCs w:val="24"/>
              </w:rPr>
              <w:t>29,913,000.00</w:t>
            </w:r>
          </w:p>
        </w:tc>
        <w:tc>
          <w:tcPr>
            <w:tcW w:w="1237" w:type="dxa"/>
            <w:vAlign w:val="center"/>
          </w:tcPr>
          <w:p w:rsidR="00AD56F0" w:rsidRDefault="00356F1A">
            <w:pPr>
              <w:jc w:val="right"/>
            </w:pPr>
            <w:r>
              <w:rPr>
                <w:color w:val="000000"/>
                <w:sz w:val="24"/>
                <w:szCs w:val="24"/>
              </w:rPr>
              <w:t>0.74</w:t>
            </w:r>
          </w:p>
        </w:tc>
      </w:tr>
      <w:tr w:rsidR="00AD56F0">
        <w:trPr>
          <w:jc w:val="center"/>
        </w:trPr>
        <w:tc>
          <w:tcPr>
            <w:tcW w:w="850" w:type="dxa"/>
            <w:vAlign w:val="center"/>
          </w:tcPr>
          <w:p w:rsidR="00AD56F0" w:rsidRDefault="00356F1A">
            <w:pPr>
              <w:jc w:val="center"/>
            </w:pPr>
            <w:r>
              <w:rPr>
                <w:color w:val="000000"/>
                <w:sz w:val="24"/>
                <w:szCs w:val="24"/>
              </w:rPr>
              <w:t>4</w:t>
            </w:r>
          </w:p>
        </w:tc>
        <w:tc>
          <w:tcPr>
            <w:tcW w:w="1475" w:type="dxa"/>
            <w:vAlign w:val="center"/>
          </w:tcPr>
          <w:p w:rsidR="00AD56F0" w:rsidRDefault="00356F1A">
            <w:pPr>
              <w:jc w:val="center"/>
            </w:pPr>
            <w:r>
              <w:rPr>
                <w:color w:val="000000"/>
                <w:sz w:val="24"/>
                <w:szCs w:val="24"/>
              </w:rPr>
              <w:t>110025</w:t>
            </w:r>
          </w:p>
        </w:tc>
        <w:tc>
          <w:tcPr>
            <w:tcW w:w="1769" w:type="dxa"/>
            <w:vAlign w:val="center"/>
          </w:tcPr>
          <w:p w:rsidR="00AD56F0" w:rsidRDefault="00356F1A">
            <w:pPr>
              <w:jc w:val="center"/>
            </w:pPr>
            <w:r>
              <w:rPr>
                <w:color w:val="000000"/>
                <w:sz w:val="24"/>
                <w:szCs w:val="24"/>
              </w:rPr>
              <w:t>国金转债</w:t>
            </w:r>
          </w:p>
        </w:tc>
        <w:tc>
          <w:tcPr>
            <w:tcW w:w="1387" w:type="dxa"/>
            <w:vAlign w:val="center"/>
          </w:tcPr>
          <w:p w:rsidR="00AD56F0" w:rsidRDefault="00356F1A">
            <w:pPr>
              <w:jc w:val="right"/>
            </w:pPr>
            <w:r>
              <w:rPr>
                <w:color w:val="000000"/>
                <w:sz w:val="24"/>
                <w:szCs w:val="24"/>
              </w:rPr>
              <w:t>65,540</w:t>
            </w:r>
          </w:p>
        </w:tc>
        <w:tc>
          <w:tcPr>
            <w:tcW w:w="2150" w:type="dxa"/>
            <w:vAlign w:val="center"/>
          </w:tcPr>
          <w:p w:rsidR="00AD56F0" w:rsidRDefault="00356F1A">
            <w:pPr>
              <w:jc w:val="right"/>
            </w:pPr>
            <w:r>
              <w:rPr>
                <w:color w:val="000000"/>
                <w:sz w:val="24"/>
                <w:szCs w:val="24"/>
              </w:rPr>
              <w:t>7,523,992.00</w:t>
            </w:r>
          </w:p>
        </w:tc>
        <w:tc>
          <w:tcPr>
            <w:tcW w:w="1237" w:type="dxa"/>
            <w:vAlign w:val="center"/>
          </w:tcPr>
          <w:p w:rsidR="00AD56F0" w:rsidRDefault="00356F1A">
            <w:pPr>
              <w:jc w:val="right"/>
            </w:pPr>
            <w:r>
              <w:rPr>
                <w:color w:val="000000"/>
                <w:sz w:val="24"/>
                <w:szCs w:val="24"/>
              </w:rPr>
              <w:t>0.19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r w:rsidRPr="00414345">
        <w:rPr>
          <w:color w:val="000000"/>
          <w:sz w:val="24"/>
          <w:szCs w:val="24"/>
        </w:rPr>
        <w:t xml:space="preserve"> </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2,221,143.46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4,023,814.73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68,955.90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6,313,914.09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lastRenderedPageBreak/>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6,272,169,515.28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23,729,934.59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194,995,268.60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6,100,904,181.27</w:t>
            </w:r>
          </w:p>
        </w:tc>
      </w:tr>
    </w:tbl>
    <w:p w:rsidR="00AD56F0" w:rsidRDefault="00356F1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r w:rsidRPr="00414345">
        <w:rPr>
          <w:color w:val="000000"/>
          <w:sz w:val="24"/>
          <w:szCs w:val="24"/>
        </w:rPr>
        <w:t xml:space="preserve"> </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356F1A">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91,996,189.89</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91,996,189.89</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1.51</w:t>
            </w:r>
          </w:p>
        </w:tc>
      </w:tr>
    </w:tbl>
    <w:p w:rsidR="00AD56F0" w:rsidRDefault="00356F1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AB460D" w:rsidP="00AB460D">
      <w:pPr>
        <w:autoSpaceDE w:val="0"/>
        <w:autoSpaceDN w:val="0"/>
        <w:adjustRightInd w:val="0"/>
        <w:spacing w:before="29" w:line="288" w:lineRule="auto"/>
        <w:jc w:val="left"/>
        <w:rPr>
          <w:rFonts w:eastAsiaTheme="minorEastAsia"/>
          <w:color w:val="000000"/>
          <w:sz w:val="24"/>
        </w:rPr>
      </w:pPr>
      <w:r>
        <w:rPr>
          <w:rFonts w:eastAsiaTheme="minorEastAsia" w:hint="eastAsia"/>
          <w:color w:val="000000"/>
          <w:sz w:val="24"/>
        </w:rPr>
        <w:t xml:space="preserve">    </w:t>
      </w:r>
      <w:r w:rsidR="00ED2620" w:rsidRPr="00ED2620">
        <w:rPr>
          <w:rFonts w:eastAsiaTheme="minorEastAsia"/>
          <w:color w:val="000000"/>
          <w:sz w:val="24"/>
        </w:rPr>
        <w:t>2</w:t>
      </w:r>
      <w:r w:rsidR="00ED2620"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320300" w:rsidRDefault="00410630" w:rsidP="00C15CAC">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356F1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AD56F0" w:rsidRDefault="00356F1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、中国证监会批准交银施罗德精选股票证券投资基金募集的文件；</w:t>
      </w:r>
      <w:r>
        <w:rPr>
          <w:color w:val="000000"/>
          <w:sz w:val="24"/>
          <w:szCs w:val="24"/>
        </w:rPr>
        <w:t xml:space="preserve"> </w:t>
      </w:r>
    </w:p>
    <w:p w:rsidR="00AD56F0" w:rsidRDefault="00356F1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、《交银施罗德精选股票证券投资基金基金合同》；</w:t>
      </w:r>
      <w:r>
        <w:rPr>
          <w:color w:val="000000"/>
          <w:sz w:val="24"/>
          <w:szCs w:val="24"/>
        </w:rPr>
        <w:t xml:space="preserve"> </w:t>
      </w:r>
    </w:p>
    <w:p w:rsidR="00AD56F0" w:rsidRDefault="00356F1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、《交银施罗德精选股票证券投资基金招募说明书》；</w:t>
      </w:r>
      <w:r>
        <w:rPr>
          <w:color w:val="000000"/>
          <w:sz w:val="24"/>
          <w:szCs w:val="24"/>
        </w:rPr>
        <w:t xml:space="preserve"> </w:t>
      </w:r>
    </w:p>
    <w:p w:rsidR="00AD56F0" w:rsidRDefault="00356F1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、《交银施罗德精选股票证券投资基金托管协议》；</w:t>
      </w:r>
      <w:r>
        <w:rPr>
          <w:color w:val="000000"/>
          <w:sz w:val="24"/>
          <w:szCs w:val="24"/>
        </w:rPr>
        <w:t xml:space="preserve"> </w:t>
      </w:r>
    </w:p>
    <w:p w:rsidR="00AD56F0" w:rsidRDefault="00356F1A">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、关于募集交银施罗德精选股票证券投资基金之法律意见书；</w:t>
      </w:r>
      <w:r>
        <w:rPr>
          <w:color w:val="000000"/>
          <w:sz w:val="24"/>
          <w:szCs w:val="24"/>
        </w:rPr>
        <w:t xml:space="preserve"> </w:t>
      </w:r>
    </w:p>
    <w:p w:rsidR="00AD56F0" w:rsidRDefault="00356F1A">
      <w:pPr>
        <w:spacing w:before="29" w:line="288" w:lineRule="auto"/>
        <w:ind w:firstLineChars="200" w:firstLine="480"/>
        <w:rPr>
          <w:color w:val="000000"/>
          <w:sz w:val="24"/>
          <w:szCs w:val="24"/>
        </w:rPr>
      </w:pPr>
      <w:r>
        <w:rPr>
          <w:color w:val="000000"/>
          <w:sz w:val="24"/>
          <w:szCs w:val="24"/>
        </w:rPr>
        <w:lastRenderedPageBreak/>
        <w:t>6</w:t>
      </w:r>
      <w:r>
        <w:rPr>
          <w:color w:val="000000"/>
          <w:sz w:val="24"/>
          <w:szCs w:val="24"/>
        </w:rPr>
        <w:t>、基金管理人业务资格批件、营业执照；</w:t>
      </w:r>
      <w:r>
        <w:rPr>
          <w:color w:val="000000"/>
          <w:sz w:val="24"/>
          <w:szCs w:val="24"/>
        </w:rPr>
        <w:t xml:space="preserve"> </w:t>
      </w:r>
    </w:p>
    <w:p w:rsidR="00AD56F0" w:rsidRDefault="00356F1A">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、报告期内交银施罗德精选股票证券投资基金在指定报刊上各项公告的原稿。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AD56F0" w:rsidRDefault="00356F1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480" w:rsidRDefault="00CC0480" w:rsidP="00876D65">
      <w:r>
        <w:separator/>
      </w:r>
    </w:p>
  </w:endnote>
  <w:endnote w:type="continuationSeparator" w:id="0">
    <w:p w:rsidR="00CC0480" w:rsidRDefault="00CC048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AD56F0">
      <w:rPr>
        <w:kern w:val="0"/>
        <w:szCs w:val="21"/>
      </w:rPr>
      <w:fldChar w:fldCharType="begin"/>
    </w:r>
    <w:r>
      <w:rPr>
        <w:kern w:val="0"/>
        <w:szCs w:val="21"/>
      </w:rPr>
      <w:instrText xml:space="preserve"> PAGE </w:instrText>
    </w:r>
    <w:r w:rsidR="00AD56F0">
      <w:rPr>
        <w:kern w:val="0"/>
        <w:szCs w:val="21"/>
      </w:rPr>
      <w:fldChar w:fldCharType="separate"/>
    </w:r>
    <w:r w:rsidR="002B3A40">
      <w:rPr>
        <w:noProof/>
        <w:kern w:val="0"/>
        <w:szCs w:val="21"/>
      </w:rPr>
      <w:t>5</w:t>
    </w:r>
    <w:r w:rsidR="00AD56F0">
      <w:rPr>
        <w:kern w:val="0"/>
        <w:szCs w:val="21"/>
      </w:rPr>
      <w:fldChar w:fldCharType="end"/>
    </w:r>
    <w:r>
      <w:rPr>
        <w:rFonts w:hint="eastAsia"/>
        <w:kern w:val="0"/>
        <w:szCs w:val="21"/>
      </w:rPr>
      <w:t>页共</w:t>
    </w:r>
    <w:r w:rsidR="00AD56F0">
      <w:rPr>
        <w:kern w:val="0"/>
        <w:szCs w:val="21"/>
      </w:rPr>
      <w:fldChar w:fldCharType="begin"/>
    </w:r>
    <w:r>
      <w:rPr>
        <w:kern w:val="0"/>
        <w:szCs w:val="21"/>
      </w:rPr>
      <w:instrText xml:space="preserve"> NUMPAGES </w:instrText>
    </w:r>
    <w:r w:rsidR="00AD56F0">
      <w:rPr>
        <w:kern w:val="0"/>
        <w:szCs w:val="21"/>
      </w:rPr>
      <w:fldChar w:fldCharType="separate"/>
    </w:r>
    <w:r w:rsidR="002B3A40">
      <w:rPr>
        <w:noProof/>
        <w:kern w:val="0"/>
        <w:szCs w:val="21"/>
      </w:rPr>
      <w:t>11</w:t>
    </w:r>
    <w:r w:rsidR="00AD56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480" w:rsidRDefault="00CC0480" w:rsidP="00876D65">
      <w:r>
        <w:separator/>
      </w:r>
    </w:p>
  </w:footnote>
  <w:footnote w:type="continuationSeparator" w:id="0">
    <w:p w:rsidR="00CC0480" w:rsidRDefault="00CC048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A20B7"/>
    <w:rsid w:val="002B1D1A"/>
    <w:rsid w:val="002B3A40"/>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56F1A"/>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8F62A5"/>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111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60D"/>
    <w:rsid w:val="00AB4DB6"/>
    <w:rsid w:val="00AC063D"/>
    <w:rsid w:val="00AC592E"/>
    <w:rsid w:val="00AC6C10"/>
    <w:rsid w:val="00AC7BC6"/>
    <w:rsid w:val="00AD24AA"/>
    <w:rsid w:val="00AD56F0"/>
    <w:rsid w:val="00AE7962"/>
    <w:rsid w:val="00AF0A7F"/>
    <w:rsid w:val="00AF3AB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4559"/>
    <w:rsid w:val="00C451A3"/>
    <w:rsid w:val="00C46B88"/>
    <w:rsid w:val="00C47163"/>
    <w:rsid w:val="00C5218C"/>
    <w:rsid w:val="00C52191"/>
    <w:rsid w:val="00C53472"/>
    <w:rsid w:val="00C53D1B"/>
    <w:rsid w:val="00C5642F"/>
    <w:rsid w:val="00C6002A"/>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C0480"/>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02660"/>
    <w:rsid w:val="00E36549"/>
    <w:rsid w:val="00E40D31"/>
    <w:rsid w:val="00E41260"/>
    <w:rsid w:val="00E44E18"/>
    <w:rsid w:val="00E54301"/>
    <w:rsid w:val="00E54BF5"/>
    <w:rsid w:val="00E55ABD"/>
    <w:rsid w:val="00E60817"/>
    <w:rsid w:val="00E62DE5"/>
    <w:rsid w:val="00E705CC"/>
    <w:rsid w:val="00E70C33"/>
    <w:rsid w:val="00E84C7E"/>
    <w:rsid w:val="00E85E4B"/>
    <w:rsid w:val="00E8670B"/>
    <w:rsid w:val="00EA70F1"/>
    <w:rsid w:val="00EB2516"/>
    <w:rsid w:val="00EB2C07"/>
    <w:rsid w:val="00EB572B"/>
    <w:rsid w:val="00EC14ED"/>
    <w:rsid w:val="00EC1E04"/>
    <w:rsid w:val="00ED0328"/>
    <w:rsid w:val="00ED14D5"/>
    <w:rsid w:val="00ED2620"/>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6F02F6-4BB0-47F4-BA75-8F77066D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854F6-B050-42EE-9F9B-82F8E74CA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1767</TotalTime>
  <Pages>1</Pages>
  <Words>1001</Words>
  <Characters>5711</Characters>
  <Application>Microsoft Office Word</Application>
  <DocSecurity>0</DocSecurity>
  <Lines>47</Lines>
  <Paragraphs>13</Paragraphs>
  <ScaleCrop>false</ScaleCrop>
  <Company/>
  <LinksUpToDate>false</LinksUpToDate>
  <CharactersWithSpaces>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532</cp:revision>
  <dcterms:created xsi:type="dcterms:W3CDTF">2012-10-16T06:07:00Z</dcterms:created>
  <dcterms:modified xsi:type="dcterms:W3CDTF">2014-07-15T09:05:00Z</dcterms:modified>
</cp:coreProperties>
</file>