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交银施罗德环球精选价值证券投资基金</w:t>
      </w:r>
    </w:p>
    <w:p w:rsidR="00F22F00" w:rsidRPr="006A23FB" w:rsidRDefault="00F22F00" w:rsidP="005546C0">
      <w:pPr>
        <w:spacing w:before="29" w:line="288" w:lineRule="auto"/>
        <w:jc w:val="center"/>
        <w:rPr>
          <w:b/>
          <w:sz w:val="36"/>
          <w:szCs w:val="36"/>
        </w:rPr>
      </w:pPr>
      <w:r w:rsidRPr="006A23FB">
        <w:rPr>
          <w:b/>
          <w:sz w:val="36"/>
          <w:szCs w:val="36"/>
        </w:rPr>
        <w:t>2014</w:t>
      </w:r>
      <w:r w:rsidRPr="006A23FB">
        <w:rPr>
          <w:b/>
          <w:sz w:val="36"/>
          <w:szCs w:val="36"/>
        </w:rPr>
        <w:t>年第</w:t>
      </w:r>
      <w:r w:rsidRPr="006A23FB">
        <w:rPr>
          <w:b/>
          <w:sz w:val="36"/>
          <w:szCs w:val="36"/>
        </w:rPr>
        <w:t>2</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2014</w:t>
      </w:r>
      <w:r w:rsidRPr="006A23FB">
        <w:rPr>
          <w:b/>
          <w:sz w:val="36"/>
          <w:szCs w:val="36"/>
        </w:rPr>
        <w:t>年</w:t>
      </w:r>
      <w:r w:rsidRPr="006A23FB">
        <w:rPr>
          <w:b/>
          <w:sz w:val="36"/>
          <w:szCs w:val="36"/>
        </w:rPr>
        <w:t>6</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二〇一四年七月十九日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F40FCC">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EC5FA6" w:rsidRDefault="00A85176">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EC5FA6" w:rsidRDefault="00A85176">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2014</w:t>
      </w:r>
      <w:r>
        <w:rPr>
          <w:color w:val="000000"/>
          <w:sz w:val="24"/>
        </w:rPr>
        <w:t>年</w:t>
      </w:r>
      <w:r>
        <w:rPr>
          <w:color w:val="000000"/>
          <w:sz w:val="24"/>
        </w:rPr>
        <w:t>7</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EC5FA6" w:rsidRDefault="00A8517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C5FA6" w:rsidRDefault="00A8517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EC5FA6" w:rsidRDefault="00A85176">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2014</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6</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F40FCC">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D6766B">
        <w:trPr>
          <w:jc w:val="center"/>
        </w:trPr>
        <w:tc>
          <w:tcPr>
            <w:tcW w:w="2977"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44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交银环球精选股票</w:t>
            </w:r>
            <w:r w:rsidRPr="008640AE">
              <w:rPr>
                <w:color w:val="000000"/>
                <w:kern w:val="0"/>
                <w:sz w:val="24"/>
              </w:rPr>
              <w:t>(QDII)</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D6766B">
        <w:trPr>
          <w:jc w:val="center"/>
        </w:trPr>
        <w:tc>
          <w:tcPr>
            <w:tcW w:w="2977"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44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519696</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2008</w:t>
            </w:r>
            <w:r w:rsidRPr="008640AE">
              <w:rPr>
                <w:color w:val="000000"/>
                <w:kern w:val="0"/>
                <w:sz w:val="24"/>
              </w:rPr>
              <w:t>年</w:t>
            </w:r>
            <w:r w:rsidRPr="008640AE">
              <w:rPr>
                <w:color w:val="000000"/>
                <w:kern w:val="0"/>
                <w:sz w:val="24"/>
              </w:rPr>
              <w:t>8</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92,982,586.04</w:t>
            </w:r>
            <w:r w:rsidRPr="008640AE">
              <w:rPr>
                <w:color w:val="000000"/>
                <w:kern w:val="0"/>
                <w:sz w:val="24"/>
              </w:rPr>
              <w:t>份</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70%×</w:t>
            </w:r>
            <w:r w:rsidRPr="008640AE">
              <w:rPr>
                <w:color w:val="000000"/>
                <w:kern w:val="0"/>
                <w:sz w:val="24"/>
              </w:rPr>
              <w:t>标准普尔全球大中盘指数</w:t>
            </w:r>
            <w:r w:rsidRPr="008640AE">
              <w:rPr>
                <w:color w:val="000000"/>
                <w:kern w:val="0"/>
                <w:sz w:val="24"/>
              </w:rPr>
              <w:t>(S&amp;P Global LargeMidCap Index)+30%×</w:t>
            </w:r>
            <w:r w:rsidRPr="008640AE">
              <w:rPr>
                <w:color w:val="000000"/>
                <w:kern w:val="0"/>
                <w:sz w:val="24"/>
              </w:rPr>
              <w:t>恒生指数</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本基金以股票及股票基金为主要投资对象，属于较高预期风险和预期收益的证券投资基金品种，其预期风险和收益水平高于混合型基金和债券型基金。此外，本基金在全球范围内进行投资，除了需要承担国际市</w:t>
            </w:r>
            <w:r w:rsidRPr="008640AE">
              <w:rPr>
                <w:color w:val="000000"/>
                <w:kern w:val="0"/>
                <w:sz w:val="24"/>
              </w:rPr>
              <w:lastRenderedPageBreak/>
              <w:t>场的市场波动风险之外，还面临汇率风险、国别风险、新兴市场风险等海外市场投资所面临的特别投资风险。</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F40FCC">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265B7" w:rsidRPr="008640AE" w:rsidTr="007265B7">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(2014</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w:t>
            </w:r>
            <w:r w:rsidRPr="008640AE">
              <w:rPr>
                <w:color w:val="000000"/>
                <w:sz w:val="24"/>
              </w:rPr>
              <w:t>-2014</w:t>
            </w:r>
            <w:r w:rsidRPr="008640AE">
              <w:rPr>
                <w:color w:val="000000"/>
                <w:sz w:val="24"/>
              </w:rPr>
              <w:t>年</w:t>
            </w:r>
            <w:r w:rsidRPr="008640AE">
              <w:rPr>
                <w:color w:val="000000"/>
                <w:sz w:val="24"/>
              </w:rPr>
              <w:t>6</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7265B7" w:rsidRPr="008640AE" w:rsidTr="007265B7">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7,443,055.29</w:t>
            </w:r>
          </w:p>
        </w:tc>
      </w:tr>
      <w:tr w:rsidR="007265B7" w:rsidRPr="008640AE" w:rsidTr="007265B7">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5,648,018.60</w:t>
            </w:r>
          </w:p>
        </w:tc>
      </w:tr>
      <w:tr w:rsidR="007265B7" w:rsidRPr="008640AE" w:rsidTr="007265B7">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0.0581</w:t>
            </w:r>
          </w:p>
        </w:tc>
      </w:tr>
      <w:tr w:rsidR="007265B7" w:rsidRPr="008640AE" w:rsidTr="007265B7">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152,350,301.56</w:t>
            </w:r>
          </w:p>
        </w:tc>
      </w:tr>
      <w:tr w:rsidR="007265B7" w:rsidRPr="008640AE" w:rsidTr="007265B7">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1.638</w:t>
            </w:r>
          </w:p>
        </w:tc>
      </w:tr>
    </w:tbl>
    <w:p w:rsidR="00EC5FA6" w:rsidRDefault="00A8517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EC5FA6">
        <w:trPr>
          <w:jc w:val="center"/>
        </w:trPr>
        <w:tc>
          <w:tcPr>
            <w:tcW w:w="1701" w:type="dxa"/>
            <w:vAlign w:val="center"/>
          </w:tcPr>
          <w:p w:rsidR="00EC5FA6" w:rsidRDefault="00A85176">
            <w:pPr>
              <w:jc w:val="left"/>
            </w:pPr>
            <w:r>
              <w:rPr>
                <w:color w:val="000000"/>
                <w:sz w:val="24"/>
              </w:rPr>
              <w:t>过去三个月</w:t>
            </w:r>
          </w:p>
        </w:tc>
        <w:tc>
          <w:tcPr>
            <w:tcW w:w="1194" w:type="dxa"/>
            <w:vAlign w:val="center"/>
          </w:tcPr>
          <w:p w:rsidR="00EC5FA6" w:rsidRDefault="00A85176">
            <w:pPr>
              <w:jc w:val="right"/>
            </w:pPr>
            <w:r>
              <w:rPr>
                <w:color w:val="000000"/>
                <w:sz w:val="24"/>
              </w:rPr>
              <w:t>3.67%</w:t>
            </w:r>
          </w:p>
        </w:tc>
        <w:tc>
          <w:tcPr>
            <w:tcW w:w="1194" w:type="dxa"/>
            <w:vAlign w:val="center"/>
          </w:tcPr>
          <w:p w:rsidR="00EC5FA6" w:rsidRDefault="00A85176">
            <w:pPr>
              <w:jc w:val="right"/>
            </w:pPr>
            <w:r>
              <w:rPr>
                <w:color w:val="000000"/>
                <w:sz w:val="24"/>
              </w:rPr>
              <w:t>0.57%</w:t>
            </w:r>
          </w:p>
        </w:tc>
        <w:tc>
          <w:tcPr>
            <w:tcW w:w="1194" w:type="dxa"/>
            <w:vAlign w:val="center"/>
          </w:tcPr>
          <w:p w:rsidR="00EC5FA6" w:rsidRDefault="00A85176" w:rsidP="00D53570">
            <w:pPr>
              <w:jc w:val="right"/>
            </w:pPr>
            <w:r>
              <w:rPr>
                <w:color w:val="000000"/>
                <w:sz w:val="24"/>
              </w:rPr>
              <w:t>4.</w:t>
            </w:r>
            <w:r w:rsidR="00D53570">
              <w:rPr>
                <w:color w:val="000000"/>
                <w:sz w:val="24"/>
              </w:rPr>
              <w:t>64</w:t>
            </w:r>
            <w:r>
              <w:rPr>
                <w:color w:val="000000"/>
                <w:sz w:val="24"/>
              </w:rPr>
              <w:t>%</w:t>
            </w:r>
          </w:p>
        </w:tc>
        <w:tc>
          <w:tcPr>
            <w:tcW w:w="1343" w:type="dxa"/>
            <w:vAlign w:val="center"/>
          </w:tcPr>
          <w:p w:rsidR="00EC5FA6" w:rsidRDefault="00A85176">
            <w:pPr>
              <w:jc w:val="right"/>
            </w:pPr>
            <w:r>
              <w:rPr>
                <w:color w:val="000000"/>
                <w:sz w:val="24"/>
              </w:rPr>
              <w:t>0.38%</w:t>
            </w:r>
          </w:p>
        </w:tc>
        <w:tc>
          <w:tcPr>
            <w:tcW w:w="1194" w:type="dxa"/>
            <w:vAlign w:val="center"/>
          </w:tcPr>
          <w:p w:rsidR="00EC5FA6" w:rsidRDefault="00A85176" w:rsidP="00D53570">
            <w:pPr>
              <w:jc w:val="right"/>
            </w:pPr>
            <w:r>
              <w:rPr>
                <w:color w:val="000000"/>
                <w:sz w:val="24"/>
              </w:rPr>
              <w:t>-0.</w:t>
            </w:r>
            <w:r w:rsidR="00D53570">
              <w:rPr>
                <w:color w:val="000000"/>
                <w:sz w:val="24"/>
              </w:rPr>
              <w:t>97</w:t>
            </w:r>
            <w:r>
              <w:rPr>
                <w:color w:val="000000"/>
                <w:sz w:val="24"/>
              </w:rPr>
              <w:t>%</w:t>
            </w:r>
          </w:p>
        </w:tc>
        <w:tc>
          <w:tcPr>
            <w:tcW w:w="1048" w:type="dxa"/>
            <w:vAlign w:val="center"/>
          </w:tcPr>
          <w:p w:rsidR="00EC5FA6" w:rsidRDefault="00A85176">
            <w:pPr>
              <w:jc w:val="right"/>
            </w:pPr>
            <w:r>
              <w:rPr>
                <w:color w:val="000000"/>
                <w:sz w:val="24"/>
              </w:rPr>
              <w:t>0.19%</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Pr="008640AE">
        <w:rPr>
          <w:b/>
          <w:color w:val="000000"/>
          <w:kern w:val="0"/>
          <w:sz w:val="24"/>
        </w:rPr>
        <w:t xml:space="preserve">　</w:t>
      </w:r>
      <w:r w:rsidR="006A3F7F" w:rsidRPr="008640AE">
        <w:rPr>
          <w:b/>
          <w:color w:val="000000"/>
          <w:kern w:val="0"/>
          <w:sz w:val="24"/>
        </w:rPr>
        <w:t>自基金合同生效以来基金份额累计净值增长率变动及其与同期业绩比较基准收益率变动的比较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交银施罗德环球精选价值证券投资基金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2008</w:t>
      </w:r>
      <w:r w:rsidR="00623556" w:rsidRPr="008640AE">
        <w:rPr>
          <w:color w:val="000000"/>
          <w:kern w:val="0"/>
          <w:sz w:val="24"/>
        </w:rPr>
        <w:t>年</w:t>
      </w:r>
      <w:r w:rsidR="00623556" w:rsidRPr="008640AE">
        <w:rPr>
          <w:color w:val="000000"/>
          <w:kern w:val="0"/>
          <w:sz w:val="24"/>
        </w:rPr>
        <w:t>8</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2014</w:t>
      </w:r>
      <w:r w:rsidRPr="008640AE">
        <w:rPr>
          <w:color w:val="000000"/>
          <w:kern w:val="0"/>
          <w:sz w:val="24"/>
        </w:rPr>
        <w:t>年</w:t>
      </w:r>
      <w:r w:rsidRPr="008640AE">
        <w:rPr>
          <w:color w:val="000000"/>
          <w:kern w:val="0"/>
          <w:sz w:val="24"/>
        </w:rPr>
        <w:t>6</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F40FCC" w:rsidP="005546C0">
      <w:pPr>
        <w:tabs>
          <w:tab w:val="left" w:pos="1800"/>
        </w:tabs>
        <w:spacing w:before="29" w:line="288" w:lineRule="auto"/>
        <w:jc w:val="center"/>
        <w:rPr>
          <w:color w:val="000000"/>
          <w:sz w:val="24"/>
        </w:rPr>
      </w:pPr>
      <w:r w:rsidRPr="009700FB">
        <w:rPr>
          <w:noProof/>
          <w:color w:val="000000"/>
          <w:sz w:val="24"/>
        </w:rPr>
        <w:drawing>
          <wp:inline distT="0" distB="0" distL="0" distR="0" wp14:anchorId="42AA0894" wp14:editId="1017DF59">
            <wp:extent cx="5731510" cy="3356610"/>
            <wp:effectExtent l="0" t="0" r="0" b="0"/>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F40FCC">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EC5FA6">
        <w:trPr>
          <w:jc w:val="center"/>
        </w:trPr>
        <w:tc>
          <w:tcPr>
            <w:tcW w:w="846" w:type="dxa"/>
            <w:vAlign w:val="center"/>
          </w:tcPr>
          <w:p w:rsidR="00EC5FA6" w:rsidRDefault="00A85176">
            <w:pPr>
              <w:jc w:val="center"/>
            </w:pPr>
            <w:r>
              <w:rPr>
                <w:color w:val="000000"/>
                <w:sz w:val="24"/>
              </w:rPr>
              <w:t>晏青</w:t>
            </w:r>
          </w:p>
        </w:tc>
        <w:tc>
          <w:tcPr>
            <w:tcW w:w="845" w:type="dxa"/>
            <w:vAlign w:val="center"/>
          </w:tcPr>
          <w:p w:rsidR="00EC5FA6" w:rsidRDefault="00A85176">
            <w:pPr>
              <w:jc w:val="center"/>
            </w:pPr>
            <w:r>
              <w:rPr>
                <w:color w:val="000000"/>
                <w:sz w:val="24"/>
              </w:rPr>
              <w:t>本基金、交银施罗德全球自然资源证券投资基金的基金经理</w:t>
            </w:r>
          </w:p>
        </w:tc>
        <w:tc>
          <w:tcPr>
            <w:tcW w:w="1549" w:type="dxa"/>
            <w:vAlign w:val="center"/>
          </w:tcPr>
          <w:p w:rsidR="00EC5FA6" w:rsidRDefault="00A85176">
            <w:pPr>
              <w:jc w:val="center"/>
            </w:pPr>
            <w:r>
              <w:rPr>
                <w:color w:val="000000"/>
                <w:sz w:val="24"/>
              </w:rPr>
              <w:t>2012-04-09</w:t>
            </w:r>
          </w:p>
        </w:tc>
        <w:tc>
          <w:tcPr>
            <w:tcW w:w="1548" w:type="dxa"/>
            <w:vAlign w:val="center"/>
          </w:tcPr>
          <w:p w:rsidR="00EC5FA6" w:rsidRDefault="00A85176">
            <w:pPr>
              <w:jc w:val="center"/>
            </w:pPr>
            <w:r>
              <w:rPr>
                <w:color w:val="000000"/>
                <w:sz w:val="24"/>
              </w:rPr>
              <w:t>-</w:t>
            </w:r>
          </w:p>
        </w:tc>
        <w:tc>
          <w:tcPr>
            <w:tcW w:w="1407" w:type="dxa"/>
            <w:vAlign w:val="center"/>
          </w:tcPr>
          <w:p w:rsidR="00EC5FA6" w:rsidRDefault="00A85176">
            <w:pPr>
              <w:jc w:val="center"/>
            </w:pPr>
            <w:r>
              <w:rPr>
                <w:color w:val="000000"/>
                <w:sz w:val="24"/>
              </w:rPr>
              <w:t>8</w:t>
            </w:r>
            <w:r>
              <w:rPr>
                <w:color w:val="000000"/>
                <w:sz w:val="24"/>
              </w:rPr>
              <w:t>年</w:t>
            </w:r>
          </w:p>
        </w:tc>
        <w:tc>
          <w:tcPr>
            <w:tcW w:w="2673" w:type="dxa"/>
            <w:vAlign w:val="center"/>
          </w:tcPr>
          <w:p w:rsidR="00EC5FA6" w:rsidRDefault="00A85176">
            <w:pPr>
              <w:jc w:val="left"/>
            </w:pPr>
            <w:r>
              <w:rPr>
                <w:color w:val="000000"/>
                <w:sz w:val="24"/>
              </w:rPr>
              <w:t>晏青先生，中国国籍。上海交通大学硕士。</w:t>
            </w:r>
            <w:r>
              <w:rPr>
                <w:color w:val="000000"/>
                <w:sz w:val="24"/>
              </w:rPr>
              <w:t>2006</w:t>
            </w:r>
            <w:r>
              <w:rPr>
                <w:color w:val="000000"/>
                <w:sz w:val="24"/>
              </w:rPr>
              <w:t>年加入交银施罗德基金管理有限公司，历任行业分析师、</w:t>
            </w:r>
            <w:r>
              <w:rPr>
                <w:color w:val="000000"/>
                <w:sz w:val="24"/>
              </w:rPr>
              <w:t>QDII</w:t>
            </w:r>
            <w:r>
              <w:rPr>
                <w:color w:val="000000"/>
                <w:sz w:val="24"/>
              </w:rPr>
              <w:t>高级分析师。</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004A36FD" w:rsidRPr="008640AE">
        <w:rPr>
          <w:b/>
          <w:color w:val="000000"/>
          <w:kern w:val="0"/>
          <w:sz w:val="24"/>
        </w:rPr>
        <w:t xml:space="preserve"> </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EC5FA6">
        <w:trPr>
          <w:jc w:val="center"/>
        </w:trPr>
        <w:tc>
          <w:tcPr>
            <w:tcW w:w="2070" w:type="dxa"/>
            <w:vAlign w:val="center"/>
          </w:tcPr>
          <w:p w:rsidR="00EC5FA6" w:rsidRDefault="00A85176">
            <w:pPr>
              <w:jc w:val="center"/>
            </w:pPr>
            <w:r>
              <w:rPr>
                <w:color w:val="000000"/>
                <w:sz w:val="24"/>
              </w:rPr>
              <w:t>Simon Webber</w:t>
            </w:r>
          </w:p>
        </w:tc>
        <w:tc>
          <w:tcPr>
            <w:tcW w:w="2465" w:type="dxa"/>
            <w:vAlign w:val="center"/>
          </w:tcPr>
          <w:p w:rsidR="00EC5FA6" w:rsidRDefault="00A85176">
            <w:pPr>
              <w:jc w:val="center"/>
            </w:pPr>
            <w:r>
              <w:rPr>
                <w:color w:val="000000"/>
                <w:sz w:val="24"/>
              </w:rPr>
              <w:t>施罗德集团多区域（全球及国际）股票投资主管、全球和国际股票基金经理、全球气候变化股票基金经理</w:t>
            </w:r>
          </w:p>
        </w:tc>
        <w:tc>
          <w:tcPr>
            <w:tcW w:w="2116" w:type="dxa"/>
            <w:vAlign w:val="center"/>
          </w:tcPr>
          <w:p w:rsidR="00EC5FA6" w:rsidRDefault="00A85176">
            <w:pPr>
              <w:jc w:val="center"/>
            </w:pPr>
            <w:r>
              <w:rPr>
                <w:color w:val="000000"/>
                <w:sz w:val="24"/>
              </w:rPr>
              <w:t>15</w:t>
            </w:r>
            <w:r>
              <w:rPr>
                <w:color w:val="000000"/>
                <w:sz w:val="24"/>
              </w:rPr>
              <w:t>年</w:t>
            </w:r>
          </w:p>
        </w:tc>
        <w:tc>
          <w:tcPr>
            <w:tcW w:w="2217" w:type="dxa"/>
            <w:vAlign w:val="center"/>
          </w:tcPr>
          <w:p w:rsidR="00EC5FA6" w:rsidRDefault="00A85176">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EC5FA6" w:rsidRDefault="00A8517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C5FA6" w:rsidRDefault="00A8517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C5FA6" w:rsidRDefault="00A8517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w:t>
      </w:r>
      <w:r w:rsidRPr="008640AE">
        <w:rPr>
          <w:color w:val="000000"/>
          <w:sz w:val="24"/>
        </w:rPr>
        <w:t>,</w:t>
      </w:r>
      <w:r w:rsidRPr="008640AE">
        <w:rPr>
          <w:color w:val="000000"/>
          <w:sz w:val="24"/>
        </w:rPr>
        <w:t>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00195D4D" w:rsidRPr="008640AE">
        <w:rPr>
          <w:b/>
          <w:color w:val="000000"/>
          <w:kern w:val="0"/>
          <w:sz w:val="24"/>
        </w:rPr>
        <w:t xml:space="preserve"> </w:t>
      </w:r>
      <w:r w:rsidRPr="008640AE">
        <w:rPr>
          <w:b/>
          <w:color w:val="000000"/>
          <w:kern w:val="0"/>
          <w:sz w:val="24"/>
        </w:rPr>
        <w:t>报告期内基金的投资策略和业绩表现说明</w:t>
      </w:r>
    </w:p>
    <w:p w:rsidR="00EC5FA6" w:rsidRDefault="00A85176">
      <w:pPr>
        <w:spacing w:before="29" w:line="288" w:lineRule="auto"/>
        <w:ind w:firstLineChars="200" w:firstLine="480"/>
        <w:rPr>
          <w:color w:val="000000"/>
          <w:sz w:val="24"/>
        </w:rPr>
      </w:pPr>
      <w:r>
        <w:rPr>
          <w:color w:val="000000"/>
          <w:sz w:val="24"/>
        </w:rPr>
        <w:t>2014</w:t>
      </w:r>
      <w:r>
        <w:rPr>
          <w:color w:val="000000"/>
          <w:sz w:val="24"/>
        </w:rPr>
        <w:t>年二季度本基金净值上涨</w:t>
      </w:r>
      <w:r>
        <w:rPr>
          <w:color w:val="000000"/>
          <w:sz w:val="24"/>
        </w:rPr>
        <w:t>3.67%</w:t>
      </w:r>
      <w:r>
        <w:rPr>
          <w:color w:val="000000"/>
          <w:sz w:val="24"/>
        </w:rPr>
        <w:t>。全球股市在经历了一季度的波动之后，在二季度迎来普遍上涨，新兴市场和美国涨幅较大。虽然美国</w:t>
      </w:r>
      <w:r>
        <w:rPr>
          <w:color w:val="000000"/>
          <w:sz w:val="24"/>
        </w:rPr>
        <w:t>QE</w:t>
      </w:r>
      <w:r>
        <w:rPr>
          <w:color w:val="000000"/>
          <w:sz w:val="24"/>
        </w:rPr>
        <w:t>按部就班地退出，但利率相较一季度还有所下降，房地产数据边际有所提升，经济重拾增长的动力，这些都提振了美国股市的表现。欧元区实施进一步的宽松政策，进入负利率时代，欧元区国债收益率显著下降，推升了风险资产的收益率。香港市场受中国经济企稳的提振，资金净流出的局面出现逆转，本季度表现良好。</w:t>
      </w:r>
    </w:p>
    <w:p w:rsidR="00EC5FA6" w:rsidRDefault="00A85176">
      <w:pPr>
        <w:spacing w:before="29" w:line="288" w:lineRule="auto"/>
        <w:ind w:firstLineChars="200" w:firstLine="480"/>
        <w:rPr>
          <w:color w:val="000000"/>
          <w:sz w:val="24"/>
        </w:rPr>
      </w:pPr>
      <w:r>
        <w:rPr>
          <w:color w:val="000000"/>
          <w:sz w:val="24"/>
        </w:rPr>
        <w:t>本基金本季度继续保持稳健作风，坚持精选个股和灵活交易的思路，寻找绝对收益的投资机会。</w:t>
      </w:r>
    </w:p>
    <w:p w:rsidR="00B0116D" w:rsidRPr="008640AE" w:rsidRDefault="00B0116D" w:rsidP="005546C0">
      <w:pPr>
        <w:spacing w:before="29" w:line="288" w:lineRule="auto"/>
        <w:ind w:firstLineChars="200" w:firstLine="480"/>
        <w:rPr>
          <w:color w:val="000000"/>
          <w:sz w:val="24"/>
        </w:rPr>
      </w:pPr>
      <w:r w:rsidRPr="008640AE">
        <w:rPr>
          <w:color w:val="000000"/>
          <w:sz w:val="24"/>
        </w:rPr>
        <w:t>展望未来一个季度，虽然面临诸多挑战，但潜在的投资机会较多。欧美经济明显已经触底回升，中国经济呈企稳态势，考虑到目前海外超低的利率环境，新兴市场的低估值和整体风险资产的相对收益率对投资者颇具吸引力。</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2014</w:t>
      </w:r>
      <w:r w:rsidRPr="008640AE">
        <w:rPr>
          <w:color w:val="000000"/>
          <w:sz w:val="24"/>
        </w:rPr>
        <w:t>年</w:t>
      </w:r>
      <w:r w:rsidRPr="008640AE">
        <w:rPr>
          <w:color w:val="000000"/>
          <w:sz w:val="24"/>
        </w:rPr>
        <w:t>6</w:t>
      </w:r>
      <w:r w:rsidRPr="008640AE">
        <w:rPr>
          <w:color w:val="000000"/>
          <w:sz w:val="24"/>
        </w:rPr>
        <w:t>月</w:t>
      </w:r>
      <w:r w:rsidRPr="008640AE">
        <w:rPr>
          <w:color w:val="000000"/>
          <w:sz w:val="24"/>
        </w:rPr>
        <w:t>30</w:t>
      </w:r>
      <w:r w:rsidRPr="008640AE">
        <w:rPr>
          <w:color w:val="000000"/>
          <w:sz w:val="24"/>
        </w:rPr>
        <w:t>日，本基金份额净值为</w:t>
      </w:r>
      <w:r w:rsidRPr="008640AE">
        <w:rPr>
          <w:color w:val="000000"/>
          <w:sz w:val="24"/>
        </w:rPr>
        <w:t>1.638</w:t>
      </w:r>
      <w:r w:rsidRPr="008640AE">
        <w:rPr>
          <w:color w:val="000000"/>
          <w:sz w:val="24"/>
        </w:rPr>
        <w:t>元，本报告期份额净值增长率为</w:t>
      </w:r>
      <w:r w:rsidRPr="008640AE">
        <w:rPr>
          <w:color w:val="000000"/>
          <w:sz w:val="24"/>
        </w:rPr>
        <w:t>3.67%</w:t>
      </w:r>
      <w:r w:rsidRPr="008640AE">
        <w:rPr>
          <w:color w:val="000000"/>
          <w:sz w:val="24"/>
        </w:rPr>
        <w:t>，同期业绩比较基准增长率为</w:t>
      </w:r>
      <w:r w:rsidRPr="008640AE">
        <w:rPr>
          <w:color w:val="000000"/>
          <w:sz w:val="24"/>
        </w:rPr>
        <w:t>4.</w:t>
      </w:r>
      <w:r w:rsidR="00410D65">
        <w:rPr>
          <w:color w:val="000000"/>
          <w:sz w:val="24"/>
        </w:rPr>
        <w:t>64</w:t>
      </w:r>
      <w:r w:rsidRPr="008640AE">
        <w:rPr>
          <w:color w:val="000000"/>
          <w:sz w:val="24"/>
        </w:rPr>
        <w:t>%</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76518F" w:rsidRPr="008640AE" w:rsidRDefault="0076518F" w:rsidP="00F40FCC">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146,137,115.90</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93.89</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143,045,462.61</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91.91</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3,091,653.29</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1.99</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7,712,009.31</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4.96</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1,791,463.53</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1.15</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155,640,588.74</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EC5FA6">
        <w:trPr>
          <w:jc w:val="center"/>
        </w:trPr>
        <w:tc>
          <w:tcPr>
            <w:tcW w:w="2484" w:type="dxa"/>
            <w:vAlign w:val="center"/>
          </w:tcPr>
          <w:p w:rsidR="00EC5FA6" w:rsidRDefault="00A85176">
            <w:pPr>
              <w:jc w:val="left"/>
            </w:pPr>
            <w:r>
              <w:rPr>
                <w:color w:val="000000"/>
                <w:sz w:val="24"/>
              </w:rPr>
              <w:t>美国</w:t>
            </w:r>
          </w:p>
        </w:tc>
        <w:tc>
          <w:tcPr>
            <w:tcW w:w="3214" w:type="dxa"/>
            <w:vAlign w:val="center"/>
          </w:tcPr>
          <w:p w:rsidR="00EC5FA6" w:rsidRDefault="00A85176">
            <w:pPr>
              <w:jc w:val="right"/>
            </w:pPr>
            <w:r>
              <w:rPr>
                <w:color w:val="000000"/>
                <w:sz w:val="24"/>
              </w:rPr>
              <w:t>65,131,783.71</w:t>
            </w:r>
          </w:p>
        </w:tc>
        <w:tc>
          <w:tcPr>
            <w:tcW w:w="3170" w:type="dxa"/>
            <w:vAlign w:val="center"/>
          </w:tcPr>
          <w:p w:rsidR="00EC5FA6" w:rsidRDefault="00A85176">
            <w:pPr>
              <w:jc w:val="right"/>
            </w:pPr>
            <w:r>
              <w:rPr>
                <w:color w:val="000000"/>
                <w:sz w:val="24"/>
              </w:rPr>
              <w:t>42.75</w:t>
            </w:r>
          </w:p>
        </w:tc>
      </w:tr>
      <w:tr w:rsidR="00EC5FA6">
        <w:trPr>
          <w:jc w:val="center"/>
        </w:trPr>
        <w:tc>
          <w:tcPr>
            <w:tcW w:w="2484" w:type="dxa"/>
            <w:vAlign w:val="center"/>
          </w:tcPr>
          <w:p w:rsidR="00EC5FA6" w:rsidRDefault="00A85176">
            <w:pPr>
              <w:jc w:val="left"/>
            </w:pPr>
            <w:r>
              <w:rPr>
                <w:color w:val="000000"/>
                <w:sz w:val="24"/>
              </w:rPr>
              <w:t>香港</w:t>
            </w:r>
          </w:p>
        </w:tc>
        <w:tc>
          <w:tcPr>
            <w:tcW w:w="3214" w:type="dxa"/>
            <w:vAlign w:val="center"/>
          </w:tcPr>
          <w:p w:rsidR="00EC5FA6" w:rsidRDefault="00A85176">
            <w:pPr>
              <w:jc w:val="right"/>
            </w:pPr>
            <w:r>
              <w:rPr>
                <w:color w:val="000000"/>
                <w:sz w:val="24"/>
              </w:rPr>
              <w:t>43,952,555.49</w:t>
            </w:r>
          </w:p>
        </w:tc>
        <w:tc>
          <w:tcPr>
            <w:tcW w:w="3170" w:type="dxa"/>
            <w:vAlign w:val="center"/>
          </w:tcPr>
          <w:p w:rsidR="00EC5FA6" w:rsidRDefault="00A85176">
            <w:pPr>
              <w:jc w:val="right"/>
            </w:pPr>
            <w:r>
              <w:rPr>
                <w:color w:val="000000"/>
                <w:sz w:val="24"/>
              </w:rPr>
              <w:t>28.85</w:t>
            </w:r>
          </w:p>
        </w:tc>
      </w:tr>
      <w:tr w:rsidR="00EC5FA6">
        <w:trPr>
          <w:jc w:val="center"/>
        </w:trPr>
        <w:tc>
          <w:tcPr>
            <w:tcW w:w="2484" w:type="dxa"/>
            <w:vAlign w:val="center"/>
          </w:tcPr>
          <w:p w:rsidR="00EC5FA6" w:rsidRDefault="00A85176">
            <w:pPr>
              <w:jc w:val="left"/>
            </w:pPr>
            <w:r>
              <w:rPr>
                <w:color w:val="000000"/>
                <w:sz w:val="24"/>
              </w:rPr>
              <w:t>日本</w:t>
            </w:r>
          </w:p>
        </w:tc>
        <w:tc>
          <w:tcPr>
            <w:tcW w:w="3214" w:type="dxa"/>
            <w:vAlign w:val="center"/>
          </w:tcPr>
          <w:p w:rsidR="00EC5FA6" w:rsidRDefault="00A85176">
            <w:pPr>
              <w:jc w:val="right"/>
            </w:pPr>
            <w:r>
              <w:rPr>
                <w:color w:val="000000"/>
                <w:sz w:val="24"/>
              </w:rPr>
              <w:t>9,495,559.32</w:t>
            </w:r>
          </w:p>
        </w:tc>
        <w:tc>
          <w:tcPr>
            <w:tcW w:w="3170" w:type="dxa"/>
            <w:vAlign w:val="center"/>
          </w:tcPr>
          <w:p w:rsidR="00EC5FA6" w:rsidRDefault="00A85176">
            <w:pPr>
              <w:jc w:val="right"/>
            </w:pPr>
            <w:r>
              <w:rPr>
                <w:color w:val="000000"/>
                <w:sz w:val="24"/>
              </w:rPr>
              <w:t>6.23</w:t>
            </w:r>
          </w:p>
        </w:tc>
      </w:tr>
      <w:tr w:rsidR="00EC5FA6">
        <w:trPr>
          <w:jc w:val="center"/>
        </w:trPr>
        <w:tc>
          <w:tcPr>
            <w:tcW w:w="2484" w:type="dxa"/>
            <w:vAlign w:val="center"/>
          </w:tcPr>
          <w:p w:rsidR="00EC5FA6" w:rsidRDefault="00A85176">
            <w:pPr>
              <w:jc w:val="left"/>
            </w:pPr>
            <w:r>
              <w:rPr>
                <w:color w:val="000000"/>
                <w:sz w:val="24"/>
              </w:rPr>
              <w:t>英国</w:t>
            </w:r>
          </w:p>
        </w:tc>
        <w:tc>
          <w:tcPr>
            <w:tcW w:w="3214" w:type="dxa"/>
            <w:vAlign w:val="center"/>
          </w:tcPr>
          <w:p w:rsidR="00EC5FA6" w:rsidRDefault="00A85176">
            <w:pPr>
              <w:jc w:val="right"/>
            </w:pPr>
            <w:r>
              <w:rPr>
                <w:color w:val="000000"/>
                <w:sz w:val="24"/>
              </w:rPr>
              <w:t>7,748,507.35</w:t>
            </w:r>
          </w:p>
        </w:tc>
        <w:tc>
          <w:tcPr>
            <w:tcW w:w="3170" w:type="dxa"/>
            <w:vAlign w:val="center"/>
          </w:tcPr>
          <w:p w:rsidR="00EC5FA6" w:rsidRDefault="00A85176">
            <w:pPr>
              <w:jc w:val="right"/>
            </w:pPr>
            <w:r>
              <w:rPr>
                <w:color w:val="000000"/>
                <w:sz w:val="24"/>
              </w:rPr>
              <w:t>5.09</w:t>
            </w:r>
          </w:p>
        </w:tc>
      </w:tr>
      <w:tr w:rsidR="00EC5FA6">
        <w:trPr>
          <w:jc w:val="center"/>
        </w:trPr>
        <w:tc>
          <w:tcPr>
            <w:tcW w:w="2484" w:type="dxa"/>
            <w:vAlign w:val="center"/>
          </w:tcPr>
          <w:p w:rsidR="00EC5FA6" w:rsidRDefault="00A85176">
            <w:pPr>
              <w:jc w:val="left"/>
            </w:pPr>
            <w:r>
              <w:rPr>
                <w:color w:val="000000"/>
                <w:sz w:val="24"/>
              </w:rPr>
              <w:t>法国</w:t>
            </w:r>
          </w:p>
        </w:tc>
        <w:tc>
          <w:tcPr>
            <w:tcW w:w="3214" w:type="dxa"/>
            <w:vAlign w:val="center"/>
          </w:tcPr>
          <w:p w:rsidR="00EC5FA6" w:rsidRDefault="00A85176">
            <w:pPr>
              <w:jc w:val="right"/>
            </w:pPr>
            <w:r>
              <w:rPr>
                <w:color w:val="000000"/>
                <w:sz w:val="24"/>
              </w:rPr>
              <w:t>4,808,093.92</w:t>
            </w:r>
          </w:p>
        </w:tc>
        <w:tc>
          <w:tcPr>
            <w:tcW w:w="3170" w:type="dxa"/>
            <w:vAlign w:val="center"/>
          </w:tcPr>
          <w:p w:rsidR="00EC5FA6" w:rsidRDefault="00A85176">
            <w:pPr>
              <w:jc w:val="right"/>
            </w:pPr>
            <w:r>
              <w:rPr>
                <w:color w:val="000000"/>
                <w:sz w:val="24"/>
              </w:rPr>
              <w:t>3.16</w:t>
            </w:r>
          </w:p>
        </w:tc>
      </w:tr>
      <w:tr w:rsidR="00EC5FA6">
        <w:trPr>
          <w:jc w:val="center"/>
        </w:trPr>
        <w:tc>
          <w:tcPr>
            <w:tcW w:w="2484" w:type="dxa"/>
            <w:vAlign w:val="center"/>
          </w:tcPr>
          <w:p w:rsidR="00EC5FA6" w:rsidRDefault="00A85176">
            <w:pPr>
              <w:jc w:val="left"/>
            </w:pPr>
            <w:r>
              <w:rPr>
                <w:color w:val="000000"/>
                <w:sz w:val="24"/>
              </w:rPr>
              <w:t>瑞士</w:t>
            </w:r>
          </w:p>
        </w:tc>
        <w:tc>
          <w:tcPr>
            <w:tcW w:w="3214" w:type="dxa"/>
            <w:vAlign w:val="center"/>
          </w:tcPr>
          <w:p w:rsidR="00EC5FA6" w:rsidRDefault="00A85176">
            <w:pPr>
              <w:jc w:val="right"/>
            </w:pPr>
            <w:r>
              <w:rPr>
                <w:color w:val="000000"/>
                <w:sz w:val="24"/>
              </w:rPr>
              <w:t>4,350,773.89</w:t>
            </w:r>
          </w:p>
        </w:tc>
        <w:tc>
          <w:tcPr>
            <w:tcW w:w="3170" w:type="dxa"/>
            <w:vAlign w:val="center"/>
          </w:tcPr>
          <w:p w:rsidR="00EC5FA6" w:rsidRDefault="00A85176">
            <w:pPr>
              <w:jc w:val="right"/>
            </w:pPr>
            <w:r>
              <w:rPr>
                <w:color w:val="000000"/>
                <w:sz w:val="24"/>
              </w:rPr>
              <w:t>2.86</w:t>
            </w:r>
          </w:p>
        </w:tc>
      </w:tr>
      <w:tr w:rsidR="00EC5FA6">
        <w:trPr>
          <w:jc w:val="center"/>
        </w:trPr>
        <w:tc>
          <w:tcPr>
            <w:tcW w:w="2484" w:type="dxa"/>
            <w:vAlign w:val="center"/>
          </w:tcPr>
          <w:p w:rsidR="00EC5FA6" w:rsidRDefault="00A85176">
            <w:pPr>
              <w:jc w:val="left"/>
            </w:pPr>
            <w:r>
              <w:rPr>
                <w:color w:val="000000"/>
                <w:sz w:val="24"/>
              </w:rPr>
              <w:t>德国</w:t>
            </w:r>
          </w:p>
        </w:tc>
        <w:tc>
          <w:tcPr>
            <w:tcW w:w="3214" w:type="dxa"/>
            <w:vAlign w:val="center"/>
          </w:tcPr>
          <w:p w:rsidR="00EC5FA6" w:rsidRDefault="00A85176">
            <w:pPr>
              <w:jc w:val="right"/>
            </w:pPr>
            <w:r>
              <w:rPr>
                <w:color w:val="000000"/>
                <w:sz w:val="24"/>
              </w:rPr>
              <w:t>3,026,527.42</w:t>
            </w:r>
          </w:p>
        </w:tc>
        <w:tc>
          <w:tcPr>
            <w:tcW w:w="3170" w:type="dxa"/>
            <w:vAlign w:val="center"/>
          </w:tcPr>
          <w:p w:rsidR="00EC5FA6" w:rsidRDefault="00A85176">
            <w:pPr>
              <w:jc w:val="right"/>
            </w:pPr>
            <w:r>
              <w:rPr>
                <w:color w:val="000000"/>
                <w:sz w:val="24"/>
              </w:rPr>
              <w:t>1.99</w:t>
            </w:r>
          </w:p>
        </w:tc>
      </w:tr>
      <w:tr w:rsidR="00EC5FA6">
        <w:trPr>
          <w:jc w:val="center"/>
        </w:trPr>
        <w:tc>
          <w:tcPr>
            <w:tcW w:w="2484" w:type="dxa"/>
            <w:vAlign w:val="center"/>
          </w:tcPr>
          <w:p w:rsidR="00EC5FA6" w:rsidRDefault="00A85176">
            <w:pPr>
              <w:jc w:val="left"/>
            </w:pPr>
            <w:r>
              <w:rPr>
                <w:color w:val="000000"/>
                <w:sz w:val="24"/>
              </w:rPr>
              <w:t>芬兰</w:t>
            </w:r>
          </w:p>
        </w:tc>
        <w:tc>
          <w:tcPr>
            <w:tcW w:w="3214" w:type="dxa"/>
            <w:vAlign w:val="center"/>
          </w:tcPr>
          <w:p w:rsidR="00EC5FA6" w:rsidRDefault="00A85176">
            <w:pPr>
              <w:jc w:val="right"/>
            </w:pPr>
            <w:r>
              <w:rPr>
                <w:color w:val="000000"/>
                <w:sz w:val="24"/>
              </w:rPr>
              <w:t>2,093,280.90</w:t>
            </w:r>
          </w:p>
        </w:tc>
        <w:tc>
          <w:tcPr>
            <w:tcW w:w="3170" w:type="dxa"/>
            <w:vAlign w:val="center"/>
          </w:tcPr>
          <w:p w:rsidR="00EC5FA6" w:rsidRDefault="00A85176">
            <w:pPr>
              <w:jc w:val="right"/>
            </w:pPr>
            <w:r>
              <w:rPr>
                <w:color w:val="000000"/>
                <w:sz w:val="24"/>
              </w:rPr>
              <w:t>1.37</w:t>
            </w:r>
          </w:p>
        </w:tc>
      </w:tr>
      <w:tr w:rsidR="00EC5FA6">
        <w:trPr>
          <w:jc w:val="center"/>
        </w:trPr>
        <w:tc>
          <w:tcPr>
            <w:tcW w:w="2484" w:type="dxa"/>
            <w:vAlign w:val="center"/>
          </w:tcPr>
          <w:p w:rsidR="00EC5FA6" w:rsidRDefault="00A85176">
            <w:pPr>
              <w:jc w:val="left"/>
            </w:pPr>
            <w:r>
              <w:rPr>
                <w:color w:val="000000"/>
                <w:sz w:val="24"/>
              </w:rPr>
              <w:t>挪威</w:t>
            </w:r>
          </w:p>
        </w:tc>
        <w:tc>
          <w:tcPr>
            <w:tcW w:w="3214" w:type="dxa"/>
            <w:vAlign w:val="center"/>
          </w:tcPr>
          <w:p w:rsidR="00EC5FA6" w:rsidRDefault="00A85176">
            <w:pPr>
              <w:jc w:val="right"/>
            </w:pPr>
            <w:r>
              <w:rPr>
                <w:color w:val="000000"/>
                <w:sz w:val="24"/>
              </w:rPr>
              <w:t>1,538,977.92</w:t>
            </w:r>
          </w:p>
        </w:tc>
        <w:tc>
          <w:tcPr>
            <w:tcW w:w="3170" w:type="dxa"/>
            <w:vAlign w:val="center"/>
          </w:tcPr>
          <w:p w:rsidR="00EC5FA6" w:rsidRDefault="00A85176">
            <w:pPr>
              <w:jc w:val="right"/>
            </w:pPr>
            <w:r>
              <w:rPr>
                <w:color w:val="000000"/>
                <w:sz w:val="24"/>
              </w:rPr>
              <w:t>1.01</w:t>
            </w:r>
          </w:p>
        </w:tc>
      </w:tr>
      <w:tr w:rsidR="00EC5FA6">
        <w:trPr>
          <w:jc w:val="center"/>
        </w:trPr>
        <w:tc>
          <w:tcPr>
            <w:tcW w:w="2484" w:type="dxa"/>
            <w:vAlign w:val="center"/>
          </w:tcPr>
          <w:p w:rsidR="00EC5FA6" w:rsidRDefault="00A85176">
            <w:pPr>
              <w:jc w:val="left"/>
            </w:pPr>
            <w:r>
              <w:rPr>
                <w:color w:val="000000"/>
                <w:sz w:val="24"/>
              </w:rPr>
              <w:t>泰国</w:t>
            </w:r>
          </w:p>
        </w:tc>
        <w:tc>
          <w:tcPr>
            <w:tcW w:w="3214" w:type="dxa"/>
            <w:vAlign w:val="center"/>
          </w:tcPr>
          <w:p w:rsidR="00EC5FA6" w:rsidRDefault="00A85176">
            <w:pPr>
              <w:jc w:val="right"/>
            </w:pPr>
            <w:r>
              <w:rPr>
                <w:color w:val="000000"/>
                <w:sz w:val="24"/>
              </w:rPr>
              <w:t>1,384,586.13</w:t>
            </w:r>
          </w:p>
        </w:tc>
        <w:tc>
          <w:tcPr>
            <w:tcW w:w="3170" w:type="dxa"/>
            <w:vAlign w:val="center"/>
          </w:tcPr>
          <w:p w:rsidR="00EC5FA6" w:rsidRDefault="00A85176">
            <w:pPr>
              <w:jc w:val="right"/>
            </w:pPr>
            <w:r>
              <w:rPr>
                <w:color w:val="000000"/>
                <w:sz w:val="24"/>
              </w:rPr>
              <w:t>0.91</w:t>
            </w:r>
          </w:p>
        </w:tc>
      </w:tr>
      <w:tr w:rsidR="00EC5FA6">
        <w:trPr>
          <w:jc w:val="center"/>
        </w:trPr>
        <w:tc>
          <w:tcPr>
            <w:tcW w:w="2484" w:type="dxa"/>
            <w:vAlign w:val="center"/>
          </w:tcPr>
          <w:p w:rsidR="00EC5FA6" w:rsidRDefault="00A85176">
            <w:pPr>
              <w:jc w:val="left"/>
            </w:pPr>
            <w:r>
              <w:rPr>
                <w:color w:val="000000"/>
                <w:sz w:val="24"/>
              </w:rPr>
              <w:t>新加坡</w:t>
            </w:r>
          </w:p>
        </w:tc>
        <w:tc>
          <w:tcPr>
            <w:tcW w:w="3214" w:type="dxa"/>
            <w:vAlign w:val="center"/>
          </w:tcPr>
          <w:p w:rsidR="00EC5FA6" w:rsidRDefault="00A85176">
            <w:pPr>
              <w:jc w:val="right"/>
            </w:pPr>
            <w:r>
              <w:rPr>
                <w:color w:val="000000"/>
                <w:sz w:val="24"/>
              </w:rPr>
              <w:t>1,343,439.45</w:t>
            </w:r>
          </w:p>
        </w:tc>
        <w:tc>
          <w:tcPr>
            <w:tcW w:w="3170" w:type="dxa"/>
            <w:vAlign w:val="center"/>
          </w:tcPr>
          <w:p w:rsidR="00EC5FA6" w:rsidRDefault="00A85176">
            <w:pPr>
              <w:jc w:val="right"/>
            </w:pPr>
            <w:r>
              <w:rPr>
                <w:color w:val="000000"/>
                <w:sz w:val="24"/>
              </w:rPr>
              <w:t>0.88</w:t>
            </w:r>
          </w:p>
        </w:tc>
      </w:tr>
      <w:tr w:rsidR="00EC5FA6">
        <w:trPr>
          <w:jc w:val="center"/>
        </w:trPr>
        <w:tc>
          <w:tcPr>
            <w:tcW w:w="2484" w:type="dxa"/>
            <w:vAlign w:val="center"/>
          </w:tcPr>
          <w:p w:rsidR="00EC5FA6" w:rsidRDefault="00A85176">
            <w:pPr>
              <w:jc w:val="left"/>
            </w:pPr>
            <w:r>
              <w:rPr>
                <w:color w:val="000000"/>
                <w:sz w:val="24"/>
              </w:rPr>
              <w:t>巴西</w:t>
            </w:r>
          </w:p>
        </w:tc>
        <w:tc>
          <w:tcPr>
            <w:tcW w:w="3214" w:type="dxa"/>
            <w:vAlign w:val="center"/>
          </w:tcPr>
          <w:p w:rsidR="00EC5FA6" w:rsidRDefault="00A85176">
            <w:pPr>
              <w:jc w:val="right"/>
            </w:pPr>
            <w:r>
              <w:rPr>
                <w:color w:val="000000"/>
                <w:sz w:val="24"/>
              </w:rPr>
              <w:t>1,263,030.40</w:t>
            </w:r>
          </w:p>
        </w:tc>
        <w:tc>
          <w:tcPr>
            <w:tcW w:w="3170" w:type="dxa"/>
            <w:vAlign w:val="center"/>
          </w:tcPr>
          <w:p w:rsidR="00EC5FA6" w:rsidRDefault="00A85176">
            <w:pPr>
              <w:jc w:val="right"/>
            </w:pPr>
            <w:r>
              <w:rPr>
                <w:color w:val="000000"/>
                <w:sz w:val="24"/>
              </w:rPr>
              <w:t>0.83</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146,137,115.90</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95.92</w:t>
            </w:r>
          </w:p>
        </w:tc>
      </w:tr>
    </w:tbl>
    <w:p w:rsidR="00EC5FA6" w:rsidRDefault="00A8517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9700FB">
        <w:trPr>
          <w:jc w:val="center"/>
        </w:trPr>
        <w:tc>
          <w:tcPr>
            <w:tcW w:w="2904"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65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30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EC5FA6">
        <w:trPr>
          <w:jc w:val="center"/>
        </w:trPr>
        <w:tc>
          <w:tcPr>
            <w:tcW w:w="2904" w:type="dxa"/>
            <w:vAlign w:val="center"/>
          </w:tcPr>
          <w:p w:rsidR="00EC5FA6" w:rsidRDefault="00A85176">
            <w:pPr>
              <w:jc w:val="left"/>
            </w:pPr>
            <w:r>
              <w:rPr>
                <w:color w:val="000000"/>
                <w:sz w:val="24"/>
              </w:rPr>
              <w:t>非必需消费品</w:t>
            </w:r>
          </w:p>
        </w:tc>
        <w:tc>
          <w:tcPr>
            <w:tcW w:w="2657" w:type="dxa"/>
            <w:vAlign w:val="center"/>
          </w:tcPr>
          <w:p w:rsidR="00EC5FA6" w:rsidRDefault="00A85176">
            <w:pPr>
              <w:jc w:val="right"/>
            </w:pPr>
            <w:r>
              <w:rPr>
                <w:color w:val="000000"/>
                <w:sz w:val="24"/>
              </w:rPr>
              <w:t>28,284,445.62</w:t>
            </w:r>
          </w:p>
        </w:tc>
        <w:tc>
          <w:tcPr>
            <w:tcW w:w="3307" w:type="dxa"/>
            <w:vAlign w:val="center"/>
          </w:tcPr>
          <w:p w:rsidR="00EC5FA6" w:rsidRDefault="00A85176">
            <w:pPr>
              <w:jc w:val="right"/>
            </w:pPr>
            <w:r>
              <w:rPr>
                <w:color w:val="000000"/>
                <w:sz w:val="24"/>
              </w:rPr>
              <w:t>18.57</w:t>
            </w:r>
          </w:p>
        </w:tc>
      </w:tr>
      <w:tr w:rsidR="00EC5FA6">
        <w:trPr>
          <w:jc w:val="center"/>
        </w:trPr>
        <w:tc>
          <w:tcPr>
            <w:tcW w:w="2904" w:type="dxa"/>
            <w:vAlign w:val="center"/>
          </w:tcPr>
          <w:p w:rsidR="00EC5FA6" w:rsidRDefault="00A85176">
            <w:pPr>
              <w:jc w:val="left"/>
            </w:pPr>
            <w:r>
              <w:rPr>
                <w:color w:val="000000"/>
                <w:sz w:val="24"/>
              </w:rPr>
              <w:t>信息技术</w:t>
            </w:r>
          </w:p>
        </w:tc>
        <w:tc>
          <w:tcPr>
            <w:tcW w:w="2657" w:type="dxa"/>
            <w:vAlign w:val="center"/>
          </w:tcPr>
          <w:p w:rsidR="00EC5FA6" w:rsidRDefault="00A85176">
            <w:pPr>
              <w:jc w:val="right"/>
            </w:pPr>
            <w:r>
              <w:rPr>
                <w:color w:val="000000"/>
                <w:sz w:val="24"/>
              </w:rPr>
              <w:t>27,471,965.37</w:t>
            </w:r>
          </w:p>
        </w:tc>
        <w:tc>
          <w:tcPr>
            <w:tcW w:w="3307" w:type="dxa"/>
            <w:vAlign w:val="center"/>
          </w:tcPr>
          <w:p w:rsidR="00EC5FA6" w:rsidRDefault="00A85176">
            <w:pPr>
              <w:jc w:val="right"/>
            </w:pPr>
            <w:r>
              <w:rPr>
                <w:color w:val="000000"/>
                <w:sz w:val="24"/>
              </w:rPr>
              <w:t>18.03</w:t>
            </w:r>
          </w:p>
        </w:tc>
      </w:tr>
      <w:tr w:rsidR="00EC5FA6">
        <w:trPr>
          <w:jc w:val="center"/>
        </w:trPr>
        <w:tc>
          <w:tcPr>
            <w:tcW w:w="2904" w:type="dxa"/>
            <w:vAlign w:val="center"/>
          </w:tcPr>
          <w:p w:rsidR="00EC5FA6" w:rsidRDefault="00A85176">
            <w:pPr>
              <w:jc w:val="left"/>
            </w:pPr>
            <w:r>
              <w:rPr>
                <w:color w:val="000000"/>
                <w:sz w:val="24"/>
              </w:rPr>
              <w:t>金融</w:t>
            </w:r>
          </w:p>
        </w:tc>
        <w:tc>
          <w:tcPr>
            <w:tcW w:w="2657" w:type="dxa"/>
            <w:vAlign w:val="center"/>
          </w:tcPr>
          <w:p w:rsidR="00EC5FA6" w:rsidRDefault="00A85176">
            <w:pPr>
              <w:jc w:val="right"/>
            </w:pPr>
            <w:r>
              <w:rPr>
                <w:color w:val="000000"/>
                <w:sz w:val="24"/>
              </w:rPr>
              <w:t>21,023,815.77</w:t>
            </w:r>
          </w:p>
        </w:tc>
        <w:tc>
          <w:tcPr>
            <w:tcW w:w="3307" w:type="dxa"/>
            <w:vAlign w:val="center"/>
          </w:tcPr>
          <w:p w:rsidR="00EC5FA6" w:rsidRDefault="00A85176">
            <w:pPr>
              <w:jc w:val="right"/>
            </w:pPr>
            <w:r>
              <w:rPr>
                <w:color w:val="000000"/>
                <w:sz w:val="24"/>
              </w:rPr>
              <w:t>13.80</w:t>
            </w:r>
          </w:p>
        </w:tc>
      </w:tr>
      <w:tr w:rsidR="00EC5FA6">
        <w:trPr>
          <w:jc w:val="center"/>
        </w:trPr>
        <w:tc>
          <w:tcPr>
            <w:tcW w:w="2904" w:type="dxa"/>
            <w:vAlign w:val="center"/>
          </w:tcPr>
          <w:p w:rsidR="00EC5FA6" w:rsidRDefault="00A85176">
            <w:pPr>
              <w:jc w:val="left"/>
            </w:pPr>
            <w:r>
              <w:rPr>
                <w:color w:val="000000"/>
                <w:sz w:val="24"/>
              </w:rPr>
              <w:t>保健</w:t>
            </w:r>
          </w:p>
        </w:tc>
        <w:tc>
          <w:tcPr>
            <w:tcW w:w="2657" w:type="dxa"/>
            <w:vAlign w:val="center"/>
          </w:tcPr>
          <w:p w:rsidR="00EC5FA6" w:rsidRDefault="00A85176">
            <w:pPr>
              <w:jc w:val="right"/>
            </w:pPr>
            <w:r>
              <w:rPr>
                <w:color w:val="000000"/>
                <w:sz w:val="24"/>
              </w:rPr>
              <w:t>18,425,716.55</w:t>
            </w:r>
          </w:p>
        </w:tc>
        <w:tc>
          <w:tcPr>
            <w:tcW w:w="3307" w:type="dxa"/>
            <w:vAlign w:val="center"/>
          </w:tcPr>
          <w:p w:rsidR="00EC5FA6" w:rsidRDefault="00A85176">
            <w:pPr>
              <w:jc w:val="right"/>
            </w:pPr>
            <w:r>
              <w:rPr>
                <w:color w:val="000000"/>
                <w:sz w:val="24"/>
              </w:rPr>
              <w:t>12.09</w:t>
            </w:r>
          </w:p>
        </w:tc>
      </w:tr>
      <w:tr w:rsidR="00EC5FA6">
        <w:trPr>
          <w:jc w:val="center"/>
        </w:trPr>
        <w:tc>
          <w:tcPr>
            <w:tcW w:w="2904" w:type="dxa"/>
            <w:vAlign w:val="center"/>
          </w:tcPr>
          <w:p w:rsidR="00EC5FA6" w:rsidRDefault="00A85176">
            <w:pPr>
              <w:jc w:val="left"/>
            </w:pPr>
            <w:r>
              <w:rPr>
                <w:color w:val="000000"/>
                <w:sz w:val="24"/>
              </w:rPr>
              <w:t>工业</w:t>
            </w:r>
          </w:p>
        </w:tc>
        <w:tc>
          <w:tcPr>
            <w:tcW w:w="2657" w:type="dxa"/>
            <w:vAlign w:val="center"/>
          </w:tcPr>
          <w:p w:rsidR="00EC5FA6" w:rsidRDefault="00A85176">
            <w:pPr>
              <w:jc w:val="right"/>
            </w:pPr>
            <w:r>
              <w:rPr>
                <w:color w:val="000000"/>
                <w:sz w:val="24"/>
              </w:rPr>
              <w:t>16,289,641.57</w:t>
            </w:r>
          </w:p>
        </w:tc>
        <w:tc>
          <w:tcPr>
            <w:tcW w:w="3307" w:type="dxa"/>
            <w:vAlign w:val="center"/>
          </w:tcPr>
          <w:p w:rsidR="00EC5FA6" w:rsidRDefault="00A85176">
            <w:pPr>
              <w:jc w:val="right"/>
            </w:pPr>
            <w:r>
              <w:rPr>
                <w:color w:val="000000"/>
                <w:sz w:val="24"/>
              </w:rPr>
              <w:t>10.69</w:t>
            </w:r>
          </w:p>
        </w:tc>
      </w:tr>
      <w:tr w:rsidR="00EC5FA6">
        <w:trPr>
          <w:jc w:val="center"/>
        </w:trPr>
        <w:tc>
          <w:tcPr>
            <w:tcW w:w="2904" w:type="dxa"/>
            <w:vAlign w:val="center"/>
          </w:tcPr>
          <w:p w:rsidR="00EC5FA6" w:rsidRDefault="00A85176">
            <w:pPr>
              <w:jc w:val="left"/>
            </w:pPr>
            <w:r>
              <w:rPr>
                <w:color w:val="000000"/>
                <w:sz w:val="24"/>
              </w:rPr>
              <w:t>能源</w:t>
            </w:r>
          </w:p>
        </w:tc>
        <w:tc>
          <w:tcPr>
            <w:tcW w:w="2657" w:type="dxa"/>
            <w:vAlign w:val="center"/>
          </w:tcPr>
          <w:p w:rsidR="00EC5FA6" w:rsidRDefault="00A85176">
            <w:pPr>
              <w:jc w:val="right"/>
            </w:pPr>
            <w:r>
              <w:rPr>
                <w:color w:val="000000"/>
                <w:sz w:val="24"/>
              </w:rPr>
              <w:t>10,334,502.00</w:t>
            </w:r>
          </w:p>
        </w:tc>
        <w:tc>
          <w:tcPr>
            <w:tcW w:w="3307" w:type="dxa"/>
            <w:vAlign w:val="center"/>
          </w:tcPr>
          <w:p w:rsidR="00EC5FA6" w:rsidRDefault="00A85176">
            <w:pPr>
              <w:jc w:val="right"/>
            </w:pPr>
            <w:r>
              <w:rPr>
                <w:color w:val="000000"/>
                <w:sz w:val="24"/>
              </w:rPr>
              <w:t>6.78</w:t>
            </w:r>
          </w:p>
        </w:tc>
      </w:tr>
      <w:tr w:rsidR="00EC5FA6">
        <w:trPr>
          <w:jc w:val="center"/>
        </w:trPr>
        <w:tc>
          <w:tcPr>
            <w:tcW w:w="2904" w:type="dxa"/>
            <w:vAlign w:val="center"/>
          </w:tcPr>
          <w:p w:rsidR="00EC5FA6" w:rsidRDefault="00A85176">
            <w:pPr>
              <w:jc w:val="left"/>
            </w:pPr>
            <w:r>
              <w:rPr>
                <w:color w:val="000000"/>
                <w:sz w:val="24"/>
              </w:rPr>
              <w:t>必需消费品</w:t>
            </w:r>
          </w:p>
        </w:tc>
        <w:tc>
          <w:tcPr>
            <w:tcW w:w="2657" w:type="dxa"/>
            <w:vAlign w:val="center"/>
          </w:tcPr>
          <w:p w:rsidR="00EC5FA6" w:rsidRDefault="00A85176">
            <w:pPr>
              <w:jc w:val="right"/>
            </w:pPr>
            <w:r>
              <w:rPr>
                <w:color w:val="000000"/>
                <w:sz w:val="24"/>
              </w:rPr>
              <w:t>9,052,547.70</w:t>
            </w:r>
          </w:p>
        </w:tc>
        <w:tc>
          <w:tcPr>
            <w:tcW w:w="3307" w:type="dxa"/>
            <w:vAlign w:val="center"/>
          </w:tcPr>
          <w:p w:rsidR="00EC5FA6" w:rsidRDefault="00A85176">
            <w:pPr>
              <w:jc w:val="right"/>
            </w:pPr>
            <w:r>
              <w:rPr>
                <w:color w:val="000000"/>
                <w:sz w:val="24"/>
              </w:rPr>
              <w:t>5.94</w:t>
            </w:r>
          </w:p>
        </w:tc>
      </w:tr>
      <w:tr w:rsidR="00EC5FA6">
        <w:trPr>
          <w:jc w:val="center"/>
        </w:trPr>
        <w:tc>
          <w:tcPr>
            <w:tcW w:w="2904" w:type="dxa"/>
            <w:vAlign w:val="center"/>
          </w:tcPr>
          <w:p w:rsidR="00EC5FA6" w:rsidRDefault="00A85176">
            <w:pPr>
              <w:jc w:val="left"/>
            </w:pPr>
            <w:r>
              <w:rPr>
                <w:color w:val="000000"/>
                <w:sz w:val="24"/>
              </w:rPr>
              <w:t>材料</w:t>
            </w:r>
          </w:p>
        </w:tc>
        <w:tc>
          <w:tcPr>
            <w:tcW w:w="2657" w:type="dxa"/>
            <w:vAlign w:val="center"/>
          </w:tcPr>
          <w:p w:rsidR="00EC5FA6" w:rsidRDefault="00A85176">
            <w:pPr>
              <w:jc w:val="right"/>
            </w:pPr>
            <w:r>
              <w:rPr>
                <w:color w:val="000000"/>
                <w:sz w:val="24"/>
              </w:rPr>
              <w:t>8,715,462.11</w:t>
            </w:r>
          </w:p>
        </w:tc>
        <w:tc>
          <w:tcPr>
            <w:tcW w:w="3307" w:type="dxa"/>
            <w:vAlign w:val="center"/>
          </w:tcPr>
          <w:p w:rsidR="00EC5FA6" w:rsidRDefault="00A85176">
            <w:pPr>
              <w:jc w:val="right"/>
            </w:pPr>
            <w:r>
              <w:rPr>
                <w:color w:val="000000"/>
                <w:sz w:val="24"/>
              </w:rPr>
              <w:t>5.72</w:t>
            </w:r>
          </w:p>
        </w:tc>
      </w:tr>
      <w:tr w:rsidR="00EC5FA6">
        <w:trPr>
          <w:jc w:val="center"/>
        </w:trPr>
        <w:tc>
          <w:tcPr>
            <w:tcW w:w="2904" w:type="dxa"/>
            <w:vAlign w:val="center"/>
          </w:tcPr>
          <w:p w:rsidR="00EC5FA6" w:rsidRDefault="00A85176">
            <w:pPr>
              <w:jc w:val="left"/>
            </w:pPr>
            <w:r>
              <w:rPr>
                <w:color w:val="000000"/>
                <w:sz w:val="24"/>
              </w:rPr>
              <w:t>公共事业</w:t>
            </w:r>
          </w:p>
        </w:tc>
        <w:tc>
          <w:tcPr>
            <w:tcW w:w="2657" w:type="dxa"/>
            <w:vAlign w:val="center"/>
          </w:tcPr>
          <w:p w:rsidR="00EC5FA6" w:rsidRDefault="00A85176">
            <w:pPr>
              <w:jc w:val="right"/>
            </w:pPr>
            <w:r>
              <w:rPr>
                <w:color w:val="000000"/>
                <w:sz w:val="24"/>
              </w:rPr>
              <w:t>5,238,746.73</w:t>
            </w:r>
          </w:p>
        </w:tc>
        <w:tc>
          <w:tcPr>
            <w:tcW w:w="3307" w:type="dxa"/>
            <w:vAlign w:val="center"/>
          </w:tcPr>
          <w:p w:rsidR="00EC5FA6" w:rsidRDefault="00A85176">
            <w:pPr>
              <w:jc w:val="right"/>
            </w:pPr>
            <w:r>
              <w:rPr>
                <w:color w:val="000000"/>
                <w:sz w:val="24"/>
              </w:rPr>
              <w:t>3.44</w:t>
            </w:r>
          </w:p>
        </w:tc>
      </w:tr>
      <w:tr w:rsidR="00EC5FA6">
        <w:trPr>
          <w:jc w:val="center"/>
        </w:trPr>
        <w:tc>
          <w:tcPr>
            <w:tcW w:w="2904" w:type="dxa"/>
            <w:vAlign w:val="center"/>
          </w:tcPr>
          <w:p w:rsidR="00EC5FA6" w:rsidRDefault="00A85176">
            <w:pPr>
              <w:jc w:val="left"/>
            </w:pPr>
            <w:r>
              <w:rPr>
                <w:color w:val="000000"/>
                <w:sz w:val="24"/>
              </w:rPr>
              <w:t>电信服务</w:t>
            </w:r>
          </w:p>
        </w:tc>
        <w:tc>
          <w:tcPr>
            <w:tcW w:w="2657" w:type="dxa"/>
            <w:vAlign w:val="center"/>
          </w:tcPr>
          <w:p w:rsidR="00EC5FA6" w:rsidRDefault="00A85176">
            <w:pPr>
              <w:jc w:val="right"/>
            </w:pPr>
            <w:r>
              <w:rPr>
                <w:color w:val="000000"/>
                <w:sz w:val="24"/>
              </w:rPr>
              <w:t>1,300,272.48</w:t>
            </w:r>
          </w:p>
        </w:tc>
        <w:tc>
          <w:tcPr>
            <w:tcW w:w="3307" w:type="dxa"/>
            <w:vAlign w:val="center"/>
          </w:tcPr>
          <w:p w:rsidR="00EC5FA6" w:rsidRDefault="00A85176">
            <w:pPr>
              <w:jc w:val="right"/>
            </w:pPr>
            <w:r>
              <w:rPr>
                <w:color w:val="000000"/>
                <w:sz w:val="24"/>
              </w:rPr>
              <w:t>0.85</w:t>
            </w:r>
          </w:p>
        </w:tc>
      </w:tr>
      <w:tr w:rsidR="00C37E98" w:rsidRPr="008640AE" w:rsidTr="009700FB">
        <w:trPr>
          <w:jc w:val="center"/>
        </w:trPr>
        <w:tc>
          <w:tcPr>
            <w:tcW w:w="2904"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657"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146,137,115.90</w:t>
            </w:r>
          </w:p>
        </w:tc>
        <w:tc>
          <w:tcPr>
            <w:tcW w:w="3307"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95.92</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5000" w:type="pct"/>
        <w:jc w:val="center"/>
        <w:tblCellMar>
          <w:top w:w="57" w:type="dxa"/>
          <w:bottom w:w="57" w:type="dxa"/>
        </w:tblCellMar>
        <w:tblLook w:val="04A0" w:firstRow="1" w:lastRow="0" w:firstColumn="1" w:lastColumn="0" w:noHBand="0" w:noVBand="1"/>
      </w:tblPr>
      <w:tblGrid>
        <w:gridCol w:w="473"/>
        <w:gridCol w:w="2421"/>
        <w:gridCol w:w="696"/>
        <w:gridCol w:w="1047"/>
        <w:gridCol w:w="471"/>
        <w:gridCol w:w="711"/>
        <w:gridCol w:w="996"/>
        <w:gridCol w:w="1476"/>
        <w:gridCol w:w="951"/>
      </w:tblGrid>
      <w:tr w:rsidR="001C7D5D" w:rsidRPr="00293A87" w:rsidTr="001B65D7">
        <w:trPr>
          <w:jc w:val="center"/>
        </w:trPr>
        <w:tc>
          <w:tcPr>
            <w:tcW w:w="691" w:type="pct"/>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541" w:type="pct"/>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553" w:type="pct"/>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404" w:type="pct"/>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416" w:type="pct"/>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543" w:type="pct"/>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654" w:type="pct"/>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543" w:type="pct"/>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654" w:type="pct"/>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EC5FA6" w:rsidTr="001B65D7">
        <w:trPr>
          <w:jc w:val="center"/>
        </w:trPr>
        <w:tc>
          <w:tcPr>
            <w:tcW w:w="691" w:type="pct"/>
            <w:vAlign w:val="center"/>
          </w:tcPr>
          <w:p w:rsidR="00EC5FA6" w:rsidRDefault="00A85176">
            <w:pPr>
              <w:jc w:val="center"/>
            </w:pPr>
            <w:r>
              <w:rPr>
                <w:color w:val="000000"/>
                <w:sz w:val="24"/>
              </w:rPr>
              <w:t>1</w:t>
            </w:r>
          </w:p>
        </w:tc>
        <w:tc>
          <w:tcPr>
            <w:tcW w:w="541" w:type="pct"/>
            <w:vAlign w:val="center"/>
          </w:tcPr>
          <w:p w:rsidR="00EC5FA6" w:rsidRDefault="00A85176">
            <w:pPr>
              <w:jc w:val="center"/>
            </w:pPr>
            <w:r>
              <w:rPr>
                <w:color w:val="000000"/>
                <w:sz w:val="24"/>
              </w:rPr>
              <w:t>TENCENT HOLDINGS LTD</w:t>
            </w:r>
          </w:p>
        </w:tc>
        <w:tc>
          <w:tcPr>
            <w:tcW w:w="553" w:type="pct"/>
            <w:vAlign w:val="center"/>
          </w:tcPr>
          <w:p w:rsidR="00EC5FA6" w:rsidRDefault="00A85176">
            <w:pPr>
              <w:jc w:val="center"/>
            </w:pPr>
            <w:r>
              <w:rPr>
                <w:color w:val="000000"/>
                <w:sz w:val="24"/>
              </w:rPr>
              <w:t>腾讯控股有限公司</w:t>
            </w:r>
          </w:p>
        </w:tc>
        <w:tc>
          <w:tcPr>
            <w:tcW w:w="404" w:type="pct"/>
            <w:vAlign w:val="center"/>
          </w:tcPr>
          <w:p w:rsidR="00EC5FA6" w:rsidRDefault="00A85176">
            <w:pPr>
              <w:jc w:val="center"/>
            </w:pPr>
            <w:r>
              <w:rPr>
                <w:color w:val="000000"/>
                <w:sz w:val="24"/>
              </w:rPr>
              <w:t>700 HK</w:t>
            </w:r>
          </w:p>
        </w:tc>
        <w:tc>
          <w:tcPr>
            <w:tcW w:w="416" w:type="pct"/>
            <w:vAlign w:val="center"/>
          </w:tcPr>
          <w:p w:rsidR="00EC5FA6" w:rsidRDefault="00A85176">
            <w:pPr>
              <w:jc w:val="center"/>
            </w:pPr>
            <w:r>
              <w:rPr>
                <w:color w:val="000000"/>
                <w:sz w:val="24"/>
              </w:rPr>
              <w:t>香港证券交易所</w:t>
            </w:r>
          </w:p>
        </w:tc>
        <w:tc>
          <w:tcPr>
            <w:tcW w:w="543" w:type="pct"/>
            <w:vAlign w:val="center"/>
          </w:tcPr>
          <w:p w:rsidR="00EC5FA6" w:rsidRDefault="00A85176">
            <w:pPr>
              <w:jc w:val="center"/>
            </w:pPr>
            <w:r>
              <w:rPr>
                <w:color w:val="000000"/>
                <w:sz w:val="24"/>
              </w:rPr>
              <w:t>香港</w:t>
            </w:r>
          </w:p>
        </w:tc>
        <w:tc>
          <w:tcPr>
            <w:tcW w:w="654" w:type="pct"/>
            <w:vAlign w:val="center"/>
          </w:tcPr>
          <w:p w:rsidR="00EC5FA6" w:rsidRDefault="00A85176">
            <w:pPr>
              <w:jc w:val="right"/>
            </w:pPr>
            <w:r>
              <w:rPr>
                <w:color w:val="000000"/>
                <w:sz w:val="24"/>
              </w:rPr>
              <w:t>65,000</w:t>
            </w:r>
          </w:p>
        </w:tc>
        <w:tc>
          <w:tcPr>
            <w:tcW w:w="543" w:type="pct"/>
            <w:vAlign w:val="center"/>
          </w:tcPr>
          <w:p w:rsidR="00EC5FA6" w:rsidRDefault="00A85176">
            <w:pPr>
              <w:jc w:val="right"/>
            </w:pPr>
            <w:r>
              <w:rPr>
                <w:color w:val="000000"/>
                <w:sz w:val="24"/>
              </w:rPr>
              <w:t>6,099,501.31</w:t>
            </w:r>
          </w:p>
        </w:tc>
        <w:tc>
          <w:tcPr>
            <w:tcW w:w="654" w:type="pct"/>
            <w:vAlign w:val="center"/>
          </w:tcPr>
          <w:p w:rsidR="00EC5FA6" w:rsidRDefault="00A85176">
            <w:pPr>
              <w:jc w:val="right"/>
            </w:pPr>
            <w:r>
              <w:rPr>
                <w:color w:val="000000"/>
                <w:sz w:val="24"/>
              </w:rPr>
              <w:t>4.00</w:t>
            </w:r>
          </w:p>
        </w:tc>
      </w:tr>
      <w:tr w:rsidR="00EC5FA6" w:rsidTr="001B65D7">
        <w:trPr>
          <w:jc w:val="center"/>
        </w:trPr>
        <w:tc>
          <w:tcPr>
            <w:tcW w:w="691" w:type="pct"/>
            <w:vAlign w:val="center"/>
          </w:tcPr>
          <w:p w:rsidR="00EC5FA6" w:rsidRDefault="00A85176">
            <w:pPr>
              <w:jc w:val="center"/>
            </w:pPr>
            <w:r>
              <w:rPr>
                <w:color w:val="000000"/>
                <w:sz w:val="24"/>
              </w:rPr>
              <w:t>2</w:t>
            </w:r>
          </w:p>
        </w:tc>
        <w:tc>
          <w:tcPr>
            <w:tcW w:w="541" w:type="pct"/>
            <w:vAlign w:val="center"/>
          </w:tcPr>
          <w:p w:rsidR="00EC5FA6" w:rsidRDefault="00A85176">
            <w:pPr>
              <w:jc w:val="center"/>
            </w:pPr>
            <w:r>
              <w:rPr>
                <w:color w:val="000000"/>
                <w:sz w:val="24"/>
              </w:rPr>
              <w:t>APPLE INC</w:t>
            </w:r>
          </w:p>
        </w:tc>
        <w:tc>
          <w:tcPr>
            <w:tcW w:w="553" w:type="pct"/>
            <w:vAlign w:val="center"/>
          </w:tcPr>
          <w:p w:rsidR="00EC5FA6" w:rsidRDefault="00A85176">
            <w:pPr>
              <w:jc w:val="center"/>
            </w:pPr>
            <w:r>
              <w:rPr>
                <w:color w:val="000000"/>
                <w:sz w:val="24"/>
              </w:rPr>
              <w:t>苹果公司</w:t>
            </w:r>
          </w:p>
        </w:tc>
        <w:tc>
          <w:tcPr>
            <w:tcW w:w="404" w:type="pct"/>
            <w:vAlign w:val="center"/>
          </w:tcPr>
          <w:p w:rsidR="00EC5FA6" w:rsidRDefault="00A85176">
            <w:pPr>
              <w:jc w:val="center"/>
            </w:pPr>
            <w:r>
              <w:rPr>
                <w:color w:val="000000"/>
                <w:sz w:val="24"/>
              </w:rPr>
              <w:t>AAPL US</w:t>
            </w:r>
          </w:p>
        </w:tc>
        <w:tc>
          <w:tcPr>
            <w:tcW w:w="416" w:type="pct"/>
            <w:vAlign w:val="center"/>
          </w:tcPr>
          <w:p w:rsidR="00EC5FA6" w:rsidRDefault="00A85176">
            <w:pPr>
              <w:jc w:val="center"/>
            </w:pPr>
            <w:r>
              <w:rPr>
                <w:color w:val="000000"/>
                <w:sz w:val="24"/>
              </w:rPr>
              <w:t>美国证券交易所</w:t>
            </w:r>
          </w:p>
        </w:tc>
        <w:tc>
          <w:tcPr>
            <w:tcW w:w="543" w:type="pct"/>
            <w:vAlign w:val="center"/>
          </w:tcPr>
          <w:p w:rsidR="00EC5FA6" w:rsidRDefault="00A85176">
            <w:pPr>
              <w:jc w:val="center"/>
            </w:pPr>
            <w:r>
              <w:rPr>
                <w:color w:val="000000"/>
                <w:sz w:val="24"/>
              </w:rPr>
              <w:t>美国</w:t>
            </w:r>
          </w:p>
        </w:tc>
        <w:tc>
          <w:tcPr>
            <w:tcW w:w="654" w:type="pct"/>
            <w:vAlign w:val="center"/>
          </w:tcPr>
          <w:p w:rsidR="00EC5FA6" w:rsidRDefault="00A85176">
            <w:pPr>
              <w:jc w:val="right"/>
            </w:pPr>
            <w:r>
              <w:rPr>
                <w:color w:val="000000"/>
                <w:sz w:val="24"/>
              </w:rPr>
              <w:t>7,000</w:t>
            </w:r>
          </w:p>
        </w:tc>
        <w:tc>
          <w:tcPr>
            <w:tcW w:w="543" w:type="pct"/>
            <w:vAlign w:val="center"/>
          </w:tcPr>
          <w:p w:rsidR="00EC5FA6" w:rsidRDefault="00A85176">
            <w:pPr>
              <w:jc w:val="right"/>
            </w:pPr>
            <w:r>
              <w:rPr>
                <w:color w:val="000000"/>
                <w:sz w:val="24"/>
              </w:rPr>
              <w:t>4,002,457.93</w:t>
            </w:r>
          </w:p>
        </w:tc>
        <w:tc>
          <w:tcPr>
            <w:tcW w:w="654" w:type="pct"/>
            <w:vAlign w:val="center"/>
          </w:tcPr>
          <w:p w:rsidR="00EC5FA6" w:rsidRDefault="00A85176">
            <w:pPr>
              <w:jc w:val="right"/>
            </w:pPr>
            <w:r>
              <w:rPr>
                <w:color w:val="000000"/>
                <w:sz w:val="24"/>
              </w:rPr>
              <w:t>2.63</w:t>
            </w:r>
          </w:p>
        </w:tc>
      </w:tr>
      <w:tr w:rsidR="00EC5FA6" w:rsidTr="001B65D7">
        <w:trPr>
          <w:jc w:val="center"/>
        </w:trPr>
        <w:tc>
          <w:tcPr>
            <w:tcW w:w="691" w:type="pct"/>
            <w:vAlign w:val="center"/>
          </w:tcPr>
          <w:p w:rsidR="00EC5FA6" w:rsidRDefault="00A85176">
            <w:pPr>
              <w:jc w:val="center"/>
            </w:pPr>
            <w:r>
              <w:rPr>
                <w:color w:val="000000"/>
                <w:sz w:val="24"/>
              </w:rPr>
              <w:t>3</w:t>
            </w:r>
          </w:p>
        </w:tc>
        <w:tc>
          <w:tcPr>
            <w:tcW w:w="541" w:type="pct"/>
            <w:vAlign w:val="center"/>
          </w:tcPr>
          <w:p w:rsidR="00EC5FA6" w:rsidRDefault="00A85176">
            <w:pPr>
              <w:jc w:val="center"/>
            </w:pPr>
            <w:r>
              <w:rPr>
                <w:color w:val="000000"/>
                <w:sz w:val="24"/>
              </w:rPr>
              <w:t>XINCHEN CHINA POWER HOLDINGS LIMITED</w:t>
            </w:r>
          </w:p>
        </w:tc>
        <w:tc>
          <w:tcPr>
            <w:tcW w:w="553" w:type="pct"/>
            <w:vAlign w:val="center"/>
          </w:tcPr>
          <w:p w:rsidR="00EC5FA6" w:rsidRDefault="00A85176">
            <w:pPr>
              <w:jc w:val="center"/>
            </w:pPr>
            <w:r>
              <w:rPr>
                <w:color w:val="000000"/>
                <w:sz w:val="24"/>
              </w:rPr>
              <w:t>新晨中国动力控股有限公司</w:t>
            </w:r>
          </w:p>
        </w:tc>
        <w:tc>
          <w:tcPr>
            <w:tcW w:w="404" w:type="pct"/>
            <w:vAlign w:val="center"/>
          </w:tcPr>
          <w:p w:rsidR="00EC5FA6" w:rsidRDefault="00A85176">
            <w:pPr>
              <w:jc w:val="center"/>
            </w:pPr>
            <w:r>
              <w:rPr>
                <w:color w:val="000000"/>
                <w:sz w:val="24"/>
              </w:rPr>
              <w:t>1148 HK</w:t>
            </w:r>
          </w:p>
        </w:tc>
        <w:tc>
          <w:tcPr>
            <w:tcW w:w="416" w:type="pct"/>
            <w:vAlign w:val="center"/>
          </w:tcPr>
          <w:p w:rsidR="00EC5FA6" w:rsidRDefault="00A85176">
            <w:pPr>
              <w:jc w:val="center"/>
            </w:pPr>
            <w:r>
              <w:rPr>
                <w:color w:val="000000"/>
                <w:sz w:val="24"/>
              </w:rPr>
              <w:t>香港证券交易所</w:t>
            </w:r>
          </w:p>
        </w:tc>
        <w:tc>
          <w:tcPr>
            <w:tcW w:w="543" w:type="pct"/>
            <w:vAlign w:val="center"/>
          </w:tcPr>
          <w:p w:rsidR="00EC5FA6" w:rsidRDefault="00A85176">
            <w:pPr>
              <w:jc w:val="center"/>
            </w:pPr>
            <w:r>
              <w:rPr>
                <w:color w:val="000000"/>
                <w:sz w:val="24"/>
              </w:rPr>
              <w:t>香港</w:t>
            </w:r>
          </w:p>
        </w:tc>
        <w:tc>
          <w:tcPr>
            <w:tcW w:w="654" w:type="pct"/>
            <w:vAlign w:val="center"/>
          </w:tcPr>
          <w:p w:rsidR="00EC5FA6" w:rsidRDefault="00A85176">
            <w:pPr>
              <w:jc w:val="right"/>
            </w:pPr>
            <w:r>
              <w:rPr>
                <w:color w:val="000000"/>
                <w:sz w:val="24"/>
              </w:rPr>
              <w:t>900,000</w:t>
            </w:r>
          </w:p>
        </w:tc>
        <w:tc>
          <w:tcPr>
            <w:tcW w:w="543" w:type="pct"/>
            <w:vAlign w:val="center"/>
          </w:tcPr>
          <w:p w:rsidR="00EC5FA6" w:rsidRDefault="00A85176">
            <w:pPr>
              <w:jc w:val="right"/>
            </w:pPr>
            <w:r>
              <w:rPr>
                <w:color w:val="000000"/>
                <w:sz w:val="24"/>
              </w:rPr>
              <w:t>3,579,676.09</w:t>
            </w:r>
          </w:p>
        </w:tc>
        <w:tc>
          <w:tcPr>
            <w:tcW w:w="654" w:type="pct"/>
            <w:vAlign w:val="center"/>
          </w:tcPr>
          <w:p w:rsidR="00EC5FA6" w:rsidRDefault="00A85176">
            <w:pPr>
              <w:jc w:val="right"/>
            </w:pPr>
            <w:r>
              <w:rPr>
                <w:color w:val="000000"/>
                <w:sz w:val="24"/>
              </w:rPr>
              <w:t>2.35</w:t>
            </w:r>
          </w:p>
        </w:tc>
      </w:tr>
      <w:tr w:rsidR="00EC5FA6" w:rsidTr="001B65D7">
        <w:trPr>
          <w:jc w:val="center"/>
        </w:trPr>
        <w:tc>
          <w:tcPr>
            <w:tcW w:w="691" w:type="pct"/>
            <w:vAlign w:val="center"/>
          </w:tcPr>
          <w:p w:rsidR="00EC5FA6" w:rsidRDefault="00A85176">
            <w:pPr>
              <w:jc w:val="center"/>
            </w:pPr>
            <w:r>
              <w:rPr>
                <w:color w:val="000000"/>
                <w:sz w:val="24"/>
              </w:rPr>
              <w:t>4</w:t>
            </w:r>
          </w:p>
        </w:tc>
        <w:tc>
          <w:tcPr>
            <w:tcW w:w="541" w:type="pct"/>
            <w:vAlign w:val="center"/>
          </w:tcPr>
          <w:p w:rsidR="00EC5FA6" w:rsidRDefault="00A85176">
            <w:pPr>
              <w:jc w:val="center"/>
            </w:pPr>
            <w:r>
              <w:rPr>
                <w:color w:val="000000"/>
                <w:sz w:val="24"/>
              </w:rPr>
              <w:t>SCHLUMBERGER LTD</w:t>
            </w:r>
          </w:p>
        </w:tc>
        <w:tc>
          <w:tcPr>
            <w:tcW w:w="553" w:type="pct"/>
            <w:vAlign w:val="center"/>
          </w:tcPr>
          <w:p w:rsidR="00EC5FA6" w:rsidRDefault="00A85176">
            <w:pPr>
              <w:jc w:val="center"/>
            </w:pPr>
            <w:r>
              <w:rPr>
                <w:color w:val="000000"/>
                <w:sz w:val="24"/>
              </w:rPr>
              <w:t>斯伦贝谢公司</w:t>
            </w:r>
          </w:p>
        </w:tc>
        <w:tc>
          <w:tcPr>
            <w:tcW w:w="404" w:type="pct"/>
            <w:vAlign w:val="center"/>
          </w:tcPr>
          <w:p w:rsidR="00EC5FA6" w:rsidRDefault="00A85176">
            <w:pPr>
              <w:jc w:val="center"/>
            </w:pPr>
            <w:r>
              <w:rPr>
                <w:color w:val="000000"/>
                <w:sz w:val="24"/>
              </w:rPr>
              <w:t>SLB US</w:t>
            </w:r>
          </w:p>
        </w:tc>
        <w:tc>
          <w:tcPr>
            <w:tcW w:w="416" w:type="pct"/>
            <w:vAlign w:val="center"/>
          </w:tcPr>
          <w:p w:rsidR="00EC5FA6" w:rsidRDefault="00A85176">
            <w:pPr>
              <w:jc w:val="center"/>
            </w:pPr>
            <w:r>
              <w:rPr>
                <w:color w:val="000000"/>
                <w:sz w:val="24"/>
              </w:rPr>
              <w:t>美国证券交易所</w:t>
            </w:r>
          </w:p>
        </w:tc>
        <w:tc>
          <w:tcPr>
            <w:tcW w:w="543" w:type="pct"/>
            <w:vAlign w:val="center"/>
          </w:tcPr>
          <w:p w:rsidR="00EC5FA6" w:rsidRDefault="00A85176">
            <w:pPr>
              <w:jc w:val="center"/>
            </w:pPr>
            <w:r>
              <w:rPr>
                <w:color w:val="000000"/>
                <w:sz w:val="24"/>
              </w:rPr>
              <w:t>美国</w:t>
            </w:r>
          </w:p>
        </w:tc>
        <w:tc>
          <w:tcPr>
            <w:tcW w:w="654" w:type="pct"/>
            <w:vAlign w:val="center"/>
          </w:tcPr>
          <w:p w:rsidR="00EC5FA6" w:rsidRDefault="00A85176">
            <w:pPr>
              <w:jc w:val="right"/>
            </w:pPr>
            <w:r>
              <w:rPr>
                <w:color w:val="000000"/>
                <w:sz w:val="24"/>
              </w:rPr>
              <w:t>4,320</w:t>
            </w:r>
          </w:p>
        </w:tc>
        <w:tc>
          <w:tcPr>
            <w:tcW w:w="543" w:type="pct"/>
            <w:vAlign w:val="center"/>
          </w:tcPr>
          <w:p w:rsidR="00EC5FA6" w:rsidRDefault="00A85176">
            <w:pPr>
              <w:jc w:val="right"/>
            </w:pPr>
            <w:r>
              <w:rPr>
                <w:color w:val="000000"/>
                <w:sz w:val="24"/>
              </w:rPr>
              <w:t>3,135,122.32</w:t>
            </w:r>
          </w:p>
        </w:tc>
        <w:tc>
          <w:tcPr>
            <w:tcW w:w="654" w:type="pct"/>
            <w:vAlign w:val="center"/>
          </w:tcPr>
          <w:p w:rsidR="00EC5FA6" w:rsidRDefault="00A85176">
            <w:pPr>
              <w:jc w:val="right"/>
            </w:pPr>
            <w:r>
              <w:rPr>
                <w:color w:val="000000"/>
                <w:sz w:val="24"/>
              </w:rPr>
              <w:t>2.06</w:t>
            </w:r>
          </w:p>
        </w:tc>
      </w:tr>
      <w:tr w:rsidR="00EC5FA6" w:rsidTr="001B65D7">
        <w:trPr>
          <w:jc w:val="center"/>
        </w:trPr>
        <w:tc>
          <w:tcPr>
            <w:tcW w:w="691" w:type="pct"/>
            <w:vAlign w:val="center"/>
          </w:tcPr>
          <w:p w:rsidR="00EC5FA6" w:rsidRDefault="00A85176">
            <w:pPr>
              <w:jc w:val="center"/>
            </w:pPr>
            <w:r>
              <w:rPr>
                <w:color w:val="000000"/>
                <w:sz w:val="24"/>
              </w:rPr>
              <w:t>5</w:t>
            </w:r>
          </w:p>
        </w:tc>
        <w:tc>
          <w:tcPr>
            <w:tcW w:w="541" w:type="pct"/>
            <w:vAlign w:val="center"/>
          </w:tcPr>
          <w:p w:rsidR="00EC5FA6" w:rsidRDefault="00A85176">
            <w:pPr>
              <w:jc w:val="center"/>
            </w:pPr>
            <w:r>
              <w:rPr>
                <w:color w:val="000000"/>
                <w:sz w:val="24"/>
              </w:rPr>
              <w:t>HISENSE KELON ELECTRICAL HOLDINGS CO., LTD</w:t>
            </w:r>
          </w:p>
        </w:tc>
        <w:tc>
          <w:tcPr>
            <w:tcW w:w="553" w:type="pct"/>
            <w:vAlign w:val="center"/>
          </w:tcPr>
          <w:p w:rsidR="00EC5FA6" w:rsidRDefault="00A85176">
            <w:pPr>
              <w:jc w:val="center"/>
            </w:pPr>
            <w:r>
              <w:rPr>
                <w:color w:val="000000"/>
                <w:sz w:val="24"/>
              </w:rPr>
              <w:t>海信科龙电器股份有限公司</w:t>
            </w:r>
          </w:p>
        </w:tc>
        <w:tc>
          <w:tcPr>
            <w:tcW w:w="404" w:type="pct"/>
            <w:vAlign w:val="center"/>
          </w:tcPr>
          <w:p w:rsidR="00EC5FA6" w:rsidRDefault="00A85176">
            <w:pPr>
              <w:jc w:val="center"/>
            </w:pPr>
            <w:r>
              <w:rPr>
                <w:color w:val="000000"/>
                <w:sz w:val="24"/>
              </w:rPr>
              <w:t>921 HK</w:t>
            </w:r>
          </w:p>
        </w:tc>
        <w:tc>
          <w:tcPr>
            <w:tcW w:w="416" w:type="pct"/>
            <w:vAlign w:val="center"/>
          </w:tcPr>
          <w:p w:rsidR="00EC5FA6" w:rsidRDefault="00A85176">
            <w:pPr>
              <w:jc w:val="center"/>
            </w:pPr>
            <w:r>
              <w:rPr>
                <w:color w:val="000000"/>
                <w:sz w:val="24"/>
              </w:rPr>
              <w:t>香港证券交易所</w:t>
            </w:r>
          </w:p>
        </w:tc>
        <w:tc>
          <w:tcPr>
            <w:tcW w:w="543" w:type="pct"/>
            <w:vAlign w:val="center"/>
          </w:tcPr>
          <w:p w:rsidR="00EC5FA6" w:rsidRDefault="00A85176">
            <w:pPr>
              <w:jc w:val="center"/>
            </w:pPr>
            <w:r>
              <w:rPr>
                <w:color w:val="000000"/>
                <w:sz w:val="24"/>
              </w:rPr>
              <w:t>香港</w:t>
            </w:r>
          </w:p>
        </w:tc>
        <w:tc>
          <w:tcPr>
            <w:tcW w:w="654" w:type="pct"/>
            <w:vAlign w:val="center"/>
          </w:tcPr>
          <w:p w:rsidR="00EC5FA6" w:rsidRDefault="00A85176">
            <w:pPr>
              <w:jc w:val="right"/>
            </w:pPr>
            <w:r>
              <w:rPr>
                <w:color w:val="000000"/>
                <w:sz w:val="24"/>
              </w:rPr>
              <w:t>400,000</w:t>
            </w:r>
          </w:p>
        </w:tc>
        <w:tc>
          <w:tcPr>
            <w:tcW w:w="543" w:type="pct"/>
            <w:vAlign w:val="center"/>
          </w:tcPr>
          <w:p w:rsidR="00EC5FA6" w:rsidRDefault="00A85176">
            <w:pPr>
              <w:jc w:val="right"/>
            </w:pPr>
            <w:r>
              <w:rPr>
                <w:color w:val="000000"/>
                <w:sz w:val="24"/>
              </w:rPr>
              <w:t>2,889,780.65</w:t>
            </w:r>
          </w:p>
        </w:tc>
        <w:tc>
          <w:tcPr>
            <w:tcW w:w="654" w:type="pct"/>
            <w:vAlign w:val="center"/>
          </w:tcPr>
          <w:p w:rsidR="00EC5FA6" w:rsidRDefault="00A85176">
            <w:pPr>
              <w:jc w:val="right"/>
            </w:pPr>
            <w:r>
              <w:rPr>
                <w:color w:val="000000"/>
                <w:sz w:val="24"/>
              </w:rPr>
              <w:t>1.90</w:t>
            </w:r>
          </w:p>
        </w:tc>
      </w:tr>
      <w:tr w:rsidR="00EC5FA6" w:rsidTr="001B65D7">
        <w:trPr>
          <w:jc w:val="center"/>
        </w:trPr>
        <w:tc>
          <w:tcPr>
            <w:tcW w:w="691" w:type="pct"/>
            <w:vAlign w:val="center"/>
          </w:tcPr>
          <w:p w:rsidR="00EC5FA6" w:rsidRDefault="00A85176">
            <w:pPr>
              <w:jc w:val="center"/>
            </w:pPr>
            <w:r>
              <w:rPr>
                <w:color w:val="000000"/>
                <w:sz w:val="24"/>
              </w:rPr>
              <w:t>6</w:t>
            </w:r>
          </w:p>
        </w:tc>
        <w:tc>
          <w:tcPr>
            <w:tcW w:w="541" w:type="pct"/>
            <w:vAlign w:val="center"/>
          </w:tcPr>
          <w:p w:rsidR="00EC5FA6" w:rsidRDefault="00A85176">
            <w:pPr>
              <w:jc w:val="center"/>
            </w:pPr>
            <w:r>
              <w:rPr>
                <w:color w:val="000000"/>
                <w:sz w:val="24"/>
              </w:rPr>
              <w:t>CONSUN PHARMACEUTICAL GROUP LIMITED</w:t>
            </w:r>
          </w:p>
        </w:tc>
        <w:tc>
          <w:tcPr>
            <w:tcW w:w="553" w:type="pct"/>
            <w:vAlign w:val="center"/>
          </w:tcPr>
          <w:p w:rsidR="00EC5FA6" w:rsidRDefault="00A85176">
            <w:pPr>
              <w:jc w:val="center"/>
            </w:pPr>
            <w:r>
              <w:rPr>
                <w:color w:val="000000"/>
                <w:sz w:val="24"/>
              </w:rPr>
              <w:t>康臣药业集团有限公司</w:t>
            </w:r>
          </w:p>
        </w:tc>
        <w:tc>
          <w:tcPr>
            <w:tcW w:w="404" w:type="pct"/>
            <w:vAlign w:val="center"/>
          </w:tcPr>
          <w:p w:rsidR="00EC5FA6" w:rsidRDefault="00A85176">
            <w:pPr>
              <w:jc w:val="center"/>
            </w:pPr>
            <w:r>
              <w:rPr>
                <w:color w:val="000000"/>
                <w:sz w:val="24"/>
              </w:rPr>
              <w:t>1681 HK</w:t>
            </w:r>
          </w:p>
        </w:tc>
        <w:tc>
          <w:tcPr>
            <w:tcW w:w="416" w:type="pct"/>
            <w:vAlign w:val="center"/>
          </w:tcPr>
          <w:p w:rsidR="00EC5FA6" w:rsidRDefault="00A85176">
            <w:pPr>
              <w:jc w:val="center"/>
            </w:pPr>
            <w:r>
              <w:rPr>
                <w:color w:val="000000"/>
                <w:sz w:val="24"/>
              </w:rPr>
              <w:t>香港证券交易所</w:t>
            </w:r>
          </w:p>
        </w:tc>
        <w:tc>
          <w:tcPr>
            <w:tcW w:w="543" w:type="pct"/>
            <w:vAlign w:val="center"/>
          </w:tcPr>
          <w:p w:rsidR="00EC5FA6" w:rsidRDefault="00A85176">
            <w:pPr>
              <w:jc w:val="center"/>
            </w:pPr>
            <w:r>
              <w:rPr>
                <w:color w:val="000000"/>
                <w:sz w:val="24"/>
              </w:rPr>
              <w:t>香港</w:t>
            </w:r>
          </w:p>
        </w:tc>
        <w:tc>
          <w:tcPr>
            <w:tcW w:w="654" w:type="pct"/>
            <w:vAlign w:val="center"/>
          </w:tcPr>
          <w:p w:rsidR="00EC5FA6" w:rsidRDefault="00A85176">
            <w:pPr>
              <w:jc w:val="right"/>
            </w:pPr>
            <w:r>
              <w:rPr>
                <w:color w:val="000000"/>
                <w:sz w:val="24"/>
              </w:rPr>
              <w:t>598,000</w:t>
            </w:r>
          </w:p>
        </w:tc>
        <w:tc>
          <w:tcPr>
            <w:tcW w:w="543" w:type="pct"/>
            <w:vAlign w:val="center"/>
          </w:tcPr>
          <w:p w:rsidR="00EC5FA6" w:rsidRDefault="00A85176">
            <w:pPr>
              <w:jc w:val="right"/>
            </w:pPr>
            <w:r>
              <w:rPr>
                <w:color w:val="000000"/>
                <w:sz w:val="24"/>
              </w:rPr>
              <w:t>2,758,295.63</w:t>
            </w:r>
          </w:p>
        </w:tc>
        <w:tc>
          <w:tcPr>
            <w:tcW w:w="654" w:type="pct"/>
            <w:vAlign w:val="center"/>
          </w:tcPr>
          <w:p w:rsidR="00EC5FA6" w:rsidRDefault="00A85176">
            <w:pPr>
              <w:jc w:val="right"/>
            </w:pPr>
            <w:r>
              <w:rPr>
                <w:color w:val="000000"/>
                <w:sz w:val="24"/>
              </w:rPr>
              <w:t>1.81</w:t>
            </w:r>
          </w:p>
        </w:tc>
      </w:tr>
      <w:tr w:rsidR="00EC5FA6" w:rsidTr="001B65D7">
        <w:trPr>
          <w:jc w:val="center"/>
        </w:trPr>
        <w:tc>
          <w:tcPr>
            <w:tcW w:w="691" w:type="pct"/>
            <w:vAlign w:val="center"/>
          </w:tcPr>
          <w:p w:rsidR="00EC5FA6" w:rsidRDefault="00A85176">
            <w:pPr>
              <w:jc w:val="center"/>
            </w:pPr>
            <w:r>
              <w:rPr>
                <w:color w:val="000000"/>
                <w:sz w:val="24"/>
              </w:rPr>
              <w:t>7</w:t>
            </w:r>
          </w:p>
        </w:tc>
        <w:tc>
          <w:tcPr>
            <w:tcW w:w="541" w:type="pct"/>
            <w:vAlign w:val="center"/>
          </w:tcPr>
          <w:p w:rsidR="00EC5FA6" w:rsidRDefault="00A85176">
            <w:pPr>
              <w:jc w:val="center"/>
            </w:pPr>
            <w:r>
              <w:rPr>
                <w:color w:val="000000"/>
                <w:sz w:val="24"/>
              </w:rPr>
              <w:t>ROCHE HOLDING AG-GENUSSCHEIN</w:t>
            </w:r>
          </w:p>
        </w:tc>
        <w:tc>
          <w:tcPr>
            <w:tcW w:w="553" w:type="pct"/>
            <w:vAlign w:val="center"/>
          </w:tcPr>
          <w:p w:rsidR="00EC5FA6" w:rsidRDefault="00A85176">
            <w:pPr>
              <w:jc w:val="center"/>
            </w:pPr>
            <w:r>
              <w:rPr>
                <w:color w:val="000000"/>
                <w:sz w:val="24"/>
              </w:rPr>
              <w:t>罗氏公司</w:t>
            </w:r>
          </w:p>
        </w:tc>
        <w:tc>
          <w:tcPr>
            <w:tcW w:w="404" w:type="pct"/>
            <w:vAlign w:val="center"/>
          </w:tcPr>
          <w:p w:rsidR="00EC5FA6" w:rsidRDefault="00A85176">
            <w:pPr>
              <w:jc w:val="center"/>
            </w:pPr>
            <w:r>
              <w:rPr>
                <w:color w:val="000000"/>
                <w:sz w:val="24"/>
              </w:rPr>
              <w:t>ROG VX</w:t>
            </w:r>
          </w:p>
        </w:tc>
        <w:tc>
          <w:tcPr>
            <w:tcW w:w="416" w:type="pct"/>
            <w:vAlign w:val="center"/>
          </w:tcPr>
          <w:p w:rsidR="00EC5FA6" w:rsidRDefault="00A85176">
            <w:pPr>
              <w:jc w:val="center"/>
            </w:pPr>
            <w:r>
              <w:rPr>
                <w:color w:val="000000"/>
                <w:sz w:val="24"/>
              </w:rPr>
              <w:t>瑞士证券交易所</w:t>
            </w:r>
          </w:p>
        </w:tc>
        <w:tc>
          <w:tcPr>
            <w:tcW w:w="543" w:type="pct"/>
            <w:vAlign w:val="center"/>
          </w:tcPr>
          <w:p w:rsidR="00EC5FA6" w:rsidRDefault="00A85176">
            <w:pPr>
              <w:jc w:val="center"/>
            </w:pPr>
            <w:r>
              <w:rPr>
                <w:color w:val="000000"/>
                <w:sz w:val="24"/>
              </w:rPr>
              <w:t>瑞士</w:t>
            </w:r>
          </w:p>
        </w:tc>
        <w:tc>
          <w:tcPr>
            <w:tcW w:w="654" w:type="pct"/>
            <w:vAlign w:val="center"/>
          </w:tcPr>
          <w:p w:rsidR="00EC5FA6" w:rsidRDefault="00A85176">
            <w:pPr>
              <w:jc w:val="right"/>
            </w:pPr>
            <w:r>
              <w:rPr>
                <w:color w:val="000000"/>
                <w:sz w:val="24"/>
              </w:rPr>
              <w:t>1,437</w:t>
            </w:r>
          </w:p>
        </w:tc>
        <w:tc>
          <w:tcPr>
            <w:tcW w:w="543" w:type="pct"/>
            <w:vAlign w:val="center"/>
          </w:tcPr>
          <w:p w:rsidR="00EC5FA6" w:rsidRDefault="00A85176">
            <w:pPr>
              <w:jc w:val="right"/>
            </w:pPr>
            <w:r>
              <w:rPr>
                <w:color w:val="000000"/>
                <w:sz w:val="24"/>
              </w:rPr>
              <w:t>2,637,468.81</w:t>
            </w:r>
          </w:p>
        </w:tc>
        <w:tc>
          <w:tcPr>
            <w:tcW w:w="654" w:type="pct"/>
            <w:vAlign w:val="center"/>
          </w:tcPr>
          <w:p w:rsidR="00EC5FA6" w:rsidRDefault="00A85176">
            <w:pPr>
              <w:jc w:val="right"/>
            </w:pPr>
            <w:r>
              <w:rPr>
                <w:color w:val="000000"/>
                <w:sz w:val="24"/>
              </w:rPr>
              <w:t>1.73</w:t>
            </w:r>
          </w:p>
        </w:tc>
      </w:tr>
      <w:tr w:rsidR="00EC5FA6" w:rsidTr="001B65D7">
        <w:trPr>
          <w:jc w:val="center"/>
        </w:trPr>
        <w:tc>
          <w:tcPr>
            <w:tcW w:w="691" w:type="pct"/>
            <w:vAlign w:val="center"/>
          </w:tcPr>
          <w:p w:rsidR="00EC5FA6" w:rsidRDefault="00A85176">
            <w:pPr>
              <w:jc w:val="center"/>
            </w:pPr>
            <w:r>
              <w:rPr>
                <w:color w:val="000000"/>
                <w:sz w:val="24"/>
              </w:rPr>
              <w:t>8</w:t>
            </w:r>
          </w:p>
        </w:tc>
        <w:tc>
          <w:tcPr>
            <w:tcW w:w="541" w:type="pct"/>
            <w:vAlign w:val="center"/>
          </w:tcPr>
          <w:p w:rsidR="00EC5FA6" w:rsidRDefault="00A85176">
            <w:pPr>
              <w:jc w:val="center"/>
            </w:pPr>
            <w:r>
              <w:rPr>
                <w:color w:val="000000"/>
                <w:sz w:val="24"/>
              </w:rPr>
              <w:t>AMGEN INC</w:t>
            </w:r>
          </w:p>
        </w:tc>
        <w:tc>
          <w:tcPr>
            <w:tcW w:w="553" w:type="pct"/>
            <w:vAlign w:val="center"/>
          </w:tcPr>
          <w:p w:rsidR="00EC5FA6" w:rsidRDefault="00A85176">
            <w:pPr>
              <w:jc w:val="center"/>
            </w:pPr>
            <w:r>
              <w:rPr>
                <w:color w:val="000000"/>
                <w:sz w:val="24"/>
              </w:rPr>
              <w:t>安进公司</w:t>
            </w:r>
          </w:p>
        </w:tc>
        <w:tc>
          <w:tcPr>
            <w:tcW w:w="404" w:type="pct"/>
            <w:vAlign w:val="center"/>
          </w:tcPr>
          <w:p w:rsidR="00EC5FA6" w:rsidRDefault="00A85176">
            <w:pPr>
              <w:jc w:val="center"/>
            </w:pPr>
            <w:r>
              <w:rPr>
                <w:color w:val="000000"/>
                <w:sz w:val="24"/>
              </w:rPr>
              <w:t>AMGN US</w:t>
            </w:r>
          </w:p>
        </w:tc>
        <w:tc>
          <w:tcPr>
            <w:tcW w:w="416" w:type="pct"/>
            <w:vAlign w:val="center"/>
          </w:tcPr>
          <w:p w:rsidR="00EC5FA6" w:rsidRDefault="00A85176">
            <w:pPr>
              <w:jc w:val="center"/>
            </w:pPr>
            <w:r>
              <w:rPr>
                <w:color w:val="000000"/>
                <w:sz w:val="24"/>
              </w:rPr>
              <w:t>美国证券交易所</w:t>
            </w:r>
          </w:p>
        </w:tc>
        <w:tc>
          <w:tcPr>
            <w:tcW w:w="543" w:type="pct"/>
            <w:vAlign w:val="center"/>
          </w:tcPr>
          <w:p w:rsidR="00EC5FA6" w:rsidRDefault="00A85176">
            <w:pPr>
              <w:jc w:val="center"/>
            </w:pPr>
            <w:r>
              <w:rPr>
                <w:color w:val="000000"/>
                <w:sz w:val="24"/>
              </w:rPr>
              <w:t>美国</w:t>
            </w:r>
          </w:p>
        </w:tc>
        <w:tc>
          <w:tcPr>
            <w:tcW w:w="654" w:type="pct"/>
            <w:vAlign w:val="center"/>
          </w:tcPr>
          <w:p w:rsidR="00EC5FA6" w:rsidRDefault="00A85176">
            <w:pPr>
              <w:jc w:val="right"/>
            </w:pPr>
            <w:r>
              <w:rPr>
                <w:color w:val="000000"/>
                <w:sz w:val="24"/>
              </w:rPr>
              <w:t>3,478</w:t>
            </w:r>
          </w:p>
        </w:tc>
        <w:tc>
          <w:tcPr>
            <w:tcW w:w="543" w:type="pct"/>
            <w:vAlign w:val="center"/>
          </w:tcPr>
          <w:p w:rsidR="00EC5FA6" w:rsidRDefault="00A85176">
            <w:pPr>
              <w:jc w:val="right"/>
            </w:pPr>
            <w:r>
              <w:rPr>
                <w:color w:val="000000"/>
                <w:sz w:val="24"/>
              </w:rPr>
              <w:t>2,533,051.52</w:t>
            </w:r>
          </w:p>
        </w:tc>
        <w:tc>
          <w:tcPr>
            <w:tcW w:w="654" w:type="pct"/>
            <w:vAlign w:val="center"/>
          </w:tcPr>
          <w:p w:rsidR="00EC5FA6" w:rsidRDefault="00A85176">
            <w:pPr>
              <w:jc w:val="right"/>
            </w:pPr>
            <w:r>
              <w:rPr>
                <w:color w:val="000000"/>
                <w:sz w:val="24"/>
              </w:rPr>
              <w:t>1.66</w:t>
            </w:r>
          </w:p>
        </w:tc>
      </w:tr>
      <w:tr w:rsidR="00EC5FA6" w:rsidTr="001B65D7">
        <w:trPr>
          <w:jc w:val="center"/>
        </w:trPr>
        <w:tc>
          <w:tcPr>
            <w:tcW w:w="691" w:type="pct"/>
            <w:vAlign w:val="center"/>
          </w:tcPr>
          <w:p w:rsidR="00EC5FA6" w:rsidRDefault="00A85176">
            <w:pPr>
              <w:jc w:val="center"/>
            </w:pPr>
            <w:r>
              <w:rPr>
                <w:color w:val="000000"/>
                <w:sz w:val="24"/>
              </w:rPr>
              <w:t>9</w:t>
            </w:r>
          </w:p>
        </w:tc>
        <w:tc>
          <w:tcPr>
            <w:tcW w:w="541" w:type="pct"/>
            <w:vAlign w:val="center"/>
          </w:tcPr>
          <w:p w:rsidR="00EC5FA6" w:rsidRDefault="00A85176">
            <w:pPr>
              <w:jc w:val="center"/>
            </w:pPr>
            <w:r>
              <w:rPr>
                <w:color w:val="000000"/>
                <w:sz w:val="24"/>
              </w:rPr>
              <w:t>THE UNITED LABORATORIES INTERNATIONAL HOLDINGS LIMITED</w:t>
            </w:r>
          </w:p>
        </w:tc>
        <w:tc>
          <w:tcPr>
            <w:tcW w:w="553" w:type="pct"/>
            <w:vAlign w:val="center"/>
          </w:tcPr>
          <w:p w:rsidR="00EC5FA6" w:rsidRDefault="00A85176">
            <w:pPr>
              <w:jc w:val="center"/>
            </w:pPr>
            <w:r>
              <w:rPr>
                <w:color w:val="000000"/>
                <w:sz w:val="24"/>
              </w:rPr>
              <w:t>联邦制药国际控股有限公司</w:t>
            </w:r>
          </w:p>
        </w:tc>
        <w:tc>
          <w:tcPr>
            <w:tcW w:w="404" w:type="pct"/>
            <w:vAlign w:val="center"/>
          </w:tcPr>
          <w:p w:rsidR="00EC5FA6" w:rsidRDefault="00A85176">
            <w:pPr>
              <w:jc w:val="center"/>
            </w:pPr>
            <w:r>
              <w:rPr>
                <w:color w:val="000000"/>
                <w:sz w:val="24"/>
              </w:rPr>
              <w:t>3933 HK</w:t>
            </w:r>
          </w:p>
        </w:tc>
        <w:tc>
          <w:tcPr>
            <w:tcW w:w="416" w:type="pct"/>
            <w:vAlign w:val="center"/>
          </w:tcPr>
          <w:p w:rsidR="00EC5FA6" w:rsidRDefault="00A85176">
            <w:pPr>
              <w:jc w:val="center"/>
            </w:pPr>
            <w:r>
              <w:rPr>
                <w:color w:val="000000"/>
                <w:sz w:val="24"/>
              </w:rPr>
              <w:t>香港证券交易所</w:t>
            </w:r>
          </w:p>
        </w:tc>
        <w:tc>
          <w:tcPr>
            <w:tcW w:w="543" w:type="pct"/>
            <w:vAlign w:val="center"/>
          </w:tcPr>
          <w:p w:rsidR="00EC5FA6" w:rsidRDefault="00A85176">
            <w:pPr>
              <w:jc w:val="center"/>
            </w:pPr>
            <w:r>
              <w:rPr>
                <w:color w:val="000000"/>
                <w:sz w:val="24"/>
              </w:rPr>
              <w:t>香港</w:t>
            </w:r>
          </w:p>
        </w:tc>
        <w:tc>
          <w:tcPr>
            <w:tcW w:w="654" w:type="pct"/>
            <w:vAlign w:val="center"/>
          </w:tcPr>
          <w:p w:rsidR="00EC5FA6" w:rsidRDefault="00A85176">
            <w:pPr>
              <w:jc w:val="right"/>
            </w:pPr>
            <w:r>
              <w:rPr>
                <w:color w:val="000000"/>
                <w:sz w:val="24"/>
              </w:rPr>
              <w:t>600,000</w:t>
            </w:r>
          </w:p>
        </w:tc>
        <w:tc>
          <w:tcPr>
            <w:tcW w:w="543" w:type="pct"/>
            <w:vAlign w:val="center"/>
          </w:tcPr>
          <w:p w:rsidR="00EC5FA6" w:rsidRDefault="00A85176">
            <w:pPr>
              <w:jc w:val="right"/>
            </w:pPr>
            <w:r>
              <w:rPr>
                <w:color w:val="000000"/>
                <w:sz w:val="24"/>
              </w:rPr>
              <w:t>2,524,588.59</w:t>
            </w:r>
          </w:p>
        </w:tc>
        <w:tc>
          <w:tcPr>
            <w:tcW w:w="654" w:type="pct"/>
            <w:vAlign w:val="center"/>
          </w:tcPr>
          <w:p w:rsidR="00EC5FA6" w:rsidRDefault="00A85176">
            <w:pPr>
              <w:jc w:val="right"/>
            </w:pPr>
            <w:r>
              <w:rPr>
                <w:color w:val="000000"/>
                <w:sz w:val="24"/>
              </w:rPr>
              <w:t>1.66</w:t>
            </w:r>
          </w:p>
        </w:tc>
      </w:tr>
      <w:tr w:rsidR="00EC5FA6" w:rsidTr="001B65D7">
        <w:trPr>
          <w:jc w:val="center"/>
        </w:trPr>
        <w:tc>
          <w:tcPr>
            <w:tcW w:w="691" w:type="pct"/>
            <w:vAlign w:val="center"/>
          </w:tcPr>
          <w:p w:rsidR="00EC5FA6" w:rsidRDefault="00A85176">
            <w:pPr>
              <w:jc w:val="center"/>
            </w:pPr>
            <w:r>
              <w:rPr>
                <w:color w:val="000000"/>
                <w:sz w:val="24"/>
              </w:rPr>
              <w:t>10</w:t>
            </w:r>
          </w:p>
        </w:tc>
        <w:tc>
          <w:tcPr>
            <w:tcW w:w="541" w:type="pct"/>
            <w:vAlign w:val="center"/>
          </w:tcPr>
          <w:p w:rsidR="00EC5FA6" w:rsidRDefault="00A85176">
            <w:pPr>
              <w:jc w:val="center"/>
            </w:pPr>
            <w:r>
              <w:rPr>
                <w:color w:val="000000"/>
                <w:sz w:val="24"/>
              </w:rPr>
              <w:t>GOOGLE INC</w:t>
            </w:r>
          </w:p>
        </w:tc>
        <w:tc>
          <w:tcPr>
            <w:tcW w:w="553" w:type="pct"/>
            <w:vAlign w:val="center"/>
          </w:tcPr>
          <w:p w:rsidR="00EC5FA6" w:rsidRDefault="00A85176">
            <w:pPr>
              <w:jc w:val="center"/>
            </w:pPr>
            <w:r>
              <w:rPr>
                <w:color w:val="000000"/>
                <w:sz w:val="24"/>
              </w:rPr>
              <w:t>谷歌公司</w:t>
            </w:r>
          </w:p>
        </w:tc>
        <w:tc>
          <w:tcPr>
            <w:tcW w:w="404" w:type="pct"/>
            <w:vAlign w:val="center"/>
          </w:tcPr>
          <w:p w:rsidR="00EC5FA6" w:rsidRDefault="00A85176">
            <w:pPr>
              <w:jc w:val="center"/>
            </w:pPr>
            <w:r>
              <w:rPr>
                <w:color w:val="000000"/>
                <w:sz w:val="24"/>
              </w:rPr>
              <w:t>GOOGL US</w:t>
            </w:r>
          </w:p>
        </w:tc>
        <w:tc>
          <w:tcPr>
            <w:tcW w:w="416" w:type="pct"/>
            <w:vAlign w:val="center"/>
          </w:tcPr>
          <w:p w:rsidR="00EC5FA6" w:rsidRDefault="00A85176">
            <w:pPr>
              <w:jc w:val="center"/>
            </w:pPr>
            <w:r>
              <w:rPr>
                <w:color w:val="000000"/>
                <w:sz w:val="24"/>
              </w:rPr>
              <w:t>美国证券交易所</w:t>
            </w:r>
          </w:p>
        </w:tc>
        <w:tc>
          <w:tcPr>
            <w:tcW w:w="543" w:type="pct"/>
            <w:vAlign w:val="center"/>
          </w:tcPr>
          <w:p w:rsidR="00EC5FA6" w:rsidRDefault="00A85176">
            <w:pPr>
              <w:jc w:val="center"/>
            </w:pPr>
            <w:r>
              <w:rPr>
                <w:color w:val="000000"/>
                <w:sz w:val="24"/>
              </w:rPr>
              <w:t>美国</w:t>
            </w:r>
          </w:p>
        </w:tc>
        <w:tc>
          <w:tcPr>
            <w:tcW w:w="654" w:type="pct"/>
            <w:vAlign w:val="center"/>
          </w:tcPr>
          <w:p w:rsidR="00EC5FA6" w:rsidRDefault="00A85176">
            <w:pPr>
              <w:jc w:val="right"/>
            </w:pPr>
            <w:r>
              <w:rPr>
                <w:color w:val="000000"/>
                <w:sz w:val="24"/>
              </w:rPr>
              <w:t>669</w:t>
            </w:r>
          </w:p>
        </w:tc>
        <w:tc>
          <w:tcPr>
            <w:tcW w:w="543" w:type="pct"/>
            <w:vAlign w:val="center"/>
          </w:tcPr>
          <w:p w:rsidR="00EC5FA6" w:rsidRDefault="00A85176">
            <w:pPr>
              <w:jc w:val="right"/>
            </w:pPr>
            <w:r>
              <w:rPr>
                <w:color w:val="000000"/>
                <w:sz w:val="24"/>
              </w:rPr>
              <w:t>2,406,632.22</w:t>
            </w:r>
          </w:p>
        </w:tc>
        <w:tc>
          <w:tcPr>
            <w:tcW w:w="654" w:type="pct"/>
            <w:vAlign w:val="center"/>
          </w:tcPr>
          <w:p w:rsidR="00EC5FA6" w:rsidRDefault="00A85176">
            <w:pPr>
              <w:jc w:val="right"/>
            </w:pPr>
            <w:r>
              <w:rPr>
                <w:color w:val="000000"/>
                <w:sz w:val="24"/>
              </w:rPr>
              <w:t>1.58</w:t>
            </w:r>
          </w:p>
        </w:tc>
      </w:tr>
    </w:tbl>
    <w:p w:rsidR="00B62914" w:rsidRPr="008640AE" w:rsidRDefault="00E73C41" w:rsidP="005546C0">
      <w:pPr>
        <w:autoSpaceDE w:val="0"/>
        <w:autoSpaceDN w:val="0"/>
        <w:adjustRightInd w:val="0"/>
        <w:spacing w:before="29" w:line="288" w:lineRule="auto"/>
        <w:jc w:val="left"/>
        <w:rPr>
          <w:color w:val="000000"/>
          <w:sz w:val="24"/>
        </w:rPr>
      </w:pPr>
      <w:r w:rsidRPr="008640AE">
        <w:rPr>
          <w:color w:val="000000"/>
          <w:sz w:val="24"/>
        </w:rPr>
        <w:t>注：前十名股票及存托凭证的排名是按照上市公司不同的上市交易所合并计算排列所得。</w:t>
      </w:r>
    </w:p>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F40FCC"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5.10.3</w:t>
        </w:r>
      </w:smartTag>
      <w:r w:rsidR="000D4219" w:rsidRPr="008640AE">
        <w:rPr>
          <w:color w:val="000000"/>
          <w:kern w:val="0"/>
          <w:sz w:val="24"/>
        </w:rPr>
        <w:t xml:space="preserve"> </w:t>
      </w:r>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1,272,058.44</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502,421.19</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568.28</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16,415.62</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1,791,463.53</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5.10.5</w:t>
        </w:r>
      </w:smartTag>
      <w:r w:rsidR="000D4219" w:rsidRPr="008640AE">
        <w:rPr>
          <w:color w:val="000000"/>
          <w:kern w:val="0"/>
          <w:sz w:val="24"/>
        </w:rPr>
        <w:t xml:space="preserve"> </w:t>
      </w:r>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F40FCC">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本</w:t>
            </w:r>
            <w:r w:rsidR="008975BC"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101,371,087.18</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本报告期基金总申购份额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1,459,661.41</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5546C0">
            <w:pPr>
              <w:autoSpaceDE w:val="0"/>
              <w:autoSpaceDN w:val="0"/>
              <w:adjustRightInd w:val="0"/>
              <w:spacing w:before="29" w:line="288" w:lineRule="auto"/>
              <w:ind w:left="17"/>
              <w:jc w:val="left"/>
              <w:rPr>
                <w:color w:val="000000"/>
                <w:kern w:val="0"/>
                <w:sz w:val="24"/>
              </w:rPr>
            </w:pPr>
            <w:r w:rsidRPr="008640AE">
              <w:rPr>
                <w:color w:val="000000"/>
                <w:kern w:val="0"/>
                <w:sz w:val="24"/>
              </w:rPr>
              <w:t>减：本报告期基金总赎回份额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9,848,162.55</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5546C0">
            <w:pPr>
              <w:autoSpaceDE w:val="0"/>
              <w:autoSpaceDN w:val="0"/>
              <w:adjustRightInd w:val="0"/>
              <w:spacing w:before="29" w:line="288" w:lineRule="auto"/>
              <w:ind w:left="17"/>
              <w:jc w:val="left"/>
              <w:rPr>
                <w:color w:val="000000"/>
                <w:kern w:val="0"/>
                <w:sz w:val="24"/>
              </w:rPr>
            </w:pPr>
            <w:r w:rsidRPr="008640AE">
              <w:rPr>
                <w:color w:val="000000"/>
                <w:kern w:val="0"/>
                <w:sz w:val="24"/>
              </w:rPr>
              <w:t>本报告期基金拆分变动份额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本报告期期末基金份额总额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92,982,586.04</w:t>
            </w:r>
          </w:p>
        </w:tc>
      </w:tr>
    </w:tbl>
    <w:p w:rsidR="00EC5FA6" w:rsidRDefault="00A8517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F40FCC">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本基金管理人本报告期内未进行本基金的申购、赎回、红利再投等；本基金管理人本报告期末持有本基金份额</w:t>
      </w:r>
      <w:r w:rsidRPr="008640AE">
        <w:rPr>
          <w:color w:val="000000"/>
          <w:sz w:val="24"/>
        </w:rPr>
        <w:t>22,98</w:t>
      </w:r>
      <w:r w:rsidR="00DD3E62">
        <w:rPr>
          <w:color w:val="000000"/>
          <w:sz w:val="24"/>
        </w:rPr>
        <w:t>6</w:t>
      </w:r>
      <w:bookmarkStart w:id="0" w:name="_GoBack"/>
      <w:bookmarkEnd w:id="0"/>
      <w:r w:rsidRPr="008640AE">
        <w:rPr>
          <w:color w:val="000000"/>
          <w:sz w:val="24"/>
        </w:rPr>
        <w:t>,750.67</w:t>
      </w:r>
      <w:r w:rsidRPr="008640AE">
        <w:rPr>
          <w:color w:val="000000"/>
          <w:sz w:val="24"/>
        </w:rPr>
        <w:t>份，占本基金期末总份额的</w:t>
      </w:r>
      <w:r w:rsidRPr="008640AE">
        <w:rPr>
          <w:color w:val="000000"/>
          <w:sz w:val="24"/>
        </w:rPr>
        <w:t>24.72%</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F40FCC">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00B11BC8" w:rsidRPr="008640AE">
        <w:rPr>
          <w:color w:val="000000"/>
          <w:kern w:val="0"/>
          <w:sz w:val="24"/>
          <w:szCs w:val="24"/>
        </w:rPr>
        <w:t xml:space="preserve"> </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EC5FA6" w:rsidRDefault="00A85176">
      <w:pPr>
        <w:spacing w:before="29" w:line="288" w:lineRule="auto"/>
        <w:ind w:firstLineChars="200" w:firstLine="480"/>
        <w:rPr>
          <w:color w:val="000000"/>
          <w:sz w:val="24"/>
        </w:rPr>
      </w:pPr>
      <w:r>
        <w:rPr>
          <w:color w:val="000000"/>
          <w:sz w:val="24"/>
        </w:rPr>
        <w:t>1</w:t>
      </w:r>
      <w:r>
        <w:rPr>
          <w:color w:val="000000"/>
          <w:sz w:val="24"/>
        </w:rPr>
        <w:t>、中国证监会批准交银施罗德环球精选价值证券投资基金募集的文件；</w:t>
      </w:r>
    </w:p>
    <w:p w:rsidR="00EC5FA6" w:rsidRDefault="00A85176">
      <w:pPr>
        <w:spacing w:before="29" w:line="288" w:lineRule="auto"/>
        <w:ind w:firstLineChars="200" w:firstLine="480"/>
        <w:rPr>
          <w:color w:val="000000"/>
          <w:sz w:val="24"/>
        </w:rPr>
      </w:pPr>
      <w:r>
        <w:rPr>
          <w:color w:val="000000"/>
          <w:sz w:val="24"/>
        </w:rPr>
        <w:t>2</w:t>
      </w:r>
      <w:r>
        <w:rPr>
          <w:color w:val="000000"/>
          <w:sz w:val="24"/>
        </w:rPr>
        <w:t>、《交银施罗德环球精选价值证券投资基金基金合同》；</w:t>
      </w:r>
    </w:p>
    <w:p w:rsidR="00EC5FA6" w:rsidRDefault="00A85176">
      <w:pPr>
        <w:spacing w:before="29" w:line="288" w:lineRule="auto"/>
        <w:ind w:firstLineChars="200" w:firstLine="480"/>
        <w:rPr>
          <w:color w:val="000000"/>
          <w:sz w:val="24"/>
        </w:rPr>
      </w:pPr>
      <w:r>
        <w:rPr>
          <w:color w:val="000000"/>
          <w:sz w:val="24"/>
        </w:rPr>
        <w:t>3</w:t>
      </w:r>
      <w:r>
        <w:rPr>
          <w:color w:val="000000"/>
          <w:sz w:val="24"/>
        </w:rPr>
        <w:t>、《交银施罗德环球精选价值证券投资基金招募说明书》；</w:t>
      </w:r>
    </w:p>
    <w:p w:rsidR="00EC5FA6" w:rsidRDefault="00A85176">
      <w:pPr>
        <w:spacing w:before="29" w:line="288" w:lineRule="auto"/>
        <w:ind w:firstLineChars="200" w:firstLine="480"/>
        <w:rPr>
          <w:color w:val="000000"/>
          <w:sz w:val="24"/>
        </w:rPr>
      </w:pPr>
      <w:r>
        <w:rPr>
          <w:color w:val="000000"/>
          <w:sz w:val="24"/>
        </w:rPr>
        <w:t>4</w:t>
      </w:r>
      <w:r>
        <w:rPr>
          <w:color w:val="000000"/>
          <w:sz w:val="24"/>
        </w:rPr>
        <w:t>、《交银施罗德环球精选价值证券投资基金托管协议》；</w:t>
      </w:r>
      <w:r>
        <w:rPr>
          <w:color w:val="000000"/>
          <w:sz w:val="24"/>
        </w:rPr>
        <w:t xml:space="preserve"> </w:t>
      </w:r>
    </w:p>
    <w:p w:rsidR="00EC5FA6" w:rsidRDefault="00A85176">
      <w:pPr>
        <w:spacing w:before="29" w:line="288" w:lineRule="auto"/>
        <w:ind w:firstLineChars="200" w:firstLine="480"/>
        <w:rPr>
          <w:color w:val="000000"/>
          <w:sz w:val="24"/>
        </w:rPr>
      </w:pPr>
      <w:r>
        <w:rPr>
          <w:color w:val="000000"/>
          <w:sz w:val="24"/>
        </w:rPr>
        <w:t>5</w:t>
      </w:r>
      <w:r>
        <w:rPr>
          <w:color w:val="000000"/>
          <w:sz w:val="24"/>
        </w:rPr>
        <w:t>、关于申请募集交银施罗德环球精选价值证券投资基金之法律意见书；</w:t>
      </w:r>
    </w:p>
    <w:p w:rsidR="00EC5FA6" w:rsidRDefault="00A85176">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EC5FA6" w:rsidRDefault="00A85176">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、报告期内交银施罗德环球精选价值证券投资基金在指定报刊上各项公告的原稿。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EC5FA6" w:rsidRDefault="00A8517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7AF" w:rsidRDefault="002547AF">
      <w:r>
        <w:separator/>
      </w:r>
    </w:p>
  </w:endnote>
  <w:endnote w:type="continuationSeparator" w:id="0">
    <w:p w:rsidR="002547AF" w:rsidRDefault="0025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3C1D6C">
      <w:rPr>
        <w:kern w:val="0"/>
        <w:szCs w:val="21"/>
      </w:rPr>
      <w:fldChar w:fldCharType="begin"/>
    </w:r>
    <w:r>
      <w:rPr>
        <w:kern w:val="0"/>
        <w:szCs w:val="21"/>
      </w:rPr>
      <w:instrText xml:space="preserve"> PAGE </w:instrText>
    </w:r>
    <w:r w:rsidR="003C1D6C">
      <w:rPr>
        <w:kern w:val="0"/>
        <w:szCs w:val="21"/>
      </w:rPr>
      <w:fldChar w:fldCharType="separate"/>
    </w:r>
    <w:r w:rsidR="00DD3E62">
      <w:rPr>
        <w:noProof/>
        <w:kern w:val="0"/>
        <w:szCs w:val="21"/>
      </w:rPr>
      <w:t>12</w:t>
    </w:r>
    <w:r w:rsidR="003C1D6C">
      <w:rPr>
        <w:kern w:val="0"/>
        <w:szCs w:val="21"/>
      </w:rPr>
      <w:fldChar w:fldCharType="end"/>
    </w:r>
    <w:r>
      <w:rPr>
        <w:rFonts w:hint="eastAsia"/>
        <w:kern w:val="0"/>
        <w:szCs w:val="21"/>
      </w:rPr>
      <w:t>页共</w:t>
    </w:r>
    <w:r w:rsidR="003C1D6C">
      <w:rPr>
        <w:kern w:val="0"/>
        <w:szCs w:val="21"/>
      </w:rPr>
      <w:fldChar w:fldCharType="begin"/>
    </w:r>
    <w:r>
      <w:rPr>
        <w:kern w:val="0"/>
        <w:szCs w:val="21"/>
      </w:rPr>
      <w:instrText xml:space="preserve"> NUMPAGES </w:instrText>
    </w:r>
    <w:r w:rsidR="003C1D6C">
      <w:rPr>
        <w:kern w:val="0"/>
        <w:szCs w:val="21"/>
      </w:rPr>
      <w:fldChar w:fldCharType="separate"/>
    </w:r>
    <w:r w:rsidR="00DD3E62">
      <w:rPr>
        <w:noProof/>
        <w:kern w:val="0"/>
        <w:szCs w:val="21"/>
      </w:rPr>
      <w:t>12</w:t>
    </w:r>
    <w:r w:rsidR="003C1D6C">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3C1D6C">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7AF" w:rsidRDefault="002547AF">
      <w:r>
        <w:separator/>
      </w:r>
    </w:p>
  </w:footnote>
  <w:footnote w:type="continuationSeparator" w:id="0">
    <w:p w:rsidR="002547AF" w:rsidRDefault="00254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A21A9"/>
    <w:rsid w:val="001A3475"/>
    <w:rsid w:val="001A4A63"/>
    <w:rsid w:val="001A59D8"/>
    <w:rsid w:val="001A5FA6"/>
    <w:rsid w:val="001A76EF"/>
    <w:rsid w:val="001B28D0"/>
    <w:rsid w:val="001B2F0C"/>
    <w:rsid w:val="001B65D7"/>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516D"/>
    <w:rsid w:val="0024651F"/>
    <w:rsid w:val="0025065B"/>
    <w:rsid w:val="0025158D"/>
    <w:rsid w:val="0025281A"/>
    <w:rsid w:val="002537A4"/>
    <w:rsid w:val="00253D3C"/>
    <w:rsid w:val="002547AF"/>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D6C"/>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0D65"/>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BBA"/>
    <w:rsid w:val="004A3039"/>
    <w:rsid w:val="004A36FD"/>
    <w:rsid w:val="004A3E3C"/>
    <w:rsid w:val="004A3FD5"/>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9AC"/>
    <w:rsid w:val="005C722E"/>
    <w:rsid w:val="005C73C2"/>
    <w:rsid w:val="005C7FD4"/>
    <w:rsid w:val="005D01A4"/>
    <w:rsid w:val="005D45B3"/>
    <w:rsid w:val="005D4CEB"/>
    <w:rsid w:val="005E0EAB"/>
    <w:rsid w:val="005E250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5B7"/>
    <w:rsid w:val="00726CFF"/>
    <w:rsid w:val="0072708F"/>
    <w:rsid w:val="00730500"/>
    <w:rsid w:val="00732D1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6EC9"/>
    <w:rsid w:val="00797637"/>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45E08"/>
    <w:rsid w:val="009500A1"/>
    <w:rsid w:val="0095037E"/>
    <w:rsid w:val="00952AAD"/>
    <w:rsid w:val="00954567"/>
    <w:rsid w:val="00957466"/>
    <w:rsid w:val="0096260B"/>
    <w:rsid w:val="009664D5"/>
    <w:rsid w:val="009700FB"/>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4EB"/>
    <w:rsid w:val="00997813"/>
    <w:rsid w:val="009A03D2"/>
    <w:rsid w:val="009A1126"/>
    <w:rsid w:val="009A59BA"/>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85176"/>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215"/>
    <w:rsid w:val="00C439FB"/>
    <w:rsid w:val="00C43F23"/>
    <w:rsid w:val="00C4675D"/>
    <w:rsid w:val="00C467F0"/>
    <w:rsid w:val="00C50011"/>
    <w:rsid w:val="00C503D3"/>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4205E"/>
    <w:rsid w:val="00D53570"/>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3E62"/>
    <w:rsid w:val="00DD7E94"/>
    <w:rsid w:val="00DD7EA2"/>
    <w:rsid w:val="00DE00F2"/>
    <w:rsid w:val="00DE07B4"/>
    <w:rsid w:val="00DE117F"/>
    <w:rsid w:val="00DE279B"/>
    <w:rsid w:val="00DE2B64"/>
    <w:rsid w:val="00DE401C"/>
    <w:rsid w:val="00DE4304"/>
    <w:rsid w:val="00DE6DF1"/>
    <w:rsid w:val="00DF0726"/>
    <w:rsid w:val="00DF63FA"/>
    <w:rsid w:val="00DF7679"/>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7A7"/>
    <w:rsid w:val="00E87C2F"/>
    <w:rsid w:val="00E906B4"/>
    <w:rsid w:val="00E9095B"/>
    <w:rsid w:val="00E90CF1"/>
    <w:rsid w:val="00E9399B"/>
    <w:rsid w:val="00E94008"/>
    <w:rsid w:val="00E94762"/>
    <w:rsid w:val="00E96B52"/>
    <w:rsid w:val="00EA2244"/>
    <w:rsid w:val="00EA2934"/>
    <w:rsid w:val="00EA3F21"/>
    <w:rsid w:val="00EA411E"/>
    <w:rsid w:val="00EA5FC0"/>
    <w:rsid w:val="00EA6FA7"/>
    <w:rsid w:val="00EB067F"/>
    <w:rsid w:val="00EB1F02"/>
    <w:rsid w:val="00EB51FD"/>
    <w:rsid w:val="00EB5BC5"/>
    <w:rsid w:val="00EB72C1"/>
    <w:rsid w:val="00EC086C"/>
    <w:rsid w:val="00EC0963"/>
    <w:rsid w:val="00EC42D0"/>
    <w:rsid w:val="00EC4BA3"/>
    <w:rsid w:val="00EC5CE6"/>
    <w:rsid w:val="00EC5FA6"/>
    <w:rsid w:val="00EC638F"/>
    <w:rsid w:val="00EE2ACE"/>
    <w:rsid w:val="00EE4874"/>
    <w:rsid w:val="00EE79A6"/>
    <w:rsid w:val="00EE7FB4"/>
    <w:rsid w:val="00EF0D26"/>
    <w:rsid w:val="00EF0D86"/>
    <w:rsid w:val="00EF22FE"/>
    <w:rsid w:val="00EF601C"/>
    <w:rsid w:val="00EF76AC"/>
    <w:rsid w:val="00EF7BEA"/>
    <w:rsid w:val="00EF7C29"/>
    <w:rsid w:val="00F005A0"/>
    <w:rsid w:val="00F01D97"/>
    <w:rsid w:val="00F01F3C"/>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0FCC"/>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764"/>
    <w:rsid w:val="00FA1925"/>
    <w:rsid w:val="00FA2DDA"/>
    <w:rsid w:val="00FA34CA"/>
    <w:rsid w:val="00FA3CC8"/>
    <w:rsid w:val="00FA4A55"/>
    <w:rsid w:val="00FA4D4F"/>
    <w:rsid w:val="00FA54E8"/>
    <w:rsid w:val="00FA5CA2"/>
    <w:rsid w:val="00FB2D17"/>
    <w:rsid w:val="00FB2F69"/>
    <w:rsid w:val="00FB39F7"/>
    <w:rsid w:val="00FB3BCA"/>
    <w:rsid w:val="00FB45FF"/>
    <w:rsid w:val="00FB47E0"/>
    <w:rsid w:val="00FB5D97"/>
    <w:rsid w:val="00FB7363"/>
    <w:rsid w:val="00FB757E"/>
    <w:rsid w:val="00FC1CA5"/>
    <w:rsid w:val="00FC2979"/>
    <w:rsid w:val="00FC45F4"/>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8BC11D8A-6F79-4343-86F8-2634E4B2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paragraph" w:styleId="af8">
    <w:name w:val="Revision"/>
    <w:hidden/>
    <w:uiPriority w:val="99"/>
    <w:semiHidden/>
    <w:rsid w:val="002451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5</TotalTime>
  <Pages>12</Pages>
  <Words>1055</Words>
  <Characters>6017</Characters>
  <Application>Microsoft Office Word</Application>
  <DocSecurity>0</DocSecurity>
  <Lines>50</Lines>
  <Paragraphs>14</Paragraphs>
  <ScaleCrop>false</ScaleCrop>
  <Company>TRT. Ltd. Co.</Company>
  <LinksUpToDate>false</LinksUpToDate>
  <CharactersWithSpaces>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13</cp:revision>
  <cp:lastPrinted>2007-07-19T00:46:00Z</cp:lastPrinted>
  <dcterms:created xsi:type="dcterms:W3CDTF">2014-07-10T11:12:00Z</dcterms:created>
  <dcterms:modified xsi:type="dcterms:W3CDTF">2014-07-17T08:38:00Z</dcterms:modified>
</cp:coreProperties>
</file>