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DA14B0">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0C1E17" w:rsidRPr="00414345" w:rsidRDefault="000C1E17" w:rsidP="00DA14B0">
      <w:pPr>
        <w:autoSpaceDE w:val="0"/>
        <w:autoSpaceDN w:val="0"/>
        <w:adjustRightInd w:val="0"/>
        <w:spacing w:before="29" w:line="288" w:lineRule="auto"/>
        <w:jc w:val="left"/>
        <w:rPr>
          <w:color w:val="000000"/>
          <w:kern w:val="0"/>
          <w:sz w:val="24"/>
          <w:szCs w:val="24"/>
        </w:rPr>
      </w:pPr>
    </w:p>
    <w:p w:rsidR="002279D3" w:rsidRPr="00414345" w:rsidRDefault="002279D3" w:rsidP="00DA14B0">
      <w:pPr>
        <w:spacing w:before="29" w:line="288" w:lineRule="auto"/>
        <w:jc w:val="center"/>
        <w:rPr>
          <w:b/>
          <w:sz w:val="24"/>
          <w:szCs w:val="24"/>
        </w:rPr>
      </w:pPr>
      <w:r w:rsidRPr="00414345">
        <w:rPr>
          <w:b/>
          <w:sz w:val="24"/>
          <w:szCs w:val="24"/>
        </w:rPr>
        <w:t>交银施罗德阿尔法核心股票型证券投资基金</w:t>
      </w:r>
    </w:p>
    <w:p w:rsidR="002279D3" w:rsidRPr="00414345" w:rsidRDefault="002279D3" w:rsidP="00DA14B0">
      <w:pPr>
        <w:spacing w:before="29" w:line="288" w:lineRule="auto"/>
        <w:jc w:val="center"/>
        <w:rPr>
          <w:b/>
          <w:sz w:val="24"/>
          <w:szCs w:val="24"/>
        </w:rPr>
      </w:pPr>
      <w:r w:rsidRPr="00414345">
        <w:rPr>
          <w:b/>
          <w:sz w:val="24"/>
          <w:szCs w:val="24"/>
        </w:rPr>
        <w:t>2014</w:t>
      </w:r>
      <w:r w:rsidRPr="00414345">
        <w:rPr>
          <w:b/>
          <w:sz w:val="24"/>
          <w:szCs w:val="24"/>
        </w:rPr>
        <w:t>年第</w:t>
      </w:r>
      <w:r w:rsidRPr="00414345">
        <w:rPr>
          <w:b/>
          <w:sz w:val="24"/>
          <w:szCs w:val="24"/>
        </w:rPr>
        <w:t>1</w:t>
      </w:r>
      <w:r w:rsidRPr="00414345">
        <w:rPr>
          <w:b/>
          <w:sz w:val="24"/>
          <w:szCs w:val="24"/>
        </w:rPr>
        <w:t>季度报告</w:t>
      </w:r>
    </w:p>
    <w:p w:rsidR="004061AC" w:rsidRPr="00414345" w:rsidRDefault="00655CD8" w:rsidP="00DA14B0">
      <w:pPr>
        <w:spacing w:before="29" w:line="288" w:lineRule="auto"/>
        <w:jc w:val="center"/>
        <w:rPr>
          <w:sz w:val="24"/>
          <w:szCs w:val="24"/>
        </w:rPr>
      </w:pPr>
      <w:r w:rsidRPr="00414345">
        <w:rPr>
          <w:sz w:val="24"/>
          <w:szCs w:val="24"/>
        </w:rPr>
        <w:t>2014</w:t>
      </w:r>
      <w:r w:rsidRPr="00414345">
        <w:rPr>
          <w:sz w:val="24"/>
          <w:szCs w:val="24"/>
        </w:rPr>
        <w:t>年</w:t>
      </w:r>
      <w:r w:rsidRPr="00414345">
        <w:rPr>
          <w:sz w:val="24"/>
          <w:szCs w:val="24"/>
        </w:rPr>
        <w:t>3</w:t>
      </w:r>
      <w:r w:rsidRPr="00414345">
        <w:rPr>
          <w:sz w:val="24"/>
          <w:szCs w:val="24"/>
        </w:rPr>
        <w:t>月</w:t>
      </w:r>
      <w:r w:rsidRPr="00414345">
        <w:rPr>
          <w:sz w:val="24"/>
          <w:szCs w:val="24"/>
        </w:rPr>
        <w:t>31</w:t>
      </w:r>
      <w:r w:rsidRPr="00414345">
        <w:rPr>
          <w:sz w:val="24"/>
          <w:szCs w:val="24"/>
        </w:rPr>
        <w:t>日</w:t>
      </w: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jc w:val="center"/>
        <w:rPr>
          <w:b/>
          <w:bCs/>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基金管理人：交银施罗德基金管理有限公司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color w:val="000000"/>
          <w:sz w:val="24"/>
          <w:szCs w:val="24"/>
        </w:rPr>
      </w:pPr>
      <w:r w:rsidRPr="00414345">
        <w:rPr>
          <w:color w:val="000000"/>
          <w:sz w:val="24"/>
          <w:szCs w:val="24"/>
        </w:rPr>
        <w:t>基金托管人：中国建设银行股份有限公司</w:t>
      </w:r>
    </w:p>
    <w:p w:rsidR="00625BFC" w:rsidRPr="00414345" w:rsidRDefault="00625BFC" w:rsidP="00DA14B0">
      <w:pPr>
        <w:spacing w:before="29" w:line="288" w:lineRule="auto"/>
        <w:ind w:firstLineChars="900" w:firstLine="2160"/>
        <w:rPr>
          <w:color w:val="000000"/>
          <w:sz w:val="24"/>
          <w:szCs w:val="24"/>
        </w:rPr>
      </w:pPr>
    </w:p>
    <w:p w:rsidR="004061AC" w:rsidRPr="00414345" w:rsidRDefault="004061AC" w:rsidP="00DA14B0">
      <w:pPr>
        <w:spacing w:before="29" w:line="288" w:lineRule="auto"/>
        <w:ind w:firstLineChars="900" w:firstLine="2160"/>
        <w:rPr>
          <w:b/>
          <w:color w:val="000000"/>
          <w:sz w:val="24"/>
          <w:szCs w:val="24"/>
        </w:rPr>
        <w:sectPr w:rsidR="004061AC" w:rsidRPr="00414345" w:rsidSect="00000678">
          <w:headerReference w:type="default" r:id="rId8"/>
          <w:footerReference w:type="default" r:id="rId9"/>
          <w:pgSz w:w="11926" w:h="15840"/>
          <w:pgMar w:top="1418" w:right="1440" w:bottom="851" w:left="1440" w:header="851" w:footer="992" w:gutter="0"/>
          <w:cols w:space="720"/>
          <w:noEndnote/>
        </w:sectPr>
      </w:pPr>
      <w:r w:rsidRPr="00414345">
        <w:rPr>
          <w:color w:val="000000"/>
          <w:sz w:val="24"/>
          <w:szCs w:val="24"/>
        </w:rPr>
        <w:t>报告送出日期：</w:t>
      </w:r>
      <w:r w:rsidR="00F16E3F" w:rsidRPr="00414345">
        <w:rPr>
          <w:color w:val="000000"/>
          <w:sz w:val="24"/>
          <w:szCs w:val="24"/>
        </w:rPr>
        <w:t>二〇一四年四月二十二日</w:t>
      </w:r>
    </w:p>
    <w:p w:rsidR="004061AC" w:rsidRPr="00414345" w:rsidRDefault="004061AC" w:rsidP="00CD01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44F3A" w:rsidRDefault="00CD012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44F3A" w:rsidRDefault="00CD0126">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44F3A" w:rsidRDefault="00CD012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44F3A" w:rsidRDefault="00CD012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44F3A" w:rsidRDefault="00CD0126">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DA14B0">
      <w:pPr>
        <w:spacing w:before="29" w:line="288" w:lineRule="auto"/>
        <w:ind w:firstLineChars="200" w:firstLine="480"/>
        <w:rPr>
          <w:color w:val="000000"/>
          <w:sz w:val="24"/>
          <w:szCs w:val="24"/>
        </w:rPr>
      </w:pPr>
    </w:p>
    <w:p w:rsidR="004061AC" w:rsidRPr="00414345" w:rsidRDefault="004061AC" w:rsidP="00CD01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DA14B0">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DA14B0">
            <w:pPr>
              <w:adjustRightInd w:val="0"/>
              <w:spacing w:before="29" w:line="288" w:lineRule="auto"/>
              <w:ind w:left="17"/>
              <w:jc w:val="left"/>
              <w:rPr>
                <w:color w:val="000000"/>
                <w:kern w:val="0"/>
                <w:sz w:val="24"/>
                <w:szCs w:val="24"/>
              </w:rPr>
            </w:pPr>
            <w:r w:rsidRPr="00414345">
              <w:rPr>
                <w:color w:val="000000"/>
                <w:kern w:val="0"/>
                <w:sz w:val="24"/>
                <w:szCs w:val="24"/>
              </w:rPr>
              <w:t>交银阿尔法核心股票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DA14B0">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DA14B0">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33,542,099.98</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中信标普全债指数收益率</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风险收益特征</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本基金为一只主动股票型基金，风险与预期收益高于混合基金、债券基金和货币市场基金。属于承担较高</w:t>
            </w:r>
            <w:r w:rsidRPr="00414345">
              <w:rPr>
                <w:color w:val="000000"/>
                <w:kern w:val="0"/>
                <w:sz w:val="24"/>
                <w:szCs w:val="24"/>
              </w:rPr>
              <w:lastRenderedPageBreak/>
              <w:t>风险、预期收益较高的证券投资基金品种。</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lastRenderedPageBreak/>
              <w:t>基金管理人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DA14B0">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DA14B0">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DA14B0">
      <w:pPr>
        <w:autoSpaceDE w:val="0"/>
        <w:autoSpaceDN w:val="0"/>
        <w:adjustRightInd w:val="0"/>
        <w:spacing w:before="29" w:line="288" w:lineRule="auto"/>
        <w:jc w:val="left"/>
        <w:rPr>
          <w:color w:val="000000"/>
          <w:kern w:val="0"/>
          <w:sz w:val="24"/>
          <w:szCs w:val="24"/>
        </w:rPr>
      </w:pPr>
    </w:p>
    <w:p w:rsidR="004061AC" w:rsidRPr="00414345" w:rsidRDefault="004061AC" w:rsidP="00CD01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D0126" w:rsidRPr="00414345" w:rsidTr="00CD0126">
        <w:trPr>
          <w:jc w:val="center"/>
        </w:trPr>
        <w:tc>
          <w:tcPr>
            <w:tcW w:w="3402" w:type="dxa"/>
            <w:vAlign w:val="center"/>
          </w:tcPr>
          <w:p w:rsidR="00C21520" w:rsidRPr="00414345" w:rsidRDefault="00C21520" w:rsidP="00DA14B0">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DA14B0">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D0126" w:rsidRPr="00414345" w:rsidTr="00CD0126">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-641,251.40</w:t>
            </w:r>
          </w:p>
        </w:tc>
      </w:tr>
      <w:tr w:rsidR="00CD0126" w:rsidRPr="00414345" w:rsidTr="00CD0126">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-1,291,506.94</w:t>
            </w:r>
          </w:p>
        </w:tc>
      </w:tr>
      <w:tr w:rsidR="00CD0126" w:rsidRPr="00414345" w:rsidTr="00CD0126">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-0.0272</w:t>
            </w:r>
          </w:p>
        </w:tc>
      </w:tr>
      <w:tr w:rsidR="00CD0126" w:rsidRPr="00414345" w:rsidTr="00CD0126">
        <w:trPr>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32,973,596.09</w:t>
            </w:r>
          </w:p>
        </w:tc>
      </w:tr>
      <w:tr w:rsidR="00CD0126" w:rsidRPr="00414345" w:rsidTr="00CD0126">
        <w:trPr>
          <w:trHeight w:val="158"/>
          <w:jc w:val="center"/>
        </w:trPr>
        <w:tc>
          <w:tcPr>
            <w:tcW w:w="3402" w:type="dxa"/>
            <w:vAlign w:val="center"/>
          </w:tcPr>
          <w:p w:rsidR="00C21520" w:rsidRPr="00414345" w:rsidRDefault="00C21520" w:rsidP="00DA14B0">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DA14B0">
            <w:pPr>
              <w:adjustRightInd w:val="0"/>
              <w:spacing w:before="29" w:line="288" w:lineRule="auto"/>
              <w:ind w:left="17"/>
              <w:jc w:val="right"/>
              <w:rPr>
                <w:color w:val="000000"/>
                <w:sz w:val="24"/>
                <w:szCs w:val="24"/>
              </w:rPr>
            </w:pPr>
            <w:r w:rsidRPr="00414345">
              <w:rPr>
                <w:color w:val="000000"/>
                <w:sz w:val="24"/>
                <w:szCs w:val="24"/>
              </w:rPr>
              <w:t>0.983</w:t>
            </w:r>
          </w:p>
        </w:tc>
      </w:tr>
    </w:tbl>
    <w:p w:rsidR="00A44F3A" w:rsidRDefault="00CD012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DA14B0">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44F3A">
        <w:trPr>
          <w:jc w:val="center"/>
        </w:trPr>
        <w:tc>
          <w:tcPr>
            <w:tcW w:w="1701" w:type="dxa"/>
            <w:vAlign w:val="center"/>
          </w:tcPr>
          <w:p w:rsidR="00A44F3A" w:rsidRDefault="00CD0126">
            <w:pPr>
              <w:jc w:val="left"/>
            </w:pPr>
            <w:r>
              <w:rPr>
                <w:color w:val="000000"/>
                <w:sz w:val="24"/>
                <w:szCs w:val="24"/>
              </w:rPr>
              <w:t>过去三个月</w:t>
            </w:r>
          </w:p>
        </w:tc>
        <w:tc>
          <w:tcPr>
            <w:tcW w:w="1045" w:type="dxa"/>
            <w:vAlign w:val="center"/>
          </w:tcPr>
          <w:p w:rsidR="00A44F3A" w:rsidRDefault="00CD0126">
            <w:pPr>
              <w:jc w:val="center"/>
            </w:pPr>
            <w:r>
              <w:rPr>
                <w:color w:val="000000"/>
                <w:sz w:val="24"/>
                <w:szCs w:val="24"/>
              </w:rPr>
              <w:t>-3.15%</w:t>
            </w:r>
          </w:p>
        </w:tc>
        <w:tc>
          <w:tcPr>
            <w:tcW w:w="1344" w:type="dxa"/>
            <w:vAlign w:val="center"/>
          </w:tcPr>
          <w:p w:rsidR="00A44F3A" w:rsidRDefault="00CD0126">
            <w:pPr>
              <w:jc w:val="center"/>
            </w:pPr>
            <w:r>
              <w:rPr>
                <w:color w:val="000000"/>
                <w:sz w:val="24"/>
                <w:szCs w:val="24"/>
              </w:rPr>
              <w:t>1.04%</w:t>
            </w:r>
          </w:p>
        </w:tc>
        <w:tc>
          <w:tcPr>
            <w:tcW w:w="1194" w:type="dxa"/>
            <w:vAlign w:val="center"/>
          </w:tcPr>
          <w:p w:rsidR="00A44F3A" w:rsidRDefault="00CD0126">
            <w:pPr>
              <w:jc w:val="center"/>
            </w:pPr>
            <w:r>
              <w:rPr>
                <w:color w:val="000000"/>
                <w:sz w:val="24"/>
                <w:szCs w:val="24"/>
              </w:rPr>
              <w:t>-5.57%</w:t>
            </w:r>
          </w:p>
        </w:tc>
        <w:tc>
          <w:tcPr>
            <w:tcW w:w="1492" w:type="dxa"/>
            <w:vAlign w:val="center"/>
          </w:tcPr>
          <w:p w:rsidR="00A44F3A" w:rsidRDefault="00CD0126">
            <w:pPr>
              <w:jc w:val="center"/>
            </w:pPr>
            <w:r>
              <w:rPr>
                <w:color w:val="000000"/>
                <w:sz w:val="24"/>
                <w:szCs w:val="24"/>
              </w:rPr>
              <w:t>0.90%</w:t>
            </w:r>
          </w:p>
        </w:tc>
        <w:tc>
          <w:tcPr>
            <w:tcW w:w="1194" w:type="dxa"/>
            <w:vAlign w:val="center"/>
          </w:tcPr>
          <w:p w:rsidR="00A44F3A" w:rsidRDefault="00CD0126">
            <w:pPr>
              <w:jc w:val="center"/>
            </w:pPr>
            <w:r>
              <w:rPr>
                <w:color w:val="000000"/>
                <w:sz w:val="24"/>
                <w:szCs w:val="24"/>
              </w:rPr>
              <w:t>2.42%</w:t>
            </w:r>
          </w:p>
        </w:tc>
        <w:tc>
          <w:tcPr>
            <w:tcW w:w="898" w:type="dxa"/>
            <w:vAlign w:val="center"/>
          </w:tcPr>
          <w:p w:rsidR="00A44F3A" w:rsidRDefault="00CD0126">
            <w:pPr>
              <w:jc w:val="center"/>
            </w:pPr>
            <w:r>
              <w:rPr>
                <w:color w:val="000000"/>
                <w:sz w:val="24"/>
                <w:szCs w:val="24"/>
              </w:rPr>
              <w:t>0.14%</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C6002A" w:rsidRPr="00414345">
        <w:rPr>
          <w:b/>
          <w:bCs/>
          <w:color w:val="000000"/>
          <w:sz w:val="24"/>
        </w:rPr>
        <w:t>自基金合同生效以来基金份额累计净值增长率变动及其与同期业绩比较基准收益率变动的比较</w:t>
      </w:r>
    </w:p>
    <w:p w:rsidR="008606B6" w:rsidRPr="00414345" w:rsidRDefault="008606B6" w:rsidP="00DA14B0">
      <w:pPr>
        <w:spacing w:before="29" w:line="288" w:lineRule="auto"/>
        <w:jc w:val="center"/>
        <w:rPr>
          <w:color w:val="000000"/>
          <w:sz w:val="24"/>
          <w:szCs w:val="24"/>
        </w:rPr>
      </w:pPr>
      <w:r w:rsidRPr="00414345">
        <w:rPr>
          <w:color w:val="000000"/>
          <w:sz w:val="24"/>
          <w:szCs w:val="24"/>
        </w:rPr>
        <w:t>交银施罗德阿尔法核心股票型证券投资基金</w:t>
      </w:r>
    </w:p>
    <w:p w:rsidR="004061AC" w:rsidRPr="00414345" w:rsidRDefault="00B56F53"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DA14B0">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DA14B0">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DA14B0">
      <w:pPr>
        <w:tabs>
          <w:tab w:val="left" w:pos="1800"/>
        </w:tabs>
        <w:spacing w:before="29" w:line="288" w:lineRule="auto"/>
        <w:rPr>
          <w:color w:val="000000"/>
          <w:sz w:val="24"/>
          <w:szCs w:val="24"/>
        </w:rPr>
      </w:pPr>
    </w:p>
    <w:p w:rsidR="004061AC" w:rsidRPr="00414345" w:rsidRDefault="004061AC" w:rsidP="00CD01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DA14B0">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850"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1560"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DA14B0">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DA14B0">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DA14B0">
            <w:pPr>
              <w:widowControl/>
              <w:spacing w:before="29" w:line="288" w:lineRule="auto"/>
              <w:jc w:val="left"/>
              <w:rPr>
                <w:color w:val="000000"/>
                <w:kern w:val="0"/>
                <w:sz w:val="24"/>
                <w:szCs w:val="24"/>
              </w:rPr>
            </w:pPr>
          </w:p>
        </w:tc>
      </w:tr>
      <w:tr w:rsidR="00A44F3A">
        <w:trPr>
          <w:jc w:val="center"/>
        </w:trPr>
        <w:tc>
          <w:tcPr>
            <w:tcW w:w="846" w:type="dxa"/>
            <w:vAlign w:val="center"/>
          </w:tcPr>
          <w:p w:rsidR="00A44F3A" w:rsidRDefault="00CD0126">
            <w:pPr>
              <w:jc w:val="center"/>
            </w:pPr>
            <w:r>
              <w:rPr>
                <w:color w:val="000000"/>
                <w:sz w:val="24"/>
                <w:szCs w:val="24"/>
              </w:rPr>
              <w:t>龙向东</w:t>
            </w:r>
          </w:p>
        </w:tc>
        <w:tc>
          <w:tcPr>
            <w:tcW w:w="845" w:type="dxa"/>
            <w:vAlign w:val="center"/>
          </w:tcPr>
          <w:p w:rsidR="00A44F3A" w:rsidRDefault="00CD0126">
            <w:pPr>
              <w:jc w:val="center"/>
            </w:pPr>
            <w:r>
              <w:rPr>
                <w:color w:val="000000"/>
                <w:sz w:val="24"/>
                <w:szCs w:val="24"/>
              </w:rPr>
              <w:t>本基金的基金经理，公司量化投资部总经理</w:t>
            </w:r>
          </w:p>
        </w:tc>
        <w:tc>
          <w:tcPr>
            <w:tcW w:w="1549" w:type="dxa"/>
            <w:vAlign w:val="center"/>
          </w:tcPr>
          <w:p w:rsidR="00A44F3A" w:rsidRDefault="00CD0126">
            <w:pPr>
              <w:jc w:val="center"/>
            </w:pPr>
            <w:r>
              <w:rPr>
                <w:color w:val="000000"/>
                <w:sz w:val="24"/>
                <w:szCs w:val="24"/>
              </w:rPr>
              <w:t>2012-08-03</w:t>
            </w:r>
          </w:p>
        </w:tc>
        <w:tc>
          <w:tcPr>
            <w:tcW w:w="1548" w:type="dxa"/>
            <w:vAlign w:val="center"/>
          </w:tcPr>
          <w:p w:rsidR="00A44F3A" w:rsidRDefault="00CD0126">
            <w:pPr>
              <w:jc w:val="center"/>
            </w:pPr>
            <w:r>
              <w:rPr>
                <w:color w:val="000000"/>
                <w:sz w:val="24"/>
                <w:szCs w:val="24"/>
              </w:rPr>
              <w:t>-</w:t>
            </w:r>
          </w:p>
        </w:tc>
        <w:tc>
          <w:tcPr>
            <w:tcW w:w="1407" w:type="dxa"/>
            <w:vAlign w:val="center"/>
          </w:tcPr>
          <w:p w:rsidR="00A44F3A" w:rsidRDefault="00CD0126">
            <w:pPr>
              <w:jc w:val="center"/>
            </w:pPr>
            <w:r>
              <w:rPr>
                <w:color w:val="000000"/>
                <w:sz w:val="24"/>
                <w:szCs w:val="24"/>
              </w:rPr>
              <w:t>5</w:t>
            </w:r>
            <w:r>
              <w:rPr>
                <w:color w:val="000000"/>
                <w:sz w:val="24"/>
                <w:szCs w:val="24"/>
              </w:rPr>
              <w:t>年</w:t>
            </w:r>
          </w:p>
        </w:tc>
        <w:tc>
          <w:tcPr>
            <w:tcW w:w="2673" w:type="dxa"/>
            <w:vAlign w:val="center"/>
          </w:tcPr>
          <w:p w:rsidR="00A44F3A" w:rsidRDefault="00CD0126">
            <w:r>
              <w:rPr>
                <w:color w:val="000000"/>
                <w:sz w:val="24"/>
                <w:szCs w:val="24"/>
              </w:rPr>
              <w:t>龙向东先生，中国人民大学经济学学士、经济学硕士，美国加州大学河滨分校经济学博士。历任英国剑桥大学商学院金融分析和政策中心研究员，美国雷曼兄弟公司（欧洲）量化分析师，日本野村国际</w:t>
            </w:r>
            <w:r>
              <w:rPr>
                <w:color w:val="000000"/>
                <w:sz w:val="24"/>
                <w:szCs w:val="24"/>
              </w:rPr>
              <w:t xml:space="preserve"> </w:t>
            </w:r>
            <w:r>
              <w:rPr>
                <w:color w:val="000000"/>
                <w:sz w:val="24"/>
                <w:szCs w:val="24"/>
              </w:rPr>
              <w:t>（欧洲）</w:t>
            </w:r>
            <w:r>
              <w:rPr>
                <w:color w:val="000000"/>
                <w:sz w:val="24"/>
                <w:szCs w:val="24"/>
              </w:rPr>
              <w:t xml:space="preserve"> </w:t>
            </w:r>
            <w:r>
              <w:rPr>
                <w:color w:val="000000"/>
                <w:sz w:val="24"/>
                <w:szCs w:val="24"/>
              </w:rPr>
              <w:t>量化分析师，北京健坤和创投资公司量化投资总监。</w:t>
            </w:r>
            <w:r>
              <w:rPr>
                <w:color w:val="000000"/>
                <w:sz w:val="24"/>
                <w:szCs w:val="24"/>
              </w:rPr>
              <w:t>2010</w:t>
            </w:r>
            <w:r>
              <w:rPr>
                <w:color w:val="000000"/>
                <w:sz w:val="24"/>
                <w:szCs w:val="24"/>
              </w:rPr>
              <w:t>年加入交银施罗德基金管理有限公司，历任量化投资部副总经理。</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DA14B0">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44F3A" w:rsidRDefault="00CD012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44F3A" w:rsidRDefault="00CD012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44F3A" w:rsidRDefault="00CD012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DA14B0">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DA14B0">
      <w:pPr>
        <w:spacing w:before="29" w:line="288" w:lineRule="auto"/>
        <w:ind w:firstLineChars="200" w:firstLine="480"/>
        <w:rPr>
          <w:color w:val="000000"/>
          <w:sz w:val="24"/>
          <w:szCs w:val="24"/>
        </w:rPr>
      </w:pPr>
      <w:r w:rsidRPr="00414345">
        <w:rPr>
          <w:color w:val="000000"/>
          <w:sz w:val="24"/>
          <w:szCs w:val="24"/>
        </w:rPr>
        <w:t>本报告期内，本公司管理的所有投资组合未发生参与的交易所公开竞价同日反向交易成交较少的单边交易量超过该证券当日总成交量</w:t>
      </w:r>
      <w:r w:rsidRPr="00414345">
        <w:rPr>
          <w:color w:val="000000"/>
          <w:sz w:val="24"/>
          <w:szCs w:val="24"/>
        </w:rPr>
        <w:t>5%</w:t>
      </w:r>
      <w:r w:rsidRPr="00414345">
        <w:rPr>
          <w:color w:val="000000"/>
          <w:sz w:val="24"/>
          <w:szCs w:val="24"/>
        </w:rPr>
        <w:t>的情形。本基金于本报告期内未出现异常交易行为。</w:t>
      </w:r>
    </w:p>
    <w:p w:rsidR="004061AC" w:rsidRPr="00414345" w:rsidRDefault="004061AC"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44F3A" w:rsidRDefault="00CD0126">
      <w:pPr>
        <w:spacing w:before="29" w:line="288" w:lineRule="auto"/>
        <w:ind w:firstLineChars="200" w:firstLine="480"/>
        <w:rPr>
          <w:color w:val="000000"/>
          <w:sz w:val="24"/>
          <w:szCs w:val="24"/>
        </w:rPr>
      </w:pPr>
      <w:r>
        <w:rPr>
          <w:color w:val="000000"/>
          <w:sz w:val="24"/>
          <w:szCs w:val="24"/>
        </w:rPr>
        <w:t>2014</w:t>
      </w:r>
      <w:r>
        <w:rPr>
          <w:color w:val="000000"/>
          <w:sz w:val="24"/>
          <w:szCs w:val="24"/>
        </w:rPr>
        <w:t>年一季度市场有两大突出特点：成长价值间的风格转换和经济下行对应的市场阴跌。在</w:t>
      </w:r>
      <w:r>
        <w:rPr>
          <w:color w:val="000000"/>
          <w:sz w:val="24"/>
          <w:szCs w:val="24"/>
        </w:rPr>
        <w:t>1</w:t>
      </w:r>
      <w:r>
        <w:rPr>
          <w:color w:val="000000"/>
          <w:sz w:val="24"/>
          <w:szCs w:val="24"/>
        </w:rPr>
        <w:t>月效应的影响下创业板指数</w:t>
      </w:r>
      <w:r>
        <w:rPr>
          <w:color w:val="000000"/>
          <w:sz w:val="24"/>
          <w:szCs w:val="24"/>
        </w:rPr>
        <w:t>1</w:t>
      </w:r>
      <w:r>
        <w:rPr>
          <w:color w:val="000000"/>
          <w:sz w:val="24"/>
          <w:szCs w:val="24"/>
        </w:rPr>
        <w:t>月月度收益率达到</w:t>
      </w:r>
      <w:r>
        <w:rPr>
          <w:color w:val="000000"/>
          <w:sz w:val="24"/>
          <w:szCs w:val="24"/>
        </w:rPr>
        <w:t>14.68%</w:t>
      </w:r>
      <w:r>
        <w:rPr>
          <w:color w:val="000000"/>
          <w:sz w:val="24"/>
          <w:szCs w:val="24"/>
        </w:rPr>
        <w:t>，大幅跑赢沪深</w:t>
      </w:r>
      <w:r>
        <w:rPr>
          <w:color w:val="000000"/>
          <w:sz w:val="24"/>
          <w:szCs w:val="24"/>
        </w:rPr>
        <w:t>300</w:t>
      </w:r>
      <w:r>
        <w:rPr>
          <w:color w:val="000000"/>
          <w:sz w:val="24"/>
          <w:szCs w:val="24"/>
        </w:rPr>
        <w:t>指数</w:t>
      </w:r>
      <w:r>
        <w:rPr>
          <w:color w:val="000000"/>
          <w:sz w:val="24"/>
          <w:szCs w:val="24"/>
        </w:rPr>
        <w:t>-5.48%</w:t>
      </w:r>
      <w:r>
        <w:rPr>
          <w:color w:val="000000"/>
          <w:sz w:val="24"/>
          <w:szCs w:val="24"/>
        </w:rPr>
        <w:t>的月度收益率；但随后而来的风格转换，让大盘蓝筹股重显相对吸引力。不过，经济下行的影响也使得沪深</w:t>
      </w:r>
      <w:r>
        <w:rPr>
          <w:color w:val="000000"/>
          <w:sz w:val="24"/>
          <w:szCs w:val="24"/>
        </w:rPr>
        <w:t>300</w:t>
      </w:r>
      <w:r>
        <w:rPr>
          <w:color w:val="000000"/>
          <w:sz w:val="24"/>
          <w:szCs w:val="24"/>
        </w:rPr>
        <w:t>指数连续</w:t>
      </w:r>
      <w:r>
        <w:rPr>
          <w:color w:val="000000"/>
          <w:sz w:val="24"/>
          <w:szCs w:val="24"/>
        </w:rPr>
        <w:t>3</w:t>
      </w:r>
      <w:r>
        <w:rPr>
          <w:color w:val="000000"/>
          <w:sz w:val="24"/>
          <w:szCs w:val="24"/>
        </w:rPr>
        <w:t>个月下跌。在充分利用</w:t>
      </w:r>
      <w:r>
        <w:rPr>
          <w:color w:val="000000"/>
          <w:sz w:val="24"/>
          <w:szCs w:val="24"/>
        </w:rPr>
        <w:t>1</w:t>
      </w:r>
      <w:r>
        <w:rPr>
          <w:color w:val="000000"/>
          <w:sz w:val="24"/>
          <w:szCs w:val="24"/>
        </w:rPr>
        <w:t>月效应的同时，对去年以来小盘成长股大幅跑赢大盘蓝筹股的情况，本基金保持了清醒认识；基于对</w:t>
      </w:r>
      <w:r>
        <w:rPr>
          <w:color w:val="000000"/>
          <w:sz w:val="24"/>
          <w:szCs w:val="24"/>
        </w:rPr>
        <w:t>“</w:t>
      </w:r>
      <w:r>
        <w:rPr>
          <w:color w:val="000000"/>
          <w:sz w:val="24"/>
          <w:szCs w:val="24"/>
        </w:rPr>
        <w:t>利率倒逼降低高杠杆需要管理流动性、流动性边际收紧触发小盘股回调</w:t>
      </w:r>
      <w:r>
        <w:rPr>
          <w:color w:val="000000"/>
          <w:sz w:val="24"/>
          <w:szCs w:val="24"/>
        </w:rPr>
        <w:t>”</w:t>
      </w:r>
      <w:r>
        <w:rPr>
          <w:color w:val="000000"/>
          <w:sz w:val="24"/>
          <w:szCs w:val="24"/>
        </w:rPr>
        <w:t>这一传导机制的认识，本基金适时灵活调整了策略权重配置，减少了在成长风格上的风格暴露；整个一季度本基金获得了</w:t>
      </w:r>
      <w:r>
        <w:rPr>
          <w:color w:val="000000"/>
          <w:sz w:val="24"/>
          <w:szCs w:val="24"/>
        </w:rPr>
        <w:t>2.42%</w:t>
      </w:r>
      <w:r>
        <w:rPr>
          <w:color w:val="000000"/>
          <w:sz w:val="24"/>
          <w:szCs w:val="24"/>
        </w:rPr>
        <w:t>的超额收益。</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展望二季度，货币政策维持中性，继续承担促进</w:t>
      </w:r>
      <w:r w:rsidRPr="00414345">
        <w:rPr>
          <w:color w:val="000000"/>
          <w:sz w:val="24"/>
          <w:szCs w:val="24"/>
        </w:rPr>
        <w:t>“</w:t>
      </w:r>
      <w:r w:rsidRPr="00414345">
        <w:rPr>
          <w:color w:val="000000"/>
          <w:sz w:val="24"/>
          <w:szCs w:val="24"/>
        </w:rPr>
        <w:t>转型</w:t>
      </w:r>
      <w:r w:rsidRPr="00414345">
        <w:rPr>
          <w:color w:val="000000"/>
          <w:sz w:val="24"/>
          <w:szCs w:val="24"/>
        </w:rPr>
        <w:t>”</w:t>
      </w:r>
      <w:r w:rsidRPr="00414345">
        <w:rPr>
          <w:color w:val="000000"/>
          <w:sz w:val="24"/>
          <w:szCs w:val="24"/>
        </w:rPr>
        <w:t>的重任；而财政政策则通过铁路建设、新型城镇化等发力；经济由弱趋稳的过程中，大盘蓝筹股的整体配置价值得以提升，同时结构性财政政策提供了某些行业投资机会；此外，若流动性未见改善，重启</w:t>
      </w:r>
      <w:r w:rsidRPr="00414345">
        <w:rPr>
          <w:color w:val="000000"/>
          <w:sz w:val="24"/>
          <w:szCs w:val="24"/>
        </w:rPr>
        <w:t>IPO</w:t>
      </w:r>
      <w:r w:rsidRPr="00414345">
        <w:rPr>
          <w:color w:val="000000"/>
          <w:sz w:val="24"/>
          <w:szCs w:val="24"/>
        </w:rPr>
        <w:t>会增加小盘股供给、系统性压低创业板指数的估值，但盈利确定性高、被成长风格下行错杀估值的个股有投资机会。总体而言，自上而下选择主题行业、自下而上精选成长个股或将成为二季度的投资主题。</w:t>
      </w:r>
    </w:p>
    <w:p w:rsidR="00627E2D" w:rsidRPr="00414345" w:rsidRDefault="00627E2D" w:rsidP="00DA14B0">
      <w:pPr>
        <w:spacing w:before="29" w:line="288" w:lineRule="auto"/>
        <w:ind w:firstLineChars="200" w:firstLine="480"/>
        <w:rPr>
          <w:color w:val="000000"/>
          <w:sz w:val="24"/>
          <w:szCs w:val="24"/>
        </w:rPr>
      </w:pPr>
    </w:p>
    <w:p w:rsidR="004061AC" w:rsidRPr="00414345" w:rsidRDefault="00D44EE8" w:rsidP="00DA14B0">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DA14B0">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0.983</w:t>
      </w:r>
      <w:r w:rsidRPr="00414345">
        <w:rPr>
          <w:color w:val="000000"/>
          <w:sz w:val="24"/>
          <w:szCs w:val="24"/>
        </w:rPr>
        <w:t>元，本报告期份额净值增长率为</w:t>
      </w:r>
      <w:r w:rsidRPr="00414345">
        <w:rPr>
          <w:color w:val="000000"/>
          <w:sz w:val="24"/>
          <w:szCs w:val="24"/>
        </w:rPr>
        <w:t>-3.15%</w:t>
      </w:r>
      <w:r w:rsidRPr="00414345">
        <w:rPr>
          <w:color w:val="000000"/>
          <w:sz w:val="24"/>
          <w:szCs w:val="24"/>
        </w:rPr>
        <w:t>，同期业绩比较基准增长率为</w:t>
      </w:r>
      <w:r w:rsidRPr="00414345">
        <w:rPr>
          <w:color w:val="000000"/>
          <w:sz w:val="24"/>
          <w:szCs w:val="24"/>
        </w:rPr>
        <w:t>-5.57%</w:t>
      </w:r>
      <w:r w:rsidRPr="00414345">
        <w:rPr>
          <w:color w:val="000000"/>
          <w:sz w:val="24"/>
          <w:szCs w:val="24"/>
        </w:rPr>
        <w:t>。</w:t>
      </w:r>
    </w:p>
    <w:p w:rsidR="009C5186" w:rsidRPr="00414345" w:rsidRDefault="009C5186" w:rsidP="00DA14B0">
      <w:pPr>
        <w:spacing w:before="29" w:line="288" w:lineRule="auto"/>
        <w:ind w:firstLineChars="200" w:firstLine="480"/>
        <w:rPr>
          <w:color w:val="000000"/>
          <w:sz w:val="24"/>
          <w:szCs w:val="24"/>
        </w:rPr>
      </w:pPr>
    </w:p>
    <w:p w:rsidR="004061AC" w:rsidRPr="00414345" w:rsidRDefault="004061AC" w:rsidP="00CD01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DA14B0">
            <w:pPr>
              <w:spacing w:before="29" w:line="288" w:lineRule="auto"/>
              <w:ind w:left="17"/>
              <w:jc w:val="right"/>
              <w:rPr>
                <w:color w:val="000000"/>
                <w:sz w:val="24"/>
                <w:szCs w:val="24"/>
              </w:rPr>
            </w:pPr>
            <w:r w:rsidRPr="00414345">
              <w:rPr>
                <w:color w:val="000000"/>
                <w:sz w:val="24"/>
                <w:szCs w:val="24"/>
              </w:rPr>
              <w:t>26,706,943.64</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80.36</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26,706,943.64</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80.36</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DA14B0">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DA14B0">
            <w:pPr>
              <w:spacing w:before="29" w:line="288" w:lineRule="auto"/>
              <w:ind w:left="17"/>
              <w:jc w:val="center"/>
              <w:rPr>
                <w:color w:val="000000"/>
                <w:sz w:val="24"/>
                <w:szCs w:val="24"/>
              </w:rPr>
            </w:pPr>
          </w:p>
        </w:tc>
        <w:tc>
          <w:tcPr>
            <w:tcW w:w="3346" w:type="dxa"/>
            <w:vAlign w:val="center"/>
          </w:tcPr>
          <w:p w:rsidR="00853140" w:rsidRPr="00414345" w:rsidRDefault="00853140" w:rsidP="007C395A">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DA14B0">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5142B9">
            <w:pPr>
              <w:spacing w:before="29" w:line="360"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DA14B0">
            <w:pPr>
              <w:spacing w:before="29" w:line="288" w:lineRule="auto"/>
              <w:ind w:left="17"/>
              <w:jc w:val="center"/>
              <w:rPr>
                <w:color w:val="000000"/>
                <w:sz w:val="24"/>
                <w:szCs w:val="24"/>
              </w:rPr>
            </w:pP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DA14B0">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DA14B0">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6,502,813.77</w:t>
            </w:r>
          </w:p>
        </w:tc>
        <w:tc>
          <w:tcPr>
            <w:tcW w:w="1837" w:type="dxa"/>
            <w:vAlign w:val="center"/>
          </w:tcPr>
          <w:p w:rsidR="007D100C" w:rsidRPr="00414345" w:rsidRDefault="007D100C" w:rsidP="00DA14B0">
            <w:pPr>
              <w:spacing w:before="29" w:line="288" w:lineRule="auto"/>
              <w:ind w:left="17"/>
              <w:jc w:val="right"/>
              <w:rPr>
                <w:color w:val="000000"/>
                <w:sz w:val="24"/>
                <w:szCs w:val="24"/>
              </w:rPr>
            </w:pPr>
            <w:r w:rsidRPr="00414345">
              <w:rPr>
                <w:color w:val="000000"/>
                <w:sz w:val="24"/>
                <w:szCs w:val="24"/>
              </w:rPr>
              <w:t>19.57</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DA14B0">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23,611.58</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0.07</w:t>
            </w:r>
          </w:p>
        </w:tc>
      </w:tr>
      <w:tr w:rsidR="007D100C" w:rsidRPr="00414345" w:rsidTr="007D100C">
        <w:trPr>
          <w:jc w:val="center"/>
        </w:trPr>
        <w:tc>
          <w:tcPr>
            <w:tcW w:w="718" w:type="dxa"/>
            <w:vAlign w:val="center"/>
          </w:tcPr>
          <w:p w:rsidR="007D100C" w:rsidRPr="00414345" w:rsidRDefault="007D100C" w:rsidP="00C012F9">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DA14B0">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33,233,368.99</w:t>
            </w:r>
          </w:p>
        </w:tc>
        <w:tc>
          <w:tcPr>
            <w:tcW w:w="1837" w:type="dxa"/>
            <w:vAlign w:val="center"/>
          </w:tcPr>
          <w:p w:rsidR="007D100C" w:rsidRPr="00414345" w:rsidRDefault="007D100C" w:rsidP="00DA14B0">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DA14B0">
      <w:pPr>
        <w:autoSpaceDE w:val="0"/>
        <w:autoSpaceDN w:val="0"/>
        <w:adjustRightInd w:val="0"/>
        <w:spacing w:before="29" w:line="288" w:lineRule="auto"/>
        <w:jc w:val="left"/>
        <w:rPr>
          <w:color w:val="00000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157,112.56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utoSpaceDE w:val="0"/>
              <w:autoSpaceDN w:val="0"/>
              <w:adjustRightInd w:val="0"/>
              <w:spacing w:before="29" w:line="288" w:lineRule="auto"/>
              <w:ind w:left="15"/>
              <w:jc w:val="right"/>
              <w:rPr>
                <w:sz w:val="24"/>
                <w:szCs w:val="24"/>
              </w:rPr>
            </w:pPr>
            <w:r w:rsidRPr="00414345">
              <w:rPr>
                <w:sz w:val="24"/>
                <w:szCs w:val="24"/>
              </w:rPr>
              <w:t>0.48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D0126">
            <w:pPr>
              <w:spacing w:before="29" w:line="288" w:lineRule="auto"/>
              <w:jc w:val="right"/>
              <w:rPr>
                <w:sz w:val="24"/>
                <w:szCs w:val="24"/>
              </w:rPr>
            </w:pPr>
            <w:r w:rsidRPr="00414345">
              <w:rPr>
                <w:sz w:val="24"/>
                <w:szCs w:val="24"/>
              </w:rPr>
              <w:t>1,035,986.79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D0126">
            <w:pPr>
              <w:spacing w:before="29" w:line="288" w:lineRule="auto"/>
              <w:jc w:val="right"/>
              <w:rPr>
                <w:sz w:val="24"/>
                <w:szCs w:val="24"/>
              </w:rPr>
            </w:pPr>
            <w:r w:rsidRPr="00414345">
              <w:rPr>
                <w:sz w:val="24"/>
                <w:szCs w:val="24"/>
              </w:rPr>
              <w:t>3.14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14,134,103.62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42.86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919,744.51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2.79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1,349,946.22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1,800,549.85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647,787.02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72,614.43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D0126">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1,207,765.47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1,548,672.15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4.70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3,080,412.91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9.34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373,965.54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156,245.00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162,467.57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59,570.00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0.18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A14B0">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26,706,943.64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DA14B0">
            <w:pPr>
              <w:spacing w:before="29" w:line="288" w:lineRule="auto"/>
              <w:jc w:val="right"/>
              <w:rPr>
                <w:sz w:val="24"/>
                <w:szCs w:val="24"/>
              </w:rPr>
            </w:pPr>
            <w:r w:rsidRPr="00414345">
              <w:rPr>
                <w:sz w:val="24"/>
                <w:szCs w:val="24"/>
              </w:rPr>
              <w:t>80.99</w:t>
            </w:r>
          </w:p>
        </w:tc>
      </w:tr>
    </w:tbl>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DA14B0">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44F3A">
        <w:trPr>
          <w:jc w:val="center"/>
        </w:trPr>
        <w:tc>
          <w:tcPr>
            <w:tcW w:w="855" w:type="dxa"/>
            <w:vAlign w:val="center"/>
          </w:tcPr>
          <w:p w:rsidR="00A44F3A" w:rsidRDefault="00CD0126">
            <w:pPr>
              <w:jc w:val="center"/>
            </w:pPr>
            <w:r>
              <w:rPr>
                <w:color w:val="000000"/>
                <w:sz w:val="24"/>
                <w:szCs w:val="24"/>
              </w:rPr>
              <w:t>1</w:t>
            </w:r>
          </w:p>
        </w:tc>
        <w:tc>
          <w:tcPr>
            <w:tcW w:w="1334" w:type="dxa"/>
            <w:vAlign w:val="center"/>
          </w:tcPr>
          <w:p w:rsidR="00A44F3A" w:rsidRDefault="00CD0126">
            <w:pPr>
              <w:jc w:val="center"/>
            </w:pPr>
            <w:r>
              <w:rPr>
                <w:color w:val="000000"/>
                <w:sz w:val="24"/>
                <w:szCs w:val="24"/>
              </w:rPr>
              <w:t>601318</w:t>
            </w:r>
          </w:p>
        </w:tc>
        <w:tc>
          <w:tcPr>
            <w:tcW w:w="1777" w:type="dxa"/>
            <w:vAlign w:val="center"/>
          </w:tcPr>
          <w:p w:rsidR="00A44F3A" w:rsidRDefault="00CD0126">
            <w:pPr>
              <w:jc w:val="center"/>
            </w:pPr>
            <w:r>
              <w:rPr>
                <w:color w:val="000000"/>
                <w:sz w:val="24"/>
                <w:szCs w:val="24"/>
              </w:rPr>
              <w:t>中国平安</w:t>
            </w:r>
          </w:p>
        </w:tc>
        <w:tc>
          <w:tcPr>
            <w:tcW w:w="1334" w:type="dxa"/>
            <w:vAlign w:val="center"/>
          </w:tcPr>
          <w:p w:rsidR="00A44F3A" w:rsidRDefault="00CD0126">
            <w:pPr>
              <w:jc w:val="right"/>
            </w:pPr>
            <w:r>
              <w:rPr>
                <w:color w:val="000000"/>
                <w:sz w:val="24"/>
                <w:szCs w:val="24"/>
              </w:rPr>
              <w:t>24,212</w:t>
            </w:r>
          </w:p>
        </w:tc>
        <w:tc>
          <w:tcPr>
            <w:tcW w:w="1924" w:type="dxa"/>
            <w:vAlign w:val="center"/>
          </w:tcPr>
          <w:p w:rsidR="00A44F3A" w:rsidRDefault="00CD0126">
            <w:pPr>
              <w:jc w:val="right"/>
            </w:pPr>
            <w:r>
              <w:rPr>
                <w:color w:val="000000"/>
                <w:sz w:val="24"/>
                <w:szCs w:val="24"/>
              </w:rPr>
              <w:t>909,402.72</w:t>
            </w:r>
          </w:p>
        </w:tc>
        <w:tc>
          <w:tcPr>
            <w:tcW w:w="1644" w:type="dxa"/>
            <w:vAlign w:val="center"/>
          </w:tcPr>
          <w:p w:rsidR="00A44F3A" w:rsidRDefault="00CD0126">
            <w:pPr>
              <w:jc w:val="right"/>
            </w:pPr>
            <w:r>
              <w:rPr>
                <w:color w:val="000000"/>
                <w:sz w:val="24"/>
                <w:szCs w:val="24"/>
              </w:rPr>
              <w:t>2.76</w:t>
            </w:r>
          </w:p>
        </w:tc>
      </w:tr>
      <w:tr w:rsidR="00A44F3A">
        <w:trPr>
          <w:jc w:val="center"/>
        </w:trPr>
        <w:tc>
          <w:tcPr>
            <w:tcW w:w="855" w:type="dxa"/>
            <w:vAlign w:val="center"/>
          </w:tcPr>
          <w:p w:rsidR="00A44F3A" w:rsidRDefault="00CD0126">
            <w:pPr>
              <w:jc w:val="center"/>
            </w:pPr>
            <w:r>
              <w:rPr>
                <w:color w:val="000000"/>
                <w:sz w:val="24"/>
                <w:szCs w:val="24"/>
              </w:rPr>
              <w:t>2</w:t>
            </w:r>
          </w:p>
        </w:tc>
        <w:tc>
          <w:tcPr>
            <w:tcW w:w="1334" w:type="dxa"/>
            <w:vAlign w:val="center"/>
          </w:tcPr>
          <w:p w:rsidR="00A44F3A" w:rsidRDefault="00CD0126">
            <w:pPr>
              <w:jc w:val="center"/>
            </w:pPr>
            <w:r>
              <w:rPr>
                <w:color w:val="000000"/>
                <w:sz w:val="24"/>
                <w:szCs w:val="24"/>
              </w:rPr>
              <w:t>600340</w:t>
            </w:r>
          </w:p>
        </w:tc>
        <w:tc>
          <w:tcPr>
            <w:tcW w:w="1777" w:type="dxa"/>
            <w:vAlign w:val="center"/>
          </w:tcPr>
          <w:p w:rsidR="00A44F3A" w:rsidRDefault="00CD0126">
            <w:pPr>
              <w:jc w:val="center"/>
            </w:pPr>
            <w:r>
              <w:rPr>
                <w:color w:val="000000"/>
                <w:sz w:val="24"/>
                <w:szCs w:val="24"/>
              </w:rPr>
              <w:t>华夏幸福</w:t>
            </w:r>
          </w:p>
        </w:tc>
        <w:tc>
          <w:tcPr>
            <w:tcW w:w="1334" w:type="dxa"/>
            <w:vAlign w:val="center"/>
          </w:tcPr>
          <w:p w:rsidR="00A44F3A" w:rsidRDefault="00CD0126">
            <w:pPr>
              <w:jc w:val="right"/>
            </w:pPr>
            <w:r>
              <w:rPr>
                <w:color w:val="000000"/>
                <w:sz w:val="24"/>
                <w:szCs w:val="24"/>
              </w:rPr>
              <w:t>23,300</w:t>
            </w:r>
          </w:p>
        </w:tc>
        <w:tc>
          <w:tcPr>
            <w:tcW w:w="1924" w:type="dxa"/>
            <w:vAlign w:val="center"/>
          </w:tcPr>
          <w:p w:rsidR="00A44F3A" w:rsidRDefault="00CD0126">
            <w:pPr>
              <w:jc w:val="right"/>
            </w:pPr>
            <w:r>
              <w:rPr>
                <w:color w:val="000000"/>
                <w:sz w:val="24"/>
                <w:szCs w:val="24"/>
              </w:rPr>
              <w:t>648,672.00</w:t>
            </w:r>
          </w:p>
        </w:tc>
        <w:tc>
          <w:tcPr>
            <w:tcW w:w="1644" w:type="dxa"/>
            <w:vAlign w:val="center"/>
          </w:tcPr>
          <w:p w:rsidR="00A44F3A" w:rsidRDefault="00CD0126">
            <w:pPr>
              <w:jc w:val="right"/>
            </w:pPr>
            <w:r>
              <w:rPr>
                <w:color w:val="000000"/>
                <w:sz w:val="24"/>
                <w:szCs w:val="24"/>
              </w:rPr>
              <w:t>1.97</w:t>
            </w:r>
          </w:p>
        </w:tc>
      </w:tr>
      <w:tr w:rsidR="00A44F3A">
        <w:trPr>
          <w:jc w:val="center"/>
        </w:trPr>
        <w:tc>
          <w:tcPr>
            <w:tcW w:w="855" w:type="dxa"/>
            <w:vAlign w:val="center"/>
          </w:tcPr>
          <w:p w:rsidR="00A44F3A" w:rsidRDefault="00CD0126">
            <w:pPr>
              <w:jc w:val="center"/>
            </w:pPr>
            <w:r>
              <w:rPr>
                <w:color w:val="000000"/>
                <w:sz w:val="24"/>
                <w:szCs w:val="24"/>
              </w:rPr>
              <w:t>3</w:t>
            </w:r>
          </w:p>
        </w:tc>
        <w:tc>
          <w:tcPr>
            <w:tcW w:w="1334" w:type="dxa"/>
            <w:vAlign w:val="center"/>
          </w:tcPr>
          <w:p w:rsidR="00A44F3A" w:rsidRDefault="00CD0126">
            <w:pPr>
              <w:jc w:val="center"/>
            </w:pPr>
            <w:r>
              <w:rPr>
                <w:color w:val="000000"/>
                <w:sz w:val="24"/>
                <w:szCs w:val="24"/>
              </w:rPr>
              <w:t>002285</w:t>
            </w:r>
          </w:p>
        </w:tc>
        <w:tc>
          <w:tcPr>
            <w:tcW w:w="1777" w:type="dxa"/>
            <w:vAlign w:val="center"/>
          </w:tcPr>
          <w:p w:rsidR="00A44F3A" w:rsidRDefault="00CD0126">
            <w:pPr>
              <w:jc w:val="center"/>
            </w:pPr>
            <w:r>
              <w:rPr>
                <w:color w:val="000000"/>
                <w:sz w:val="24"/>
                <w:szCs w:val="24"/>
              </w:rPr>
              <w:t>世联行</w:t>
            </w:r>
          </w:p>
        </w:tc>
        <w:tc>
          <w:tcPr>
            <w:tcW w:w="1334" w:type="dxa"/>
            <w:vAlign w:val="center"/>
          </w:tcPr>
          <w:p w:rsidR="00A44F3A" w:rsidRDefault="00CD0126">
            <w:pPr>
              <w:jc w:val="right"/>
            </w:pPr>
            <w:r>
              <w:rPr>
                <w:color w:val="000000"/>
                <w:sz w:val="24"/>
                <w:szCs w:val="24"/>
              </w:rPr>
              <w:t>28,812</w:t>
            </w:r>
          </w:p>
        </w:tc>
        <w:tc>
          <w:tcPr>
            <w:tcW w:w="1924" w:type="dxa"/>
            <w:vAlign w:val="center"/>
          </w:tcPr>
          <w:p w:rsidR="00A44F3A" w:rsidRDefault="00CD0126">
            <w:pPr>
              <w:jc w:val="right"/>
            </w:pPr>
            <w:r>
              <w:rPr>
                <w:color w:val="000000"/>
                <w:sz w:val="24"/>
                <w:szCs w:val="24"/>
              </w:rPr>
              <w:t>508,243.68</w:t>
            </w:r>
          </w:p>
        </w:tc>
        <w:tc>
          <w:tcPr>
            <w:tcW w:w="1644" w:type="dxa"/>
            <w:vAlign w:val="center"/>
          </w:tcPr>
          <w:p w:rsidR="00A44F3A" w:rsidRDefault="00CD0126">
            <w:pPr>
              <w:jc w:val="right"/>
            </w:pPr>
            <w:r>
              <w:rPr>
                <w:color w:val="000000"/>
                <w:sz w:val="24"/>
                <w:szCs w:val="24"/>
              </w:rPr>
              <w:t>1.54</w:t>
            </w:r>
          </w:p>
        </w:tc>
      </w:tr>
      <w:tr w:rsidR="00A44F3A">
        <w:trPr>
          <w:jc w:val="center"/>
        </w:trPr>
        <w:tc>
          <w:tcPr>
            <w:tcW w:w="855" w:type="dxa"/>
            <w:vAlign w:val="center"/>
          </w:tcPr>
          <w:p w:rsidR="00A44F3A" w:rsidRDefault="00CD0126">
            <w:pPr>
              <w:jc w:val="center"/>
            </w:pPr>
            <w:r>
              <w:rPr>
                <w:color w:val="000000"/>
                <w:sz w:val="24"/>
                <w:szCs w:val="24"/>
              </w:rPr>
              <w:t>4</w:t>
            </w:r>
          </w:p>
        </w:tc>
        <w:tc>
          <w:tcPr>
            <w:tcW w:w="1334" w:type="dxa"/>
            <w:vAlign w:val="center"/>
          </w:tcPr>
          <w:p w:rsidR="00A44F3A" w:rsidRDefault="00CD0126">
            <w:pPr>
              <w:jc w:val="center"/>
            </w:pPr>
            <w:r>
              <w:rPr>
                <w:color w:val="000000"/>
                <w:sz w:val="24"/>
                <w:szCs w:val="24"/>
              </w:rPr>
              <w:t>300137</w:t>
            </w:r>
          </w:p>
        </w:tc>
        <w:tc>
          <w:tcPr>
            <w:tcW w:w="1777" w:type="dxa"/>
            <w:vAlign w:val="center"/>
          </w:tcPr>
          <w:p w:rsidR="00A44F3A" w:rsidRDefault="00CD0126">
            <w:pPr>
              <w:jc w:val="center"/>
            </w:pPr>
            <w:r>
              <w:rPr>
                <w:color w:val="000000"/>
                <w:sz w:val="24"/>
                <w:szCs w:val="24"/>
              </w:rPr>
              <w:t>先河环保</w:t>
            </w:r>
          </w:p>
        </w:tc>
        <w:tc>
          <w:tcPr>
            <w:tcW w:w="1334" w:type="dxa"/>
            <w:vAlign w:val="center"/>
          </w:tcPr>
          <w:p w:rsidR="00A44F3A" w:rsidRDefault="00CD0126">
            <w:pPr>
              <w:jc w:val="right"/>
            </w:pPr>
            <w:r>
              <w:rPr>
                <w:color w:val="000000"/>
                <w:sz w:val="24"/>
                <w:szCs w:val="24"/>
              </w:rPr>
              <w:t>22,965</w:t>
            </w:r>
          </w:p>
        </w:tc>
        <w:tc>
          <w:tcPr>
            <w:tcW w:w="1924" w:type="dxa"/>
            <w:vAlign w:val="center"/>
          </w:tcPr>
          <w:p w:rsidR="00A44F3A" w:rsidRDefault="00CD0126">
            <w:pPr>
              <w:jc w:val="right"/>
            </w:pPr>
            <w:r>
              <w:rPr>
                <w:color w:val="000000"/>
                <w:sz w:val="24"/>
                <w:szCs w:val="24"/>
              </w:rPr>
              <w:t>481,805.70</w:t>
            </w:r>
          </w:p>
        </w:tc>
        <w:tc>
          <w:tcPr>
            <w:tcW w:w="1644" w:type="dxa"/>
            <w:vAlign w:val="center"/>
          </w:tcPr>
          <w:p w:rsidR="00A44F3A" w:rsidRDefault="00CD0126">
            <w:pPr>
              <w:jc w:val="right"/>
            </w:pPr>
            <w:r>
              <w:rPr>
                <w:color w:val="000000"/>
                <w:sz w:val="24"/>
                <w:szCs w:val="24"/>
              </w:rPr>
              <w:t>1.46</w:t>
            </w:r>
          </w:p>
        </w:tc>
      </w:tr>
      <w:tr w:rsidR="00A44F3A">
        <w:trPr>
          <w:jc w:val="center"/>
        </w:trPr>
        <w:tc>
          <w:tcPr>
            <w:tcW w:w="855" w:type="dxa"/>
            <w:vAlign w:val="center"/>
          </w:tcPr>
          <w:p w:rsidR="00A44F3A" w:rsidRDefault="00CD0126">
            <w:pPr>
              <w:jc w:val="center"/>
            </w:pPr>
            <w:r>
              <w:rPr>
                <w:color w:val="000000"/>
                <w:sz w:val="24"/>
                <w:szCs w:val="24"/>
              </w:rPr>
              <w:t>5</w:t>
            </w:r>
          </w:p>
        </w:tc>
        <w:tc>
          <w:tcPr>
            <w:tcW w:w="1334" w:type="dxa"/>
            <w:vAlign w:val="center"/>
          </w:tcPr>
          <w:p w:rsidR="00A44F3A" w:rsidRDefault="00CD0126">
            <w:pPr>
              <w:jc w:val="center"/>
            </w:pPr>
            <w:r>
              <w:rPr>
                <w:color w:val="000000"/>
                <w:sz w:val="24"/>
                <w:szCs w:val="24"/>
              </w:rPr>
              <w:t>601186</w:t>
            </w:r>
          </w:p>
        </w:tc>
        <w:tc>
          <w:tcPr>
            <w:tcW w:w="1777" w:type="dxa"/>
            <w:vAlign w:val="center"/>
          </w:tcPr>
          <w:p w:rsidR="00A44F3A" w:rsidRDefault="00CD0126">
            <w:pPr>
              <w:jc w:val="center"/>
            </w:pPr>
            <w:r>
              <w:rPr>
                <w:color w:val="000000"/>
                <w:sz w:val="24"/>
                <w:szCs w:val="24"/>
              </w:rPr>
              <w:t>中国铁建</w:t>
            </w:r>
          </w:p>
        </w:tc>
        <w:tc>
          <w:tcPr>
            <w:tcW w:w="1334" w:type="dxa"/>
            <w:vAlign w:val="center"/>
          </w:tcPr>
          <w:p w:rsidR="00A44F3A" w:rsidRDefault="00CD0126">
            <w:pPr>
              <w:jc w:val="right"/>
            </w:pPr>
            <w:r>
              <w:rPr>
                <w:color w:val="000000"/>
                <w:sz w:val="24"/>
                <w:szCs w:val="24"/>
              </w:rPr>
              <w:t>106,300</w:t>
            </w:r>
          </w:p>
        </w:tc>
        <w:tc>
          <w:tcPr>
            <w:tcW w:w="1924" w:type="dxa"/>
            <w:vAlign w:val="center"/>
          </w:tcPr>
          <w:p w:rsidR="00A44F3A" w:rsidRDefault="00CD0126">
            <w:pPr>
              <w:jc w:val="right"/>
            </w:pPr>
            <w:r>
              <w:rPr>
                <w:color w:val="000000"/>
                <w:sz w:val="24"/>
                <w:szCs w:val="24"/>
              </w:rPr>
              <w:t>446,460.00</w:t>
            </w:r>
          </w:p>
        </w:tc>
        <w:tc>
          <w:tcPr>
            <w:tcW w:w="1644" w:type="dxa"/>
            <w:vAlign w:val="center"/>
          </w:tcPr>
          <w:p w:rsidR="00A44F3A" w:rsidRDefault="00CD0126">
            <w:pPr>
              <w:jc w:val="right"/>
            </w:pPr>
            <w:r>
              <w:rPr>
                <w:color w:val="000000"/>
                <w:sz w:val="24"/>
                <w:szCs w:val="24"/>
              </w:rPr>
              <w:t>1.35</w:t>
            </w:r>
          </w:p>
        </w:tc>
      </w:tr>
      <w:tr w:rsidR="00A44F3A">
        <w:trPr>
          <w:jc w:val="center"/>
        </w:trPr>
        <w:tc>
          <w:tcPr>
            <w:tcW w:w="855" w:type="dxa"/>
            <w:vAlign w:val="center"/>
          </w:tcPr>
          <w:p w:rsidR="00A44F3A" w:rsidRDefault="00CD0126">
            <w:pPr>
              <w:jc w:val="center"/>
            </w:pPr>
            <w:r>
              <w:rPr>
                <w:color w:val="000000"/>
                <w:sz w:val="24"/>
                <w:szCs w:val="24"/>
              </w:rPr>
              <w:t>6</w:t>
            </w:r>
          </w:p>
        </w:tc>
        <w:tc>
          <w:tcPr>
            <w:tcW w:w="1334" w:type="dxa"/>
            <w:vAlign w:val="center"/>
          </w:tcPr>
          <w:p w:rsidR="00A44F3A" w:rsidRDefault="00CD0126">
            <w:pPr>
              <w:jc w:val="center"/>
            </w:pPr>
            <w:r>
              <w:rPr>
                <w:color w:val="000000"/>
                <w:sz w:val="24"/>
                <w:szCs w:val="24"/>
              </w:rPr>
              <w:t>000002</w:t>
            </w:r>
          </w:p>
        </w:tc>
        <w:tc>
          <w:tcPr>
            <w:tcW w:w="1777" w:type="dxa"/>
            <w:vAlign w:val="center"/>
          </w:tcPr>
          <w:p w:rsidR="00A44F3A" w:rsidRDefault="00CD0126">
            <w:pPr>
              <w:jc w:val="center"/>
            </w:pPr>
            <w:r>
              <w:rPr>
                <w:color w:val="000000"/>
                <w:sz w:val="24"/>
                <w:szCs w:val="24"/>
              </w:rPr>
              <w:t>万</w:t>
            </w:r>
            <w:r>
              <w:rPr>
                <w:color w:val="000000"/>
                <w:sz w:val="24"/>
                <w:szCs w:val="24"/>
              </w:rPr>
              <w:t xml:space="preserve">  </w:t>
            </w:r>
            <w:r>
              <w:rPr>
                <w:color w:val="000000"/>
                <w:sz w:val="24"/>
                <w:szCs w:val="24"/>
              </w:rPr>
              <w:t>科Ａ</w:t>
            </w:r>
          </w:p>
        </w:tc>
        <w:tc>
          <w:tcPr>
            <w:tcW w:w="1334" w:type="dxa"/>
            <w:vAlign w:val="center"/>
          </w:tcPr>
          <w:p w:rsidR="00A44F3A" w:rsidRDefault="00CD0126">
            <w:pPr>
              <w:jc w:val="right"/>
            </w:pPr>
            <w:r>
              <w:rPr>
                <w:color w:val="000000"/>
                <w:sz w:val="24"/>
                <w:szCs w:val="24"/>
              </w:rPr>
              <w:t>54,100</w:t>
            </w:r>
          </w:p>
        </w:tc>
        <w:tc>
          <w:tcPr>
            <w:tcW w:w="1924" w:type="dxa"/>
            <w:vAlign w:val="center"/>
          </w:tcPr>
          <w:p w:rsidR="00A44F3A" w:rsidRDefault="00CD0126">
            <w:pPr>
              <w:jc w:val="right"/>
            </w:pPr>
            <w:r>
              <w:rPr>
                <w:color w:val="000000"/>
                <w:sz w:val="24"/>
                <w:szCs w:val="24"/>
              </w:rPr>
              <w:t>437,669.00</w:t>
            </w:r>
          </w:p>
        </w:tc>
        <w:tc>
          <w:tcPr>
            <w:tcW w:w="1644" w:type="dxa"/>
            <w:vAlign w:val="center"/>
          </w:tcPr>
          <w:p w:rsidR="00A44F3A" w:rsidRDefault="00CD0126">
            <w:pPr>
              <w:jc w:val="right"/>
            </w:pPr>
            <w:r>
              <w:rPr>
                <w:color w:val="000000"/>
                <w:sz w:val="24"/>
                <w:szCs w:val="24"/>
              </w:rPr>
              <w:t>1.33</w:t>
            </w:r>
          </w:p>
        </w:tc>
      </w:tr>
      <w:tr w:rsidR="00A44F3A">
        <w:trPr>
          <w:jc w:val="center"/>
        </w:trPr>
        <w:tc>
          <w:tcPr>
            <w:tcW w:w="855" w:type="dxa"/>
            <w:vAlign w:val="center"/>
          </w:tcPr>
          <w:p w:rsidR="00A44F3A" w:rsidRDefault="00CD0126">
            <w:pPr>
              <w:jc w:val="center"/>
            </w:pPr>
            <w:r>
              <w:rPr>
                <w:color w:val="000000"/>
                <w:sz w:val="24"/>
                <w:szCs w:val="24"/>
              </w:rPr>
              <w:t>7</w:t>
            </w:r>
          </w:p>
        </w:tc>
        <w:tc>
          <w:tcPr>
            <w:tcW w:w="1334" w:type="dxa"/>
            <w:vAlign w:val="center"/>
          </w:tcPr>
          <w:p w:rsidR="00A44F3A" w:rsidRDefault="00CD0126">
            <w:pPr>
              <w:jc w:val="center"/>
            </w:pPr>
            <w:r>
              <w:rPr>
                <w:color w:val="000000"/>
                <w:sz w:val="24"/>
                <w:szCs w:val="24"/>
              </w:rPr>
              <w:t>601299</w:t>
            </w:r>
          </w:p>
        </w:tc>
        <w:tc>
          <w:tcPr>
            <w:tcW w:w="1777" w:type="dxa"/>
            <w:vAlign w:val="center"/>
          </w:tcPr>
          <w:p w:rsidR="00A44F3A" w:rsidRDefault="00CD0126">
            <w:pPr>
              <w:jc w:val="center"/>
            </w:pPr>
            <w:r>
              <w:rPr>
                <w:color w:val="000000"/>
                <w:sz w:val="24"/>
                <w:szCs w:val="24"/>
              </w:rPr>
              <w:t>中国北车</w:t>
            </w:r>
          </w:p>
        </w:tc>
        <w:tc>
          <w:tcPr>
            <w:tcW w:w="1334" w:type="dxa"/>
            <w:vAlign w:val="center"/>
          </w:tcPr>
          <w:p w:rsidR="00A44F3A" w:rsidRDefault="00CD0126">
            <w:pPr>
              <w:jc w:val="right"/>
            </w:pPr>
            <w:r>
              <w:rPr>
                <w:color w:val="000000"/>
                <w:sz w:val="24"/>
                <w:szCs w:val="24"/>
              </w:rPr>
              <w:t>76,300</w:t>
            </w:r>
          </w:p>
        </w:tc>
        <w:tc>
          <w:tcPr>
            <w:tcW w:w="1924" w:type="dxa"/>
            <w:vAlign w:val="center"/>
          </w:tcPr>
          <w:p w:rsidR="00A44F3A" w:rsidRDefault="00CD0126">
            <w:pPr>
              <w:jc w:val="right"/>
            </w:pPr>
            <w:r>
              <w:rPr>
                <w:color w:val="000000"/>
                <w:sz w:val="24"/>
                <w:szCs w:val="24"/>
              </w:rPr>
              <w:t>354,032.00</w:t>
            </w:r>
          </w:p>
        </w:tc>
        <w:tc>
          <w:tcPr>
            <w:tcW w:w="1644" w:type="dxa"/>
            <w:vAlign w:val="center"/>
          </w:tcPr>
          <w:p w:rsidR="00A44F3A" w:rsidRDefault="00CD0126">
            <w:pPr>
              <w:jc w:val="right"/>
            </w:pPr>
            <w:r>
              <w:rPr>
                <w:color w:val="000000"/>
                <w:sz w:val="24"/>
                <w:szCs w:val="24"/>
              </w:rPr>
              <w:t>1.07</w:t>
            </w:r>
          </w:p>
        </w:tc>
      </w:tr>
      <w:tr w:rsidR="00A44F3A">
        <w:trPr>
          <w:jc w:val="center"/>
        </w:trPr>
        <w:tc>
          <w:tcPr>
            <w:tcW w:w="855" w:type="dxa"/>
            <w:vAlign w:val="center"/>
          </w:tcPr>
          <w:p w:rsidR="00A44F3A" w:rsidRDefault="00CD0126">
            <w:pPr>
              <w:jc w:val="center"/>
            </w:pPr>
            <w:r>
              <w:rPr>
                <w:color w:val="000000"/>
                <w:sz w:val="24"/>
                <w:szCs w:val="24"/>
              </w:rPr>
              <w:t>8</w:t>
            </w:r>
          </w:p>
        </w:tc>
        <w:tc>
          <w:tcPr>
            <w:tcW w:w="1334" w:type="dxa"/>
            <w:vAlign w:val="center"/>
          </w:tcPr>
          <w:p w:rsidR="00A44F3A" w:rsidRDefault="00CD0126">
            <w:pPr>
              <w:jc w:val="center"/>
            </w:pPr>
            <w:r>
              <w:rPr>
                <w:color w:val="000000"/>
                <w:sz w:val="24"/>
                <w:szCs w:val="24"/>
              </w:rPr>
              <w:t>002690</w:t>
            </w:r>
          </w:p>
        </w:tc>
        <w:tc>
          <w:tcPr>
            <w:tcW w:w="1777" w:type="dxa"/>
            <w:vAlign w:val="center"/>
          </w:tcPr>
          <w:p w:rsidR="00A44F3A" w:rsidRDefault="00CD0126">
            <w:pPr>
              <w:jc w:val="center"/>
            </w:pPr>
            <w:r>
              <w:rPr>
                <w:color w:val="000000"/>
                <w:sz w:val="24"/>
                <w:szCs w:val="24"/>
              </w:rPr>
              <w:t>美亚光电</w:t>
            </w:r>
          </w:p>
        </w:tc>
        <w:tc>
          <w:tcPr>
            <w:tcW w:w="1334" w:type="dxa"/>
            <w:vAlign w:val="center"/>
          </w:tcPr>
          <w:p w:rsidR="00A44F3A" w:rsidRDefault="00CD0126">
            <w:pPr>
              <w:jc w:val="right"/>
            </w:pPr>
            <w:r>
              <w:rPr>
                <w:color w:val="000000"/>
                <w:sz w:val="24"/>
                <w:szCs w:val="24"/>
              </w:rPr>
              <w:t>8,750</w:t>
            </w:r>
          </w:p>
        </w:tc>
        <w:tc>
          <w:tcPr>
            <w:tcW w:w="1924" w:type="dxa"/>
            <w:vAlign w:val="center"/>
          </w:tcPr>
          <w:p w:rsidR="00A44F3A" w:rsidRDefault="00CD0126">
            <w:pPr>
              <w:jc w:val="right"/>
            </w:pPr>
            <w:r>
              <w:rPr>
                <w:color w:val="000000"/>
                <w:sz w:val="24"/>
                <w:szCs w:val="24"/>
              </w:rPr>
              <w:t>353,500.00</w:t>
            </w:r>
          </w:p>
        </w:tc>
        <w:tc>
          <w:tcPr>
            <w:tcW w:w="1644" w:type="dxa"/>
            <w:vAlign w:val="center"/>
          </w:tcPr>
          <w:p w:rsidR="00A44F3A" w:rsidRDefault="00CD0126">
            <w:pPr>
              <w:jc w:val="right"/>
            </w:pPr>
            <w:r>
              <w:rPr>
                <w:color w:val="000000"/>
                <w:sz w:val="24"/>
                <w:szCs w:val="24"/>
              </w:rPr>
              <w:t>1.07</w:t>
            </w:r>
          </w:p>
        </w:tc>
      </w:tr>
      <w:tr w:rsidR="00A44F3A">
        <w:trPr>
          <w:jc w:val="center"/>
        </w:trPr>
        <w:tc>
          <w:tcPr>
            <w:tcW w:w="855" w:type="dxa"/>
            <w:vAlign w:val="center"/>
          </w:tcPr>
          <w:p w:rsidR="00A44F3A" w:rsidRDefault="00CD0126">
            <w:pPr>
              <w:jc w:val="center"/>
            </w:pPr>
            <w:r>
              <w:rPr>
                <w:color w:val="000000"/>
                <w:sz w:val="24"/>
                <w:szCs w:val="24"/>
              </w:rPr>
              <w:t>9</w:t>
            </w:r>
          </w:p>
        </w:tc>
        <w:tc>
          <w:tcPr>
            <w:tcW w:w="1334" w:type="dxa"/>
            <w:vAlign w:val="center"/>
          </w:tcPr>
          <w:p w:rsidR="00A44F3A" w:rsidRDefault="00CD0126">
            <w:pPr>
              <w:jc w:val="center"/>
            </w:pPr>
            <w:r>
              <w:rPr>
                <w:color w:val="000000"/>
                <w:sz w:val="24"/>
                <w:szCs w:val="24"/>
              </w:rPr>
              <w:t>600104</w:t>
            </w:r>
          </w:p>
        </w:tc>
        <w:tc>
          <w:tcPr>
            <w:tcW w:w="1777" w:type="dxa"/>
            <w:vAlign w:val="center"/>
          </w:tcPr>
          <w:p w:rsidR="00A44F3A" w:rsidRDefault="00CD0126">
            <w:pPr>
              <w:jc w:val="center"/>
            </w:pPr>
            <w:r>
              <w:rPr>
                <w:color w:val="000000"/>
                <w:sz w:val="24"/>
                <w:szCs w:val="24"/>
              </w:rPr>
              <w:t>上汽集团</w:t>
            </w:r>
          </w:p>
        </w:tc>
        <w:tc>
          <w:tcPr>
            <w:tcW w:w="1334" w:type="dxa"/>
            <w:vAlign w:val="center"/>
          </w:tcPr>
          <w:p w:rsidR="00A44F3A" w:rsidRDefault="00CD0126">
            <w:pPr>
              <w:jc w:val="right"/>
            </w:pPr>
            <w:r>
              <w:rPr>
                <w:color w:val="000000"/>
                <w:sz w:val="24"/>
                <w:szCs w:val="24"/>
              </w:rPr>
              <w:t>23,700</w:t>
            </w:r>
          </w:p>
        </w:tc>
        <w:tc>
          <w:tcPr>
            <w:tcW w:w="1924" w:type="dxa"/>
            <w:vAlign w:val="center"/>
          </w:tcPr>
          <w:p w:rsidR="00A44F3A" w:rsidRDefault="00CD0126">
            <w:pPr>
              <w:jc w:val="right"/>
            </w:pPr>
            <w:r>
              <w:rPr>
                <w:color w:val="000000"/>
                <w:sz w:val="24"/>
                <w:szCs w:val="24"/>
              </w:rPr>
              <w:t>328,245.00</w:t>
            </w:r>
          </w:p>
        </w:tc>
        <w:tc>
          <w:tcPr>
            <w:tcW w:w="1644" w:type="dxa"/>
            <w:vAlign w:val="center"/>
          </w:tcPr>
          <w:p w:rsidR="00A44F3A" w:rsidRDefault="00CD0126">
            <w:pPr>
              <w:jc w:val="right"/>
            </w:pPr>
            <w:r>
              <w:rPr>
                <w:color w:val="000000"/>
                <w:sz w:val="24"/>
                <w:szCs w:val="24"/>
              </w:rPr>
              <w:t>1.00</w:t>
            </w:r>
          </w:p>
        </w:tc>
      </w:tr>
      <w:tr w:rsidR="00A44F3A">
        <w:trPr>
          <w:jc w:val="center"/>
        </w:trPr>
        <w:tc>
          <w:tcPr>
            <w:tcW w:w="855" w:type="dxa"/>
            <w:vAlign w:val="center"/>
          </w:tcPr>
          <w:p w:rsidR="00A44F3A" w:rsidRDefault="00CD0126">
            <w:pPr>
              <w:jc w:val="center"/>
            </w:pPr>
            <w:r>
              <w:rPr>
                <w:color w:val="000000"/>
                <w:sz w:val="24"/>
                <w:szCs w:val="24"/>
              </w:rPr>
              <w:t>10</w:t>
            </w:r>
          </w:p>
        </w:tc>
        <w:tc>
          <w:tcPr>
            <w:tcW w:w="1334" w:type="dxa"/>
            <w:vAlign w:val="center"/>
          </w:tcPr>
          <w:p w:rsidR="00A44F3A" w:rsidRDefault="00CD0126">
            <w:pPr>
              <w:jc w:val="center"/>
            </w:pPr>
            <w:r>
              <w:rPr>
                <w:color w:val="000000"/>
                <w:sz w:val="24"/>
                <w:szCs w:val="24"/>
              </w:rPr>
              <w:t>002063</w:t>
            </w:r>
          </w:p>
        </w:tc>
        <w:tc>
          <w:tcPr>
            <w:tcW w:w="1777" w:type="dxa"/>
            <w:vAlign w:val="center"/>
          </w:tcPr>
          <w:p w:rsidR="00A44F3A" w:rsidRDefault="00CD0126">
            <w:pPr>
              <w:jc w:val="center"/>
            </w:pPr>
            <w:r>
              <w:rPr>
                <w:color w:val="000000"/>
                <w:sz w:val="24"/>
                <w:szCs w:val="24"/>
              </w:rPr>
              <w:t>远光软件</w:t>
            </w:r>
          </w:p>
        </w:tc>
        <w:tc>
          <w:tcPr>
            <w:tcW w:w="1334" w:type="dxa"/>
            <w:vAlign w:val="center"/>
          </w:tcPr>
          <w:p w:rsidR="00A44F3A" w:rsidRDefault="00CD0126">
            <w:pPr>
              <w:jc w:val="right"/>
            </w:pPr>
            <w:r>
              <w:rPr>
                <w:color w:val="000000"/>
                <w:sz w:val="24"/>
                <w:szCs w:val="24"/>
              </w:rPr>
              <w:t>15,000</w:t>
            </w:r>
          </w:p>
        </w:tc>
        <w:tc>
          <w:tcPr>
            <w:tcW w:w="1924" w:type="dxa"/>
            <w:vAlign w:val="center"/>
          </w:tcPr>
          <w:p w:rsidR="00A44F3A" w:rsidRDefault="00CD0126">
            <w:pPr>
              <w:jc w:val="right"/>
            </w:pPr>
            <w:r>
              <w:rPr>
                <w:color w:val="000000"/>
                <w:sz w:val="24"/>
                <w:szCs w:val="24"/>
              </w:rPr>
              <w:t>319,500.00</w:t>
            </w:r>
          </w:p>
        </w:tc>
        <w:tc>
          <w:tcPr>
            <w:tcW w:w="1644" w:type="dxa"/>
            <w:vAlign w:val="center"/>
          </w:tcPr>
          <w:p w:rsidR="00A44F3A" w:rsidRDefault="00CD0126">
            <w:pPr>
              <w:jc w:val="right"/>
            </w:pPr>
            <w:r>
              <w:rPr>
                <w:color w:val="000000"/>
                <w:sz w:val="24"/>
                <w:szCs w:val="24"/>
              </w:rPr>
              <w:t>0.97</w:t>
            </w:r>
          </w:p>
        </w:tc>
      </w:tr>
    </w:tbl>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DA14B0">
      <w:pPr>
        <w:autoSpaceDE w:val="0"/>
        <w:autoSpaceDN w:val="0"/>
        <w:adjustRightInd w:val="0"/>
        <w:spacing w:before="29" w:line="288" w:lineRule="auto"/>
        <w:jc w:val="left"/>
        <w:rPr>
          <w:b/>
          <w:bCs/>
          <w:color w:val="000000"/>
          <w:kern w:val="0"/>
          <w:sz w:val="24"/>
          <w:szCs w:val="24"/>
        </w:rPr>
      </w:pPr>
    </w:p>
    <w:p w:rsidR="004061AC" w:rsidRPr="00414345" w:rsidRDefault="004061AC"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DA14B0">
      <w:pPr>
        <w:autoSpaceDE w:val="0"/>
        <w:autoSpaceDN w:val="0"/>
        <w:adjustRightInd w:val="0"/>
        <w:spacing w:before="29" w:line="288" w:lineRule="auto"/>
        <w:jc w:val="left"/>
        <w:rPr>
          <w:color w:val="000000"/>
          <w:sz w:val="24"/>
          <w:szCs w:val="24"/>
        </w:rPr>
      </w:pPr>
    </w:p>
    <w:p w:rsidR="00A54C7D" w:rsidRPr="00414345" w:rsidRDefault="00A54C7D" w:rsidP="00DA14B0">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632B0F">
      <w:pPr>
        <w:widowControl/>
        <w:spacing w:line="360" w:lineRule="auto"/>
        <w:jc w:val="left"/>
        <w:rPr>
          <w:sz w:val="24"/>
          <w:szCs w:val="24"/>
        </w:rPr>
      </w:pPr>
      <w:r w:rsidRPr="00414345">
        <w:rPr>
          <w:sz w:val="24"/>
          <w:szCs w:val="24"/>
        </w:rPr>
        <w:t>本基金本报告期末未持有贵金属。</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4061AC" w:rsidRPr="00414345" w:rsidRDefault="00A917B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DA14B0">
      <w:pPr>
        <w:autoSpaceDE w:val="0"/>
        <w:autoSpaceDN w:val="0"/>
        <w:adjustRightInd w:val="0"/>
        <w:spacing w:before="29" w:line="288" w:lineRule="auto"/>
        <w:jc w:val="left"/>
        <w:rPr>
          <w:color w:val="000000"/>
          <w:kern w:val="0"/>
          <w:sz w:val="24"/>
          <w:szCs w:val="24"/>
        </w:rPr>
      </w:pPr>
    </w:p>
    <w:p w:rsidR="00275745"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DA14B0">
      <w:pPr>
        <w:adjustRightInd w:val="0"/>
        <w:snapToGrid w:val="0"/>
        <w:spacing w:before="29" w:line="288" w:lineRule="auto"/>
        <w:rPr>
          <w:sz w:val="24"/>
          <w:szCs w:val="24"/>
        </w:rPr>
      </w:pPr>
    </w:p>
    <w:p w:rsidR="00A669FC" w:rsidRPr="00414345" w:rsidRDefault="00312A9F"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DA14B0">
      <w:pPr>
        <w:autoSpaceDE w:val="0"/>
        <w:autoSpaceDN w:val="0"/>
        <w:adjustRightInd w:val="0"/>
        <w:spacing w:before="29" w:line="288" w:lineRule="auto"/>
        <w:jc w:val="left"/>
        <w:rPr>
          <w:color w:val="000000"/>
          <w:sz w:val="24"/>
          <w:szCs w:val="24"/>
        </w:rPr>
      </w:pPr>
    </w:p>
    <w:p w:rsidR="004061AC" w:rsidRPr="00414345" w:rsidRDefault="003259C8" w:rsidP="00DA14B0">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DA14B0">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17,137.92</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1,918.74</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4,554.92</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DA14B0">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DA14B0">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DA14B0">
            <w:pPr>
              <w:autoSpaceDE w:val="0"/>
              <w:autoSpaceDN w:val="0"/>
              <w:adjustRightInd w:val="0"/>
              <w:spacing w:before="29" w:line="288" w:lineRule="auto"/>
              <w:ind w:left="15"/>
              <w:jc w:val="right"/>
              <w:rPr>
                <w:color w:val="000000"/>
                <w:sz w:val="24"/>
                <w:szCs w:val="24"/>
              </w:rPr>
            </w:pPr>
            <w:r w:rsidRPr="00414345">
              <w:rPr>
                <w:color w:val="000000"/>
                <w:sz w:val="24"/>
                <w:szCs w:val="24"/>
              </w:rPr>
              <w:t>23,611.58</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DA14B0">
            <w:pPr>
              <w:spacing w:before="29" w:line="288" w:lineRule="auto"/>
              <w:ind w:left="17"/>
              <w:jc w:val="center"/>
              <w:rPr>
                <w:color w:val="000000"/>
                <w:sz w:val="24"/>
                <w:szCs w:val="24"/>
              </w:rPr>
            </w:pPr>
            <w:r w:rsidRPr="00414345">
              <w:rPr>
                <w:color w:val="000000"/>
                <w:sz w:val="24"/>
                <w:szCs w:val="24"/>
              </w:rPr>
              <w:t>流通受限情况说明</w:t>
            </w:r>
          </w:p>
        </w:tc>
      </w:tr>
      <w:tr w:rsidR="00A44F3A">
        <w:trPr>
          <w:jc w:val="center"/>
        </w:trPr>
        <w:tc>
          <w:tcPr>
            <w:tcW w:w="1129" w:type="dxa"/>
            <w:vAlign w:val="center"/>
          </w:tcPr>
          <w:p w:rsidR="00A44F3A" w:rsidRDefault="00CD0126">
            <w:pPr>
              <w:jc w:val="center"/>
            </w:pPr>
            <w:r>
              <w:rPr>
                <w:color w:val="000000"/>
                <w:sz w:val="24"/>
                <w:szCs w:val="24"/>
              </w:rPr>
              <w:t>1</w:t>
            </w:r>
          </w:p>
        </w:tc>
        <w:tc>
          <w:tcPr>
            <w:tcW w:w="1356" w:type="dxa"/>
            <w:vAlign w:val="center"/>
          </w:tcPr>
          <w:p w:rsidR="00A44F3A" w:rsidRDefault="00CD0126">
            <w:pPr>
              <w:jc w:val="center"/>
            </w:pPr>
            <w:r>
              <w:rPr>
                <w:color w:val="000000"/>
                <w:sz w:val="24"/>
                <w:szCs w:val="24"/>
              </w:rPr>
              <w:t>002063</w:t>
            </w:r>
          </w:p>
        </w:tc>
        <w:tc>
          <w:tcPr>
            <w:tcW w:w="1355" w:type="dxa"/>
            <w:vAlign w:val="center"/>
          </w:tcPr>
          <w:p w:rsidR="00A44F3A" w:rsidRDefault="00CD0126">
            <w:pPr>
              <w:jc w:val="center"/>
            </w:pPr>
            <w:r>
              <w:rPr>
                <w:color w:val="000000"/>
                <w:sz w:val="24"/>
                <w:szCs w:val="24"/>
              </w:rPr>
              <w:t>远光软件</w:t>
            </w:r>
          </w:p>
        </w:tc>
        <w:tc>
          <w:tcPr>
            <w:tcW w:w="1880" w:type="dxa"/>
            <w:vAlign w:val="center"/>
          </w:tcPr>
          <w:p w:rsidR="00A44F3A" w:rsidRDefault="00CD0126">
            <w:pPr>
              <w:jc w:val="right"/>
            </w:pPr>
            <w:r>
              <w:rPr>
                <w:color w:val="000000"/>
                <w:sz w:val="24"/>
                <w:szCs w:val="24"/>
              </w:rPr>
              <w:t>319,500.00</w:t>
            </w:r>
          </w:p>
        </w:tc>
        <w:tc>
          <w:tcPr>
            <w:tcW w:w="1724" w:type="dxa"/>
            <w:vAlign w:val="center"/>
          </w:tcPr>
          <w:p w:rsidR="00A44F3A" w:rsidRDefault="00CD0126">
            <w:pPr>
              <w:jc w:val="right"/>
            </w:pPr>
            <w:r>
              <w:rPr>
                <w:color w:val="000000"/>
                <w:sz w:val="24"/>
                <w:szCs w:val="24"/>
              </w:rPr>
              <w:t>0.97</w:t>
            </w:r>
          </w:p>
        </w:tc>
        <w:tc>
          <w:tcPr>
            <w:tcW w:w="1424" w:type="dxa"/>
            <w:vAlign w:val="center"/>
          </w:tcPr>
          <w:p w:rsidR="00A44F3A" w:rsidRDefault="00CD0126">
            <w:pPr>
              <w:jc w:val="right"/>
            </w:pPr>
            <w:r>
              <w:rPr>
                <w:color w:val="000000"/>
                <w:sz w:val="24"/>
                <w:szCs w:val="24"/>
              </w:rPr>
              <w:t>重大事项</w:t>
            </w:r>
          </w:p>
        </w:tc>
      </w:tr>
    </w:tbl>
    <w:p w:rsidR="002918E3" w:rsidRPr="00414345" w:rsidRDefault="002918E3" w:rsidP="00DA14B0">
      <w:pPr>
        <w:autoSpaceDE w:val="0"/>
        <w:autoSpaceDN w:val="0"/>
        <w:adjustRightInd w:val="0"/>
        <w:spacing w:before="29" w:line="288" w:lineRule="auto"/>
        <w:rPr>
          <w:color w:val="000000"/>
          <w:sz w:val="24"/>
          <w:szCs w:val="24"/>
        </w:rPr>
      </w:pPr>
    </w:p>
    <w:p w:rsidR="004061AC" w:rsidRPr="00414345" w:rsidRDefault="003259C8" w:rsidP="00DA14B0">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DA14B0">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DA14B0">
      <w:pPr>
        <w:spacing w:before="29" w:line="288" w:lineRule="auto"/>
        <w:ind w:firstLineChars="200" w:firstLine="480"/>
        <w:rPr>
          <w:color w:val="000000"/>
          <w:sz w:val="24"/>
          <w:szCs w:val="24"/>
        </w:rPr>
      </w:pPr>
    </w:p>
    <w:p w:rsidR="004061AC" w:rsidRPr="00414345" w:rsidRDefault="004061AC" w:rsidP="00DA14B0">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DA14B0">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51,669,544.57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1,926,943.96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20,054,388.55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DA14B0">
            <w:pPr>
              <w:autoSpaceDE w:val="0"/>
              <w:autoSpaceDN w:val="0"/>
              <w:adjustRightInd w:val="0"/>
              <w:spacing w:before="29" w:line="288" w:lineRule="auto"/>
              <w:ind w:left="17"/>
              <w:jc w:val="right"/>
              <w:rPr>
                <w:color w:val="000000"/>
                <w:sz w:val="24"/>
                <w:szCs w:val="24"/>
              </w:rPr>
            </w:pPr>
            <w:r w:rsidRPr="00414345">
              <w:rPr>
                <w:color w:val="000000"/>
                <w:sz w:val="24"/>
                <w:szCs w:val="24"/>
              </w:rPr>
              <w:t>33,542,099.98</w:t>
            </w:r>
          </w:p>
        </w:tc>
      </w:tr>
    </w:tbl>
    <w:p w:rsidR="00A44F3A" w:rsidRDefault="00CD012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DA14B0">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DA14B0">
      <w:pPr>
        <w:autoSpaceDE w:val="0"/>
        <w:autoSpaceDN w:val="0"/>
        <w:adjustRightInd w:val="0"/>
        <w:spacing w:before="29" w:line="288" w:lineRule="auto"/>
        <w:jc w:val="left"/>
        <w:rPr>
          <w:color w:val="000000"/>
          <w:sz w:val="24"/>
          <w:szCs w:val="24"/>
        </w:rPr>
      </w:pPr>
    </w:p>
    <w:p w:rsidR="00ED2620" w:rsidRPr="00ED2620" w:rsidRDefault="000A2FC0" w:rsidP="00CD0126">
      <w:pPr>
        <w:pStyle w:val="1"/>
        <w:tabs>
          <w:tab w:val="center" w:pos="4156"/>
          <w:tab w:val="right" w:pos="8312"/>
        </w:tabs>
        <w:spacing w:beforeLines="100" w:before="312" w:afterLines="100" w:after="312" w:line="360"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ED2620">
      <w:pPr>
        <w:spacing w:line="360"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ED2620">
      <w:pPr>
        <w:autoSpaceDE w:val="0"/>
        <w:autoSpaceDN w:val="0"/>
        <w:adjustRightInd w:val="0"/>
        <w:spacing w:before="29" w:line="360"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pStyle w:val="ad"/>
              <w:adjustRightInd w:val="0"/>
              <w:snapToGrid w:val="0"/>
              <w:spacing w:line="360" w:lineRule="exact"/>
              <w:rPr>
                <w:rFonts w:eastAsia="方正仿宋简体"/>
                <w:color w:val="000000"/>
              </w:rPr>
            </w:pPr>
            <w:r w:rsidRPr="00ED2620">
              <w:rPr>
                <w:color w:val="000000"/>
              </w:rPr>
              <w:t>报告期期初管理人持有的本基金份额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20,005,300.00</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报告期期末管理人持有的本基金份额</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sz w:val="24"/>
                <w:szCs w:val="24"/>
              </w:rPr>
            </w:pPr>
            <w:r w:rsidRPr="00ED2620">
              <w:rPr>
                <w:rFonts w:eastAsiaTheme="minorEastAsia"/>
                <w:color w:val="000000"/>
                <w:sz w:val="24"/>
              </w:rPr>
              <w:t>20,005,300.00</w:t>
            </w:r>
          </w:p>
        </w:tc>
      </w:tr>
      <w:tr w:rsidR="00ED2620" w:rsidRPr="00ED2620" w:rsidTr="00ED2620">
        <w:trPr>
          <w:jc w:val="center"/>
        </w:trPr>
        <w:tc>
          <w:tcPr>
            <w:tcW w:w="504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adjustRightInd w:val="0"/>
              <w:snapToGrid w:val="0"/>
              <w:spacing w:line="360" w:lineRule="exact"/>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38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7E30DB">
            <w:pPr>
              <w:jc w:val="right"/>
              <w:rPr>
                <w:rFonts w:eastAsiaTheme="minorEastAsia"/>
                <w:color w:val="000000"/>
                <w:kern w:val="0"/>
                <w:sz w:val="24"/>
                <w:szCs w:val="24"/>
              </w:rPr>
            </w:pPr>
            <w:r w:rsidRPr="00ED2620">
              <w:rPr>
                <w:rFonts w:eastAsiaTheme="minorEastAsia"/>
                <w:color w:val="000000"/>
                <w:sz w:val="24"/>
              </w:rPr>
              <w:t>59.64</w:t>
            </w:r>
          </w:p>
        </w:tc>
      </w:tr>
    </w:tbl>
    <w:p w:rsidR="00A44F3A" w:rsidRDefault="00CD012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41063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410630">
      <w:pPr>
        <w:autoSpaceDE w:val="0"/>
        <w:autoSpaceDN w:val="0"/>
        <w:adjustRightInd w:val="0"/>
        <w:spacing w:before="29" w:line="288" w:lineRule="auto"/>
        <w:jc w:val="left"/>
        <w:rPr>
          <w:rFonts w:eastAsiaTheme="minorEastAsia"/>
          <w:color w:val="000000"/>
          <w:sz w:val="24"/>
        </w:rPr>
      </w:pPr>
    </w:p>
    <w:p w:rsidR="00320300" w:rsidRDefault="00410630" w:rsidP="00410630">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Default="00320300" w:rsidP="00DA14B0">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A51BB1" w:rsidRPr="00414345" w:rsidRDefault="00A51BB1" w:rsidP="00DA14B0">
      <w:pPr>
        <w:autoSpaceDE w:val="0"/>
        <w:autoSpaceDN w:val="0"/>
        <w:adjustRightInd w:val="0"/>
        <w:spacing w:before="29" w:line="288" w:lineRule="auto"/>
        <w:jc w:val="left"/>
        <w:rPr>
          <w:color w:val="000000"/>
          <w:sz w:val="24"/>
        </w:rPr>
      </w:pPr>
    </w:p>
    <w:p w:rsidR="00A51BB1" w:rsidRPr="00414345" w:rsidRDefault="00A51BB1" w:rsidP="00A51BB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§8 </w:t>
      </w:r>
      <w:r w:rsidRPr="00414345">
        <w:rPr>
          <w:color w:val="000000"/>
          <w:kern w:val="0"/>
          <w:sz w:val="24"/>
          <w:szCs w:val="24"/>
        </w:rPr>
        <w:t>影响投资者决策的其他重要信息</w:t>
      </w:r>
    </w:p>
    <w:p w:rsidR="00A51BB1" w:rsidRPr="00414345" w:rsidRDefault="00A51BB1" w:rsidP="00A51BB1">
      <w:pPr>
        <w:spacing w:before="29" w:line="288" w:lineRule="auto"/>
        <w:ind w:firstLineChars="200" w:firstLine="480"/>
        <w:rPr>
          <w:color w:val="000000"/>
          <w:sz w:val="24"/>
        </w:rPr>
      </w:pPr>
      <w:r w:rsidRPr="00832482">
        <w:rPr>
          <w:rFonts w:hint="eastAsia"/>
          <w:color w:val="000000"/>
          <w:sz w:val="24"/>
        </w:rPr>
        <w:t>本基金托管人</w:t>
      </w:r>
      <w:r w:rsidRPr="00832482">
        <w:rPr>
          <w:rFonts w:hint="eastAsia"/>
          <w:color w:val="000000"/>
          <w:sz w:val="24"/>
        </w:rPr>
        <w:t>2014</w:t>
      </w:r>
      <w:r w:rsidRPr="00832482">
        <w:rPr>
          <w:rFonts w:hint="eastAsia"/>
          <w:color w:val="000000"/>
          <w:sz w:val="24"/>
        </w:rPr>
        <w:t>年</w:t>
      </w:r>
      <w:r w:rsidRPr="00832482">
        <w:rPr>
          <w:rFonts w:hint="eastAsia"/>
          <w:color w:val="000000"/>
          <w:sz w:val="24"/>
        </w:rPr>
        <w:t>2</w:t>
      </w:r>
      <w:r w:rsidRPr="00832482">
        <w:rPr>
          <w:rFonts w:hint="eastAsia"/>
          <w:color w:val="000000"/>
          <w:sz w:val="24"/>
        </w:rPr>
        <w:t>月</w:t>
      </w:r>
      <w:r w:rsidRPr="00832482">
        <w:rPr>
          <w:rFonts w:hint="eastAsia"/>
          <w:color w:val="000000"/>
          <w:sz w:val="24"/>
        </w:rPr>
        <w:t>7</w:t>
      </w:r>
      <w:r w:rsidRPr="00832482">
        <w:rPr>
          <w:rFonts w:hint="eastAsia"/>
          <w:color w:val="000000"/>
          <w:sz w:val="24"/>
        </w:rPr>
        <w:t>日发布任免通知，解聘尹东中国建设银行投资托管业务部总经理助理职务。</w:t>
      </w:r>
    </w:p>
    <w:p w:rsidR="00480B35" w:rsidRPr="00A51BB1" w:rsidRDefault="00480B35" w:rsidP="00DA14B0">
      <w:pPr>
        <w:autoSpaceDE w:val="0"/>
        <w:autoSpaceDN w:val="0"/>
        <w:adjustRightInd w:val="0"/>
        <w:spacing w:before="29" w:line="288" w:lineRule="auto"/>
        <w:jc w:val="left"/>
        <w:rPr>
          <w:color w:val="000000"/>
          <w:sz w:val="24"/>
        </w:rPr>
      </w:pPr>
    </w:p>
    <w:p w:rsidR="004061AC" w:rsidRPr="00414345" w:rsidRDefault="004061AC" w:rsidP="00CD01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A51BB1">
        <w:rPr>
          <w:color w:val="000000"/>
          <w:kern w:val="0"/>
          <w:sz w:val="24"/>
          <w:szCs w:val="24"/>
        </w:rPr>
        <w:t>9</w:t>
      </w:r>
      <w:r w:rsidR="00A51BB1" w:rsidRPr="00414345">
        <w:rPr>
          <w:color w:val="000000"/>
          <w:kern w:val="0"/>
          <w:sz w:val="24"/>
          <w:szCs w:val="24"/>
        </w:rPr>
        <w:t xml:space="preserve"> </w:t>
      </w:r>
      <w:r w:rsidRPr="00414345">
        <w:rPr>
          <w:color w:val="000000"/>
          <w:kern w:val="0"/>
          <w:sz w:val="24"/>
          <w:szCs w:val="24"/>
        </w:rPr>
        <w:t>备查文件目录</w:t>
      </w:r>
    </w:p>
    <w:p w:rsidR="004061AC" w:rsidRPr="00414345" w:rsidRDefault="00A51BB1" w:rsidP="00DA14B0">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44F3A" w:rsidRDefault="00CD012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、中国证监会核准交银施罗德阿尔法核心股票型证券投资基金募集的文件；</w:t>
      </w:r>
      <w:r>
        <w:rPr>
          <w:color w:val="000000"/>
          <w:sz w:val="24"/>
          <w:szCs w:val="24"/>
        </w:rPr>
        <w:t xml:space="preserve"> </w:t>
      </w:r>
    </w:p>
    <w:p w:rsidR="00A44F3A" w:rsidRDefault="00CD012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、《交银施罗德阿尔法核心股票型证券投资基金基金合同》；</w:t>
      </w:r>
      <w:r>
        <w:rPr>
          <w:color w:val="000000"/>
          <w:sz w:val="24"/>
          <w:szCs w:val="24"/>
        </w:rPr>
        <w:t xml:space="preserve"> </w:t>
      </w:r>
    </w:p>
    <w:p w:rsidR="00A44F3A" w:rsidRDefault="00CD0126">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、《交银施罗德阿尔法核心股票型证券投资基金招募说明书》；</w:t>
      </w:r>
      <w:r>
        <w:rPr>
          <w:color w:val="000000"/>
          <w:sz w:val="24"/>
          <w:szCs w:val="24"/>
        </w:rPr>
        <w:t xml:space="preserve"> </w:t>
      </w:r>
    </w:p>
    <w:p w:rsidR="00A44F3A" w:rsidRDefault="00CD012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、《交银施罗德阿尔法核心股票型证券投资基金托管协议》；</w:t>
      </w:r>
    </w:p>
    <w:p w:rsidR="00A44F3A" w:rsidRDefault="00CD0126">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A44F3A" w:rsidRDefault="00CD012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A44F3A" w:rsidRDefault="00CD012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、报告期内交银施罗德阿尔法核心股票型证券投资基金在指定报刊上各项公告的原稿。</w:t>
      </w:r>
    </w:p>
    <w:p w:rsidR="006A48FD" w:rsidRPr="00414345" w:rsidRDefault="006A48FD" w:rsidP="00DA14B0">
      <w:pPr>
        <w:spacing w:before="29" w:line="288" w:lineRule="auto"/>
        <w:ind w:firstLineChars="200" w:firstLine="480"/>
        <w:rPr>
          <w:color w:val="000000"/>
          <w:sz w:val="24"/>
          <w:szCs w:val="24"/>
        </w:rPr>
      </w:pPr>
    </w:p>
    <w:p w:rsidR="004061AC" w:rsidRPr="00414345" w:rsidRDefault="00A51BB1" w:rsidP="00DA14B0">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DA14B0">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DA14B0">
      <w:pPr>
        <w:spacing w:before="29" w:line="288" w:lineRule="auto"/>
        <w:ind w:firstLineChars="200" w:firstLine="480"/>
        <w:rPr>
          <w:color w:val="000000"/>
          <w:sz w:val="24"/>
          <w:szCs w:val="24"/>
        </w:rPr>
      </w:pPr>
    </w:p>
    <w:p w:rsidR="004061AC" w:rsidRPr="00414345" w:rsidRDefault="00A51BB1" w:rsidP="00DA14B0">
      <w:pPr>
        <w:autoSpaceDE w:val="0"/>
        <w:autoSpaceDN w:val="0"/>
        <w:adjustRightInd w:val="0"/>
        <w:spacing w:before="29" w:line="288" w:lineRule="auto"/>
        <w:jc w:val="left"/>
        <w:rPr>
          <w:b/>
          <w:bCs/>
          <w:color w:val="000000"/>
          <w:kern w:val="0"/>
          <w:sz w:val="24"/>
          <w:szCs w:val="24"/>
        </w:rPr>
      </w:pPr>
      <w:r>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44F3A" w:rsidRDefault="00CD012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2C3C7A">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2C3C7A">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432" w:rsidRDefault="00B36432" w:rsidP="00876D65">
      <w:r>
        <w:separator/>
      </w:r>
    </w:p>
  </w:endnote>
  <w:endnote w:type="continuationSeparator" w:id="0">
    <w:p w:rsidR="00B36432" w:rsidRDefault="00B3643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Arial Unicode MS"/>
    <w:charset w:val="86"/>
    <w:family w:val="auto"/>
    <w:pitch w:val="variable"/>
    <w:sig w:usb0="00000000"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A44F3A">
      <w:rPr>
        <w:kern w:val="0"/>
        <w:szCs w:val="21"/>
      </w:rPr>
      <w:fldChar w:fldCharType="begin"/>
    </w:r>
    <w:r>
      <w:rPr>
        <w:kern w:val="0"/>
        <w:szCs w:val="21"/>
      </w:rPr>
      <w:instrText xml:space="preserve"> PAGE </w:instrText>
    </w:r>
    <w:r w:rsidR="00A44F3A">
      <w:rPr>
        <w:kern w:val="0"/>
        <w:szCs w:val="21"/>
      </w:rPr>
      <w:fldChar w:fldCharType="separate"/>
    </w:r>
    <w:r w:rsidR="00ED3417">
      <w:rPr>
        <w:noProof/>
        <w:kern w:val="0"/>
        <w:szCs w:val="21"/>
      </w:rPr>
      <w:t>1</w:t>
    </w:r>
    <w:r w:rsidR="00A44F3A">
      <w:rPr>
        <w:kern w:val="0"/>
        <w:szCs w:val="21"/>
      </w:rPr>
      <w:fldChar w:fldCharType="end"/>
    </w:r>
    <w:r>
      <w:rPr>
        <w:rFonts w:hint="eastAsia"/>
        <w:kern w:val="0"/>
        <w:szCs w:val="21"/>
      </w:rPr>
      <w:t>页共</w:t>
    </w:r>
    <w:r w:rsidR="00A44F3A">
      <w:rPr>
        <w:kern w:val="0"/>
        <w:szCs w:val="21"/>
      </w:rPr>
      <w:fldChar w:fldCharType="begin"/>
    </w:r>
    <w:r>
      <w:rPr>
        <w:kern w:val="0"/>
        <w:szCs w:val="21"/>
      </w:rPr>
      <w:instrText xml:space="preserve"> NUMPAGES </w:instrText>
    </w:r>
    <w:r w:rsidR="00A44F3A">
      <w:rPr>
        <w:kern w:val="0"/>
        <w:szCs w:val="21"/>
      </w:rPr>
      <w:fldChar w:fldCharType="separate"/>
    </w:r>
    <w:r w:rsidR="00ED3417">
      <w:rPr>
        <w:noProof/>
        <w:kern w:val="0"/>
        <w:szCs w:val="21"/>
      </w:rPr>
      <w:t>11</w:t>
    </w:r>
    <w:r w:rsidR="00A44F3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432" w:rsidRDefault="00B36432" w:rsidP="00876D65">
      <w:r>
        <w:separator/>
      </w:r>
    </w:p>
  </w:footnote>
  <w:footnote w:type="continuationSeparator" w:id="0">
    <w:p w:rsidR="00B36432" w:rsidRDefault="00B3643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F6CC8"/>
    <w:rsid w:val="00111261"/>
    <w:rsid w:val="00133015"/>
    <w:rsid w:val="00137452"/>
    <w:rsid w:val="00137B31"/>
    <w:rsid w:val="00144F93"/>
    <w:rsid w:val="00147376"/>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CD8"/>
    <w:rsid w:val="00655E1C"/>
    <w:rsid w:val="006571DC"/>
    <w:rsid w:val="00660D4B"/>
    <w:rsid w:val="00664ECC"/>
    <w:rsid w:val="00670989"/>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4F3A"/>
    <w:rsid w:val="00A45320"/>
    <w:rsid w:val="00A51BB1"/>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B11BE5"/>
    <w:rsid w:val="00B12B7D"/>
    <w:rsid w:val="00B16985"/>
    <w:rsid w:val="00B22DEE"/>
    <w:rsid w:val="00B27479"/>
    <w:rsid w:val="00B32AA7"/>
    <w:rsid w:val="00B34678"/>
    <w:rsid w:val="00B35024"/>
    <w:rsid w:val="00B36432"/>
    <w:rsid w:val="00B371B4"/>
    <w:rsid w:val="00B40F64"/>
    <w:rsid w:val="00B42A76"/>
    <w:rsid w:val="00B47982"/>
    <w:rsid w:val="00B56F53"/>
    <w:rsid w:val="00B64723"/>
    <w:rsid w:val="00B7378D"/>
    <w:rsid w:val="00B7444D"/>
    <w:rsid w:val="00B816A7"/>
    <w:rsid w:val="00B82413"/>
    <w:rsid w:val="00B85352"/>
    <w:rsid w:val="00B87214"/>
    <w:rsid w:val="00B92FF5"/>
    <w:rsid w:val="00B959E6"/>
    <w:rsid w:val="00BA604D"/>
    <w:rsid w:val="00BB5DA7"/>
    <w:rsid w:val="00BC14B3"/>
    <w:rsid w:val="00BC216C"/>
    <w:rsid w:val="00BC4585"/>
    <w:rsid w:val="00BC50F1"/>
    <w:rsid w:val="00BC73E5"/>
    <w:rsid w:val="00BD0031"/>
    <w:rsid w:val="00BD7473"/>
    <w:rsid w:val="00BD7703"/>
    <w:rsid w:val="00BE420D"/>
    <w:rsid w:val="00BE5388"/>
    <w:rsid w:val="00C012F9"/>
    <w:rsid w:val="00C102E6"/>
    <w:rsid w:val="00C21520"/>
    <w:rsid w:val="00C222B2"/>
    <w:rsid w:val="00C225FB"/>
    <w:rsid w:val="00C23547"/>
    <w:rsid w:val="00C2499B"/>
    <w:rsid w:val="00C3193A"/>
    <w:rsid w:val="00C451A3"/>
    <w:rsid w:val="00C46B88"/>
    <w:rsid w:val="00C47163"/>
    <w:rsid w:val="00C5218C"/>
    <w:rsid w:val="00C52191"/>
    <w:rsid w:val="00C53472"/>
    <w:rsid w:val="00C53D1B"/>
    <w:rsid w:val="00C5642F"/>
    <w:rsid w:val="00C6002A"/>
    <w:rsid w:val="00C629B1"/>
    <w:rsid w:val="00C63554"/>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0126"/>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36549"/>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D0328"/>
    <w:rsid w:val="00ED14D5"/>
    <w:rsid w:val="00ED2620"/>
    <w:rsid w:val="00ED3417"/>
    <w:rsid w:val="00ED62BE"/>
    <w:rsid w:val="00ED6E80"/>
    <w:rsid w:val="00ED7B83"/>
    <w:rsid w:val="00EE3BC8"/>
    <w:rsid w:val="00EF17AB"/>
    <w:rsid w:val="00EF6FA5"/>
    <w:rsid w:val="00F11104"/>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E7438"/>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20C0BCA-ABA1-4DE5-AC93-349D74135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94BE4D-15A5-444C-9580-737D4112B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965</Words>
  <Characters>5505</Characters>
  <Application>Microsoft Office Word</Application>
  <DocSecurity>0</DocSecurity>
  <Lines>45</Lines>
  <Paragraphs>12</Paragraphs>
  <ScaleCrop>false</ScaleCrop>
  <Company/>
  <LinksUpToDate>false</LinksUpToDate>
  <CharactersWithSpaces>6458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荣华</dc:creator>
  <cp:lastModifiedBy>荣华</cp:lastModifiedBy>
  <cp:revision>2</cp:revision>
  <dcterms:created xsi:type="dcterms:W3CDTF">2014-04-16T12:33:00Z</dcterms:created>
  <dcterms:modified xsi:type="dcterms:W3CDTF">2014-04-16T12:33:00Z</dcterms:modified>
</cp:coreProperties>
</file>