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2D2A00" w:rsidP="00761982">
      <w:pPr>
        <w:spacing w:before="29" w:line="288" w:lineRule="auto"/>
        <w:jc w:val="center"/>
        <w:rPr>
          <w:rFonts w:eastAsiaTheme="minorEastAsia"/>
          <w:b/>
          <w:sz w:val="24"/>
        </w:rPr>
      </w:pPr>
      <w:r w:rsidRPr="007F52FA">
        <w:rPr>
          <w:rFonts w:eastAsiaTheme="minorEastAsia"/>
          <w:b/>
          <w:sz w:val="24"/>
        </w:rPr>
        <w:t>交银施罗德定期支付月月丰债券型证券投资基金</w:t>
      </w:r>
    </w:p>
    <w:p w:rsidR="002D2A00" w:rsidRPr="007F52FA" w:rsidRDefault="002D2A00" w:rsidP="00761982">
      <w:pPr>
        <w:spacing w:before="29" w:line="288" w:lineRule="auto"/>
        <w:jc w:val="center"/>
        <w:rPr>
          <w:rFonts w:eastAsiaTheme="minorEastAsia"/>
          <w:b/>
          <w:sz w:val="24"/>
        </w:rPr>
      </w:pPr>
      <w:r w:rsidRPr="007F52FA">
        <w:rPr>
          <w:rFonts w:eastAsiaTheme="minorEastAsia"/>
          <w:b/>
          <w:sz w:val="24"/>
        </w:rPr>
        <w:t>2014</w:t>
      </w:r>
      <w:r w:rsidRPr="007F52FA">
        <w:rPr>
          <w:rFonts w:eastAsiaTheme="minorEastAsia"/>
          <w:b/>
          <w:sz w:val="24"/>
        </w:rPr>
        <w:t>年第</w:t>
      </w:r>
      <w:r w:rsidRPr="007F52FA">
        <w:rPr>
          <w:rFonts w:eastAsiaTheme="minorEastAsia"/>
          <w:b/>
          <w:sz w:val="24"/>
        </w:rPr>
        <w:t>1</w:t>
      </w:r>
      <w:r w:rsidRPr="007F52FA">
        <w:rPr>
          <w:rFonts w:eastAsiaTheme="minorEastAsia"/>
          <w:b/>
          <w:sz w:val="24"/>
        </w:rPr>
        <w:t>季度报告</w:t>
      </w:r>
    </w:p>
    <w:p w:rsidR="009A2283" w:rsidRPr="007F52FA" w:rsidRDefault="00121533" w:rsidP="00761982">
      <w:pPr>
        <w:spacing w:before="29" w:line="288" w:lineRule="auto"/>
        <w:jc w:val="center"/>
        <w:rPr>
          <w:sz w:val="24"/>
        </w:rPr>
      </w:pPr>
      <w:r w:rsidRPr="007F52FA">
        <w:rPr>
          <w:sz w:val="24"/>
        </w:rPr>
        <w:t>2014</w:t>
      </w:r>
      <w:r w:rsidRPr="007F52FA">
        <w:rPr>
          <w:sz w:val="24"/>
        </w:rPr>
        <w:t>年</w:t>
      </w:r>
      <w:r w:rsidRPr="007F52FA">
        <w:rPr>
          <w:sz w:val="24"/>
        </w:rPr>
        <w:t>3</w:t>
      </w:r>
      <w:r w:rsidRPr="007F52FA">
        <w:rPr>
          <w:sz w:val="24"/>
        </w:rPr>
        <w:t>月</w:t>
      </w:r>
      <w:r w:rsidRPr="007F52FA">
        <w:rPr>
          <w:sz w:val="24"/>
        </w:rPr>
        <w:t>31</w:t>
      </w:r>
      <w:r w:rsidRPr="007F52FA">
        <w:rPr>
          <w:sz w:val="24"/>
        </w:rPr>
        <w:t>日</w:t>
      </w: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E27360" w:rsidRPr="007F52FA" w:rsidRDefault="00E27360"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基金管理人：</w:t>
      </w:r>
      <w:r w:rsidR="00BF377F" w:rsidRPr="007F52FA">
        <w:rPr>
          <w:color w:val="000000"/>
          <w:sz w:val="24"/>
        </w:rPr>
        <w:t>交银施罗德基金管理有限公司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基金托管人：</w:t>
      </w:r>
      <w:r w:rsidR="00BF377F" w:rsidRPr="007F52FA">
        <w:rPr>
          <w:color w:val="000000"/>
          <w:sz w:val="24"/>
        </w:rPr>
        <w:t>中国建设银行股份有限公司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sz w:val="24"/>
        </w:rPr>
        <w:sectPr w:rsidR="009A2283" w:rsidRPr="007F52FA" w:rsidSect="007A5233">
          <w:headerReference w:type="default" r:id="rId8"/>
          <w:footerReference w:type="default" r:id="rId9"/>
          <w:pgSz w:w="11926" w:h="15840"/>
          <w:pgMar w:top="1418" w:right="1440" w:bottom="851" w:left="1440" w:header="851" w:footer="992" w:gutter="0"/>
          <w:cols w:space="720"/>
          <w:noEndnote/>
        </w:sectPr>
      </w:pPr>
      <w:r w:rsidRPr="007F52FA">
        <w:rPr>
          <w:color w:val="000000"/>
          <w:sz w:val="24"/>
        </w:rPr>
        <w:t>报告送出日期：</w:t>
      </w:r>
      <w:r w:rsidR="00D04410" w:rsidRPr="007F52FA">
        <w:rPr>
          <w:color w:val="000000"/>
          <w:sz w:val="24"/>
        </w:rPr>
        <w:t>二〇一四年四月二十二日</w:t>
      </w:r>
    </w:p>
    <w:p w:rsidR="009238DB" w:rsidRPr="007F52FA" w:rsidRDefault="009238DB" w:rsidP="00F06599">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61982">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61982">
      <w:pPr>
        <w:spacing w:before="29" w:line="288" w:lineRule="auto"/>
        <w:ind w:firstLineChars="200" w:firstLine="480"/>
        <w:rPr>
          <w:rFonts w:eastAsiaTheme="minorEastAsia"/>
          <w:color w:val="000000"/>
          <w:sz w:val="24"/>
        </w:rPr>
      </w:pPr>
    </w:p>
    <w:p w:rsidR="009238DB" w:rsidRPr="007F52FA" w:rsidRDefault="009238DB" w:rsidP="00F06599">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6200E" w:rsidRPr="007F52FA" w:rsidTr="00F32579">
        <w:trPr>
          <w:jc w:val="center"/>
        </w:trPr>
        <w:tc>
          <w:tcPr>
            <w:tcW w:w="2835" w:type="dxa"/>
            <w:vAlign w:val="center"/>
          </w:tcPr>
          <w:p w:rsidR="00A6200E" w:rsidRPr="007F52FA" w:rsidRDefault="00A6200E" w:rsidP="00761982">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61982">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F32579">
        <w:trPr>
          <w:jc w:val="center"/>
        </w:trPr>
        <w:tc>
          <w:tcPr>
            <w:tcW w:w="2835" w:type="dxa"/>
            <w:vAlign w:val="center"/>
          </w:tcPr>
          <w:p w:rsidR="00B95753" w:rsidRPr="007F52FA" w:rsidRDefault="00B95753" w:rsidP="00761982">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61982">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61982">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134,859,720.24</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w:t>
            </w:r>
            <w:r w:rsidRPr="007F52FA">
              <w:rPr>
                <w:color w:val="000000"/>
                <w:kern w:val="0"/>
                <w:sz w:val="24"/>
              </w:rPr>
              <w:lastRenderedPageBreak/>
              <w:t>把握投资机会。</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lastRenderedPageBreak/>
              <w:t>业绩比较基准</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基金管理人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61982">
            <w:pPr>
              <w:spacing w:before="29" w:line="288" w:lineRule="auto"/>
              <w:jc w:val="left"/>
              <w:rPr>
                <w:sz w:val="24"/>
              </w:rPr>
            </w:pPr>
            <w:r w:rsidRPr="007F52FA">
              <w:rPr>
                <w:sz w:val="24"/>
              </w:rPr>
              <w:t>交银定期支付月月丰债券</w:t>
            </w:r>
            <w:r w:rsidRPr="007F52FA">
              <w:rPr>
                <w:sz w:val="24"/>
              </w:rPr>
              <w:t>A</w:t>
            </w:r>
          </w:p>
        </w:tc>
        <w:tc>
          <w:tcPr>
            <w:tcW w:w="2740" w:type="dxa"/>
            <w:vAlign w:val="center"/>
          </w:tcPr>
          <w:p w:rsidR="008532F3" w:rsidRPr="007F52FA" w:rsidRDefault="008532F3" w:rsidP="00761982">
            <w:pPr>
              <w:spacing w:before="29" w:line="288" w:lineRule="auto"/>
              <w:jc w:val="left"/>
              <w:rPr>
                <w:sz w:val="24"/>
              </w:rPr>
            </w:pPr>
            <w:r w:rsidRPr="007F52FA">
              <w:rPr>
                <w:sz w:val="24"/>
              </w:rPr>
              <w:t>交银定期支付月月丰债券</w:t>
            </w:r>
            <w:r w:rsidRPr="007F52FA">
              <w:rPr>
                <w:sz w:val="24"/>
              </w:rPr>
              <w:t>C</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5C29FD" w:rsidP="00761982">
            <w:pPr>
              <w:spacing w:before="29" w:line="288" w:lineRule="auto"/>
              <w:jc w:val="left"/>
              <w:rPr>
                <w:sz w:val="24"/>
              </w:rPr>
            </w:pPr>
            <w:r w:rsidRPr="007F52FA">
              <w:rPr>
                <w:color w:val="000000"/>
                <w:kern w:val="0"/>
                <w:sz w:val="24"/>
              </w:rPr>
              <w:t>519730</w:t>
            </w:r>
          </w:p>
        </w:tc>
        <w:tc>
          <w:tcPr>
            <w:tcW w:w="2740" w:type="dxa"/>
            <w:vAlign w:val="center"/>
          </w:tcPr>
          <w:p w:rsidR="00FD45FA" w:rsidRPr="007F52FA" w:rsidRDefault="00FD45FA" w:rsidP="00761982">
            <w:pPr>
              <w:spacing w:before="29" w:line="288" w:lineRule="auto"/>
              <w:jc w:val="left"/>
              <w:rPr>
                <w:color w:val="000000" w:themeColor="text1"/>
                <w:sz w:val="24"/>
              </w:rPr>
            </w:pPr>
            <w:r w:rsidRPr="007F52FA">
              <w:rPr>
                <w:color w:val="000000" w:themeColor="text1"/>
                <w:sz w:val="24"/>
              </w:rPr>
              <w:t>519731</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61982">
            <w:pPr>
              <w:spacing w:before="29" w:line="288" w:lineRule="auto"/>
              <w:jc w:val="left"/>
              <w:rPr>
                <w:sz w:val="24"/>
              </w:rPr>
            </w:pPr>
            <w:r w:rsidRPr="007F52FA">
              <w:rPr>
                <w:sz w:val="24"/>
              </w:rPr>
              <w:t>118,283,030.54</w:t>
            </w:r>
            <w:r w:rsidRPr="007F52FA">
              <w:rPr>
                <w:color w:val="000000"/>
                <w:kern w:val="0"/>
                <w:sz w:val="24"/>
              </w:rPr>
              <w:t>份</w:t>
            </w:r>
          </w:p>
        </w:tc>
        <w:tc>
          <w:tcPr>
            <w:tcW w:w="2740" w:type="dxa"/>
            <w:vAlign w:val="center"/>
          </w:tcPr>
          <w:p w:rsidR="00FD45FA" w:rsidRPr="007F52FA" w:rsidRDefault="00FD45FA" w:rsidP="00761982">
            <w:pPr>
              <w:spacing w:before="29" w:line="288" w:lineRule="auto"/>
              <w:jc w:val="left"/>
              <w:rPr>
                <w:sz w:val="24"/>
              </w:rPr>
            </w:pPr>
            <w:r w:rsidRPr="007F52FA">
              <w:rPr>
                <w:sz w:val="24"/>
              </w:rPr>
              <w:t>16,576,689.70</w:t>
            </w:r>
            <w:r w:rsidRPr="007F52FA">
              <w:rPr>
                <w:color w:val="000000"/>
                <w:kern w:val="0"/>
                <w:sz w:val="24"/>
              </w:rPr>
              <w:t>份</w:t>
            </w:r>
          </w:p>
        </w:tc>
      </w:tr>
    </w:tbl>
    <w:p w:rsidR="00740635" w:rsidRPr="007F52FA" w:rsidRDefault="00740635" w:rsidP="00761982">
      <w:pPr>
        <w:autoSpaceDE w:val="0"/>
        <w:autoSpaceDN w:val="0"/>
        <w:adjustRightInd w:val="0"/>
        <w:spacing w:before="29" w:line="288" w:lineRule="auto"/>
        <w:jc w:val="left"/>
        <w:rPr>
          <w:rFonts w:eastAsiaTheme="minorEastAsia"/>
          <w:color w:val="000000"/>
          <w:sz w:val="24"/>
        </w:rPr>
      </w:pPr>
    </w:p>
    <w:p w:rsidR="009238DB" w:rsidRPr="007F52FA" w:rsidRDefault="009238DB" w:rsidP="00F06599">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61982">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61982">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61982">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61982">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61982">
            <w:pPr>
              <w:adjustRightInd w:val="0"/>
              <w:spacing w:before="29" w:line="288" w:lineRule="auto"/>
              <w:ind w:left="17"/>
              <w:jc w:val="center"/>
              <w:rPr>
                <w:kern w:val="0"/>
                <w:sz w:val="24"/>
              </w:rPr>
            </w:pPr>
          </w:p>
        </w:tc>
        <w:tc>
          <w:tcPr>
            <w:tcW w:w="2481" w:type="dxa"/>
            <w:vAlign w:val="center"/>
          </w:tcPr>
          <w:p w:rsidR="009E549D" w:rsidRPr="007F52FA" w:rsidRDefault="009E549D" w:rsidP="00761982">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61982">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1,585,067.54</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226,170.33</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1,340,044.50</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200,450.00</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0.0097</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0.0092</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121,203,244.96</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16,940,659.10</w:t>
            </w:r>
          </w:p>
        </w:tc>
      </w:tr>
      <w:tr w:rsidR="005F293E" w:rsidRPr="007F52FA" w:rsidTr="007A5233">
        <w:trPr>
          <w:trHeight w:val="158"/>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1.025</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1.022</w:t>
            </w:r>
          </w:p>
        </w:tc>
      </w:tr>
    </w:tbl>
    <w:p w:rsidR="00BA67D2" w:rsidRDefault="005C29F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00FF7E1A">
        <w:rPr>
          <w:rFonts w:eastAsiaTheme="minorEastAsia" w:hint="eastAsia"/>
          <w:color w:val="000000"/>
          <w:sz w:val="24"/>
        </w:rPr>
        <w:t xml:space="preserve">  </w:t>
      </w: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61982">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lastRenderedPageBreak/>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61982">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A67D2">
        <w:trPr>
          <w:jc w:val="center"/>
        </w:trPr>
        <w:tc>
          <w:tcPr>
            <w:tcW w:w="1266" w:type="dxa"/>
            <w:vAlign w:val="center"/>
          </w:tcPr>
          <w:p w:rsidR="00BA67D2" w:rsidRDefault="005C29FD">
            <w:pPr>
              <w:jc w:val="left"/>
            </w:pPr>
            <w:r>
              <w:rPr>
                <w:color w:val="000000"/>
                <w:sz w:val="24"/>
              </w:rPr>
              <w:t>过去三个月</w:t>
            </w:r>
          </w:p>
        </w:tc>
        <w:tc>
          <w:tcPr>
            <w:tcW w:w="1267" w:type="dxa"/>
            <w:vAlign w:val="center"/>
          </w:tcPr>
          <w:p w:rsidR="00BA67D2" w:rsidRDefault="005C29FD">
            <w:pPr>
              <w:jc w:val="center"/>
            </w:pPr>
            <w:r>
              <w:rPr>
                <w:color w:val="000000"/>
                <w:sz w:val="24"/>
              </w:rPr>
              <w:t>0.99%</w:t>
            </w:r>
          </w:p>
        </w:tc>
        <w:tc>
          <w:tcPr>
            <w:tcW w:w="1267" w:type="dxa"/>
            <w:vAlign w:val="center"/>
          </w:tcPr>
          <w:p w:rsidR="00BA67D2" w:rsidRDefault="005C29FD">
            <w:pPr>
              <w:jc w:val="center"/>
            </w:pPr>
            <w:r>
              <w:rPr>
                <w:color w:val="000000"/>
                <w:sz w:val="24"/>
              </w:rPr>
              <w:t>0.09%</w:t>
            </w:r>
          </w:p>
        </w:tc>
        <w:tc>
          <w:tcPr>
            <w:tcW w:w="1267" w:type="dxa"/>
            <w:vAlign w:val="center"/>
          </w:tcPr>
          <w:p w:rsidR="00BA67D2" w:rsidRDefault="005C29FD">
            <w:pPr>
              <w:jc w:val="center"/>
            </w:pPr>
            <w:r>
              <w:rPr>
                <w:color w:val="000000"/>
                <w:sz w:val="24"/>
              </w:rPr>
              <w:t>0.66%</w:t>
            </w:r>
          </w:p>
        </w:tc>
        <w:tc>
          <w:tcPr>
            <w:tcW w:w="1267" w:type="dxa"/>
            <w:vAlign w:val="center"/>
          </w:tcPr>
          <w:p w:rsidR="00BA67D2" w:rsidRDefault="005C29FD">
            <w:pPr>
              <w:jc w:val="center"/>
            </w:pPr>
            <w:r>
              <w:rPr>
                <w:color w:val="000000"/>
                <w:sz w:val="24"/>
              </w:rPr>
              <w:t>0.14%</w:t>
            </w:r>
          </w:p>
        </w:tc>
        <w:tc>
          <w:tcPr>
            <w:tcW w:w="1267" w:type="dxa"/>
            <w:vAlign w:val="center"/>
          </w:tcPr>
          <w:p w:rsidR="00BA67D2" w:rsidRDefault="005C29FD">
            <w:pPr>
              <w:jc w:val="center"/>
            </w:pPr>
            <w:r>
              <w:rPr>
                <w:color w:val="000000"/>
                <w:sz w:val="24"/>
              </w:rPr>
              <w:t>0.33%</w:t>
            </w:r>
          </w:p>
        </w:tc>
        <w:tc>
          <w:tcPr>
            <w:tcW w:w="1267" w:type="dxa"/>
            <w:vAlign w:val="center"/>
          </w:tcPr>
          <w:p w:rsidR="00BA67D2" w:rsidRDefault="005C29FD">
            <w:pPr>
              <w:jc w:val="center"/>
            </w:pPr>
            <w:r>
              <w:rPr>
                <w:color w:val="000000"/>
                <w:sz w:val="24"/>
              </w:rPr>
              <w:t>-0.05%</w:t>
            </w:r>
          </w:p>
        </w:tc>
      </w:tr>
    </w:tbl>
    <w:p w:rsidR="004425E8" w:rsidRPr="007F52FA" w:rsidRDefault="004425E8" w:rsidP="00761982">
      <w:pPr>
        <w:pStyle w:val="20"/>
        <w:spacing w:before="29" w:line="288" w:lineRule="auto"/>
        <w:ind w:firstLineChars="0" w:firstLine="0"/>
        <w:rPr>
          <w:rFonts w:ascii="Times New Roman" w:eastAsiaTheme="minorEastAsia" w:hAnsi="Times New Roman"/>
          <w:color w:val="000000"/>
        </w:rPr>
      </w:pPr>
    </w:p>
    <w:p w:rsidR="009238DB" w:rsidRPr="007F52FA" w:rsidRDefault="009238DB" w:rsidP="00761982">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A67D2">
        <w:trPr>
          <w:jc w:val="center"/>
        </w:trPr>
        <w:tc>
          <w:tcPr>
            <w:tcW w:w="1266" w:type="dxa"/>
            <w:vAlign w:val="center"/>
          </w:tcPr>
          <w:p w:rsidR="00BA67D2" w:rsidRDefault="005C29FD">
            <w:pPr>
              <w:jc w:val="left"/>
            </w:pPr>
            <w:r>
              <w:rPr>
                <w:color w:val="000000"/>
                <w:sz w:val="24"/>
              </w:rPr>
              <w:t>过去三个月</w:t>
            </w:r>
          </w:p>
        </w:tc>
        <w:tc>
          <w:tcPr>
            <w:tcW w:w="1267" w:type="dxa"/>
            <w:vAlign w:val="center"/>
          </w:tcPr>
          <w:p w:rsidR="00BA67D2" w:rsidRDefault="005C29FD">
            <w:pPr>
              <w:jc w:val="center"/>
            </w:pPr>
            <w:r>
              <w:rPr>
                <w:color w:val="000000"/>
                <w:sz w:val="24"/>
              </w:rPr>
              <w:t>0.79%</w:t>
            </w:r>
          </w:p>
        </w:tc>
        <w:tc>
          <w:tcPr>
            <w:tcW w:w="1267" w:type="dxa"/>
            <w:vAlign w:val="center"/>
          </w:tcPr>
          <w:p w:rsidR="00BA67D2" w:rsidRDefault="005C29FD">
            <w:pPr>
              <w:jc w:val="center"/>
            </w:pPr>
            <w:r>
              <w:rPr>
                <w:color w:val="000000"/>
                <w:sz w:val="24"/>
              </w:rPr>
              <w:t>0.09%</w:t>
            </w:r>
          </w:p>
        </w:tc>
        <w:tc>
          <w:tcPr>
            <w:tcW w:w="1267" w:type="dxa"/>
            <w:vAlign w:val="center"/>
          </w:tcPr>
          <w:p w:rsidR="00BA67D2" w:rsidRDefault="005C29FD">
            <w:pPr>
              <w:jc w:val="center"/>
            </w:pPr>
            <w:r>
              <w:rPr>
                <w:color w:val="000000"/>
                <w:sz w:val="24"/>
              </w:rPr>
              <w:t>0.66%</w:t>
            </w:r>
          </w:p>
        </w:tc>
        <w:tc>
          <w:tcPr>
            <w:tcW w:w="1267" w:type="dxa"/>
            <w:vAlign w:val="center"/>
          </w:tcPr>
          <w:p w:rsidR="00BA67D2" w:rsidRDefault="005C29FD">
            <w:pPr>
              <w:jc w:val="center"/>
            </w:pPr>
            <w:r>
              <w:rPr>
                <w:color w:val="000000"/>
                <w:sz w:val="24"/>
              </w:rPr>
              <w:t>0.14%</w:t>
            </w:r>
          </w:p>
        </w:tc>
        <w:tc>
          <w:tcPr>
            <w:tcW w:w="1267" w:type="dxa"/>
            <w:vAlign w:val="center"/>
          </w:tcPr>
          <w:p w:rsidR="00BA67D2" w:rsidRDefault="005C29FD">
            <w:pPr>
              <w:jc w:val="center"/>
            </w:pPr>
            <w:r>
              <w:rPr>
                <w:color w:val="000000"/>
                <w:sz w:val="24"/>
              </w:rPr>
              <w:t>0.13%</w:t>
            </w:r>
          </w:p>
        </w:tc>
        <w:tc>
          <w:tcPr>
            <w:tcW w:w="1267" w:type="dxa"/>
            <w:vAlign w:val="center"/>
          </w:tcPr>
          <w:p w:rsidR="00BA67D2" w:rsidRDefault="005C29FD">
            <w:pPr>
              <w:jc w:val="center"/>
            </w:pPr>
            <w:r>
              <w:rPr>
                <w:color w:val="000000"/>
                <w:sz w:val="24"/>
              </w:rPr>
              <w:t>-0.05%</w:t>
            </w:r>
          </w:p>
        </w:tc>
      </w:tr>
    </w:tbl>
    <w:p w:rsidR="009238DB" w:rsidRPr="007F52FA" w:rsidRDefault="009238DB" w:rsidP="00761982">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61982">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61982">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61982">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61982">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61982">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61982">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2013</w:t>
      </w:r>
      <w:r w:rsidRPr="007F52FA">
        <w:rPr>
          <w:color w:val="000000"/>
          <w:sz w:val="24"/>
        </w:rPr>
        <w:t>年</w:t>
      </w:r>
      <w:r w:rsidRPr="007F52FA">
        <w:rPr>
          <w:color w:val="000000"/>
          <w:sz w:val="24"/>
        </w:rPr>
        <w:t>8</w:t>
      </w:r>
      <w:r w:rsidRPr="007F52FA">
        <w:rPr>
          <w:color w:val="000000"/>
          <w:sz w:val="24"/>
        </w:rPr>
        <w:t>月</w:t>
      </w:r>
      <w:r w:rsidRPr="007F52FA">
        <w:rPr>
          <w:color w:val="000000"/>
          <w:sz w:val="24"/>
        </w:rPr>
        <w:t>13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61982">
      <w:pPr>
        <w:pStyle w:val="20"/>
        <w:spacing w:before="29" w:line="288" w:lineRule="auto"/>
        <w:ind w:firstLineChars="0" w:firstLine="0"/>
        <w:rPr>
          <w:rFonts w:ascii="Times New Roman" w:hAnsi="Times New Roman"/>
          <w:color w:val="000000"/>
        </w:rPr>
      </w:pPr>
    </w:p>
    <w:p w:rsidR="009238DB" w:rsidRPr="007F52FA" w:rsidRDefault="009238DB" w:rsidP="00761982">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61982">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2013</w:t>
      </w:r>
      <w:r w:rsidRPr="007F52FA">
        <w:rPr>
          <w:color w:val="000000"/>
          <w:sz w:val="24"/>
        </w:rPr>
        <w:t>年</w:t>
      </w:r>
      <w:r w:rsidRPr="007F52FA">
        <w:rPr>
          <w:color w:val="000000"/>
          <w:sz w:val="24"/>
        </w:rPr>
        <w:t>8</w:t>
      </w:r>
      <w:r w:rsidRPr="007F52FA">
        <w:rPr>
          <w:color w:val="000000"/>
          <w:sz w:val="24"/>
        </w:rPr>
        <w:t>月</w:t>
      </w:r>
      <w:r w:rsidRPr="007F52FA">
        <w:rPr>
          <w:color w:val="000000"/>
          <w:sz w:val="24"/>
        </w:rPr>
        <w:t>13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9238DB" w:rsidRPr="007F52FA" w:rsidRDefault="009238DB" w:rsidP="00F06599">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r>
      <w:tr w:rsidR="00BA67D2">
        <w:trPr>
          <w:jc w:val="center"/>
        </w:trPr>
        <w:tc>
          <w:tcPr>
            <w:tcW w:w="946" w:type="dxa"/>
            <w:vAlign w:val="center"/>
          </w:tcPr>
          <w:p w:rsidR="00BA67D2" w:rsidRDefault="005C29FD">
            <w:pPr>
              <w:jc w:val="center"/>
            </w:pPr>
            <w:r>
              <w:rPr>
                <w:color w:val="000000"/>
                <w:sz w:val="24"/>
              </w:rPr>
              <w:t>李家春</w:t>
            </w:r>
          </w:p>
        </w:tc>
        <w:tc>
          <w:tcPr>
            <w:tcW w:w="924" w:type="dxa"/>
            <w:vAlign w:val="center"/>
          </w:tcPr>
          <w:p w:rsidR="00BA67D2" w:rsidRDefault="005C29FD">
            <w:pPr>
              <w:jc w:val="center"/>
            </w:pPr>
            <w:r>
              <w:rPr>
                <w:color w:val="000000"/>
                <w:sz w:val="24"/>
              </w:rPr>
              <w:t>本基金、交银增利债券、交银双利债券的基金经理，公司固定收益部副总经理</w:t>
            </w:r>
          </w:p>
        </w:tc>
        <w:tc>
          <w:tcPr>
            <w:tcW w:w="1202" w:type="dxa"/>
            <w:vAlign w:val="center"/>
          </w:tcPr>
          <w:p w:rsidR="00BA67D2" w:rsidRDefault="005C29FD">
            <w:pPr>
              <w:jc w:val="center"/>
            </w:pPr>
            <w:r>
              <w:rPr>
                <w:color w:val="000000"/>
                <w:sz w:val="24"/>
              </w:rPr>
              <w:t>2013-08-13</w:t>
            </w:r>
          </w:p>
        </w:tc>
        <w:tc>
          <w:tcPr>
            <w:tcW w:w="1300" w:type="dxa"/>
            <w:vAlign w:val="center"/>
          </w:tcPr>
          <w:p w:rsidR="00BA67D2" w:rsidRDefault="005C29FD">
            <w:pPr>
              <w:jc w:val="center"/>
            </w:pPr>
            <w:r>
              <w:rPr>
                <w:color w:val="000000"/>
                <w:sz w:val="24"/>
              </w:rPr>
              <w:t>-</w:t>
            </w:r>
          </w:p>
        </w:tc>
        <w:tc>
          <w:tcPr>
            <w:tcW w:w="1245" w:type="dxa"/>
            <w:vAlign w:val="center"/>
          </w:tcPr>
          <w:p w:rsidR="00BA67D2" w:rsidRDefault="005C29FD">
            <w:pPr>
              <w:jc w:val="center"/>
            </w:pPr>
            <w:r>
              <w:rPr>
                <w:color w:val="000000"/>
                <w:sz w:val="24"/>
              </w:rPr>
              <w:t>15</w:t>
            </w:r>
            <w:r>
              <w:rPr>
                <w:color w:val="000000"/>
                <w:sz w:val="24"/>
              </w:rPr>
              <w:t>年</w:t>
            </w:r>
          </w:p>
        </w:tc>
        <w:tc>
          <w:tcPr>
            <w:tcW w:w="3251" w:type="dxa"/>
            <w:vAlign w:val="center"/>
          </w:tcPr>
          <w:p w:rsidR="00BA67D2" w:rsidRDefault="005C29FD">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p>
        </w:tc>
      </w:tr>
      <w:tr w:rsidR="00BA67D2">
        <w:trPr>
          <w:jc w:val="center"/>
        </w:trPr>
        <w:tc>
          <w:tcPr>
            <w:tcW w:w="946" w:type="dxa"/>
            <w:vAlign w:val="center"/>
          </w:tcPr>
          <w:p w:rsidR="00BA67D2" w:rsidRDefault="005C29FD">
            <w:pPr>
              <w:jc w:val="center"/>
            </w:pPr>
            <w:r>
              <w:rPr>
                <w:color w:val="000000"/>
                <w:sz w:val="24"/>
              </w:rPr>
              <w:t>赵凌琦</w:t>
            </w:r>
          </w:p>
        </w:tc>
        <w:tc>
          <w:tcPr>
            <w:tcW w:w="924" w:type="dxa"/>
            <w:vAlign w:val="center"/>
          </w:tcPr>
          <w:p w:rsidR="00BA67D2" w:rsidRDefault="005C29FD" w:rsidP="00286E62">
            <w:pPr>
              <w:jc w:val="center"/>
            </w:pPr>
            <w:r>
              <w:rPr>
                <w:color w:val="000000"/>
                <w:sz w:val="24"/>
              </w:rPr>
              <w:t>本基金、交银理财</w:t>
            </w:r>
            <w:r>
              <w:rPr>
                <w:color w:val="000000"/>
                <w:sz w:val="24"/>
              </w:rPr>
              <w:t>60</w:t>
            </w:r>
            <w:r>
              <w:rPr>
                <w:color w:val="000000"/>
                <w:sz w:val="24"/>
              </w:rPr>
              <w:t>天债券、交银双轮动债券</w:t>
            </w:r>
            <w:r w:rsidR="00286E62">
              <w:rPr>
                <w:color w:val="000000"/>
                <w:sz w:val="24"/>
              </w:rPr>
              <w:t>、交银强化回报债券</w:t>
            </w:r>
            <w:r>
              <w:rPr>
                <w:color w:val="000000"/>
                <w:sz w:val="24"/>
              </w:rPr>
              <w:t>的基金经理，公司固定收益部</w:t>
            </w:r>
            <w:r>
              <w:rPr>
                <w:color w:val="000000"/>
                <w:sz w:val="24"/>
              </w:rPr>
              <w:lastRenderedPageBreak/>
              <w:t>副总经理</w:t>
            </w:r>
          </w:p>
        </w:tc>
        <w:tc>
          <w:tcPr>
            <w:tcW w:w="1202" w:type="dxa"/>
            <w:vAlign w:val="center"/>
          </w:tcPr>
          <w:p w:rsidR="00BA67D2" w:rsidRDefault="005C29FD">
            <w:pPr>
              <w:jc w:val="center"/>
            </w:pPr>
            <w:r>
              <w:rPr>
                <w:color w:val="000000"/>
                <w:sz w:val="24"/>
              </w:rPr>
              <w:lastRenderedPageBreak/>
              <w:t>2013-09-03</w:t>
            </w:r>
          </w:p>
        </w:tc>
        <w:tc>
          <w:tcPr>
            <w:tcW w:w="1300" w:type="dxa"/>
            <w:vAlign w:val="center"/>
          </w:tcPr>
          <w:p w:rsidR="00BA67D2" w:rsidRDefault="005C29FD">
            <w:pPr>
              <w:jc w:val="center"/>
            </w:pPr>
            <w:r>
              <w:rPr>
                <w:color w:val="000000"/>
                <w:sz w:val="24"/>
              </w:rPr>
              <w:t>-</w:t>
            </w:r>
          </w:p>
        </w:tc>
        <w:tc>
          <w:tcPr>
            <w:tcW w:w="1245" w:type="dxa"/>
            <w:vAlign w:val="center"/>
          </w:tcPr>
          <w:p w:rsidR="00BA67D2" w:rsidRDefault="005C29FD">
            <w:pPr>
              <w:jc w:val="center"/>
            </w:pPr>
            <w:r>
              <w:rPr>
                <w:color w:val="000000"/>
                <w:sz w:val="24"/>
              </w:rPr>
              <w:t>1</w:t>
            </w:r>
            <w:r>
              <w:rPr>
                <w:color w:val="000000"/>
                <w:sz w:val="24"/>
              </w:rPr>
              <w:t>年</w:t>
            </w:r>
          </w:p>
        </w:tc>
        <w:tc>
          <w:tcPr>
            <w:tcW w:w="3251" w:type="dxa"/>
            <w:vAlign w:val="center"/>
          </w:tcPr>
          <w:p w:rsidR="00BA67D2" w:rsidRDefault="005C29FD">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bl>
    <w:p w:rsidR="005C7D00" w:rsidRPr="007F52FA" w:rsidRDefault="005C7D00" w:rsidP="00761982">
      <w:pPr>
        <w:pStyle w:val="20"/>
        <w:spacing w:before="29" w:line="288" w:lineRule="auto"/>
        <w:ind w:firstLineChars="0" w:firstLine="0"/>
        <w:rPr>
          <w:rFonts w:ascii="Times New Roman" w:eastAsiaTheme="minorEastAsia" w:hAnsi="Times New Roman"/>
          <w:color w:val="auto"/>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61982">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61982">
      <w:pPr>
        <w:autoSpaceDE w:val="0"/>
        <w:autoSpaceDN w:val="0"/>
        <w:adjustRightInd w:val="0"/>
        <w:spacing w:before="29" w:line="288" w:lineRule="auto"/>
        <w:jc w:val="left"/>
        <w:rPr>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61982">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A67D2" w:rsidRDefault="005C29F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A67D2" w:rsidRDefault="005C29F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A67D2" w:rsidRDefault="005C29F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61982">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61982">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61982">
      <w:pPr>
        <w:spacing w:before="29" w:line="288" w:lineRule="auto"/>
        <w:ind w:firstLineChars="200" w:firstLine="480"/>
        <w:rPr>
          <w:color w:val="000000"/>
          <w:sz w:val="24"/>
        </w:rPr>
      </w:pPr>
      <w:r w:rsidRPr="007F52FA">
        <w:rPr>
          <w:color w:val="000000"/>
          <w:sz w:val="24"/>
        </w:rPr>
        <w:t>本报告期内，本公司管理的所有投资组合未发生参与的交易所公开竞价同日反向交易成交较少的单边交易量超过该证券当日总成交量</w:t>
      </w:r>
      <w:r w:rsidRPr="007F52FA">
        <w:rPr>
          <w:color w:val="000000"/>
          <w:sz w:val="24"/>
        </w:rPr>
        <w:t>5%</w:t>
      </w:r>
      <w:r w:rsidRPr="007F52FA">
        <w:rPr>
          <w:color w:val="000000"/>
          <w:sz w:val="24"/>
        </w:rPr>
        <w:t>的情形。本基金于本报告期内未出现异常交易行为。</w:t>
      </w:r>
    </w:p>
    <w:p w:rsidR="009238DB" w:rsidRPr="007F52FA" w:rsidRDefault="009238DB" w:rsidP="00761982">
      <w:pPr>
        <w:autoSpaceDE w:val="0"/>
        <w:autoSpaceDN w:val="0"/>
        <w:adjustRightInd w:val="0"/>
        <w:spacing w:before="29" w:line="288" w:lineRule="auto"/>
        <w:jc w:val="left"/>
        <w:rPr>
          <w:color w:val="000000"/>
          <w:kern w:val="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BA67D2" w:rsidRDefault="005C29FD">
      <w:pPr>
        <w:spacing w:before="29" w:line="288" w:lineRule="auto"/>
        <w:ind w:firstLineChars="200" w:firstLine="480"/>
        <w:rPr>
          <w:color w:val="000000"/>
          <w:sz w:val="24"/>
        </w:rPr>
      </w:pPr>
      <w:r>
        <w:rPr>
          <w:color w:val="000000"/>
          <w:sz w:val="24"/>
        </w:rPr>
        <w:t>一季度宏观经济下行风险增大，投资放缓，上中游工业企业面临量价齐跌，通胀低位徘徊。货币与产能收缩，债务与风险双控。</w:t>
      </w:r>
    </w:p>
    <w:p w:rsidR="00BA67D2" w:rsidRDefault="005C29FD">
      <w:pPr>
        <w:spacing w:before="29" w:line="288" w:lineRule="auto"/>
        <w:ind w:firstLineChars="200" w:firstLine="480"/>
        <w:rPr>
          <w:color w:val="000000"/>
          <w:sz w:val="24"/>
        </w:rPr>
      </w:pPr>
      <w:r>
        <w:rPr>
          <w:color w:val="000000"/>
          <w:sz w:val="24"/>
        </w:rPr>
        <w:t>一季度央行政策适度放松，银行间资金面呈现衰退式宽松，资金利率中枢较</w:t>
      </w:r>
      <w:r>
        <w:rPr>
          <w:color w:val="000000"/>
          <w:sz w:val="24"/>
        </w:rPr>
        <w:t>2013</w:t>
      </w:r>
      <w:r>
        <w:rPr>
          <w:color w:val="000000"/>
          <w:sz w:val="24"/>
        </w:rPr>
        <w:t>年下半年适度下移。</w:t>
      </w:r>
    </w:p>
    <w:p w:rsidR="00BA67D2" w:rsidRDefault="005C29FD">
      <w:pPr>
        <w:spacing w:before="29" w:line="288" w:lineRule="auto"/>
        <w:ind w:firstLineChars="200" w:firstLine="480"/>
        <w:rPr>
          <w:color w:val="000000"/>
          <w:sz w:val="24"/>
        </w:rPr>
      </w:pPr>
      <w:r>
        <w:rPr>
          <w:color w:val="000000"/>
          <w:sz w:val="24"/>
        </w:rPr>
        <w:t>受以下三方面因素推动，一季度债券市场整体表现非常抢眼：一是钱荒导致的货币</w:t>
      </w:r>
      <w:r>
        <w:rPr>
          <w:color w:val="000000"/>
          <w:sz w:val="24"/>
        </w:rPr>
        <w:lastRenderedPageBreak/>
        <w:t>政策从紧转向；二是非标收缩，银行从</w:t>
      </w:r>
      <w:r>
        <w:rPr>
          <w:color w:val="000000"/>
          <w:sz w:val="24"/>
        </w:rPr>
        <w:t>2013</w:t>
      </w:r>
      <w:r>
        <w:rPr>
          <w:color w:val="000000"/>
          <w:sz w:val="24"/>
        </w:rPr>
        <w:t>年追求高收益风险资产，转向重视安全与流动性资产的平衡配置，对债券需求增加；三是债券到期收益率得到估值修复。一、二月份中债全价总指数分别上涨了</w:t>
      </w:r>
      <w:r>
        <w:rPr>
          <w:color w:val="000000"/>
          <w:sz w:val="24"/>
        </w:rPr>
        <w:t>0.90%</w:t>
      </w:r>
      <w:r>
        <w:rPr>
          <w:color w:val="000000"/>
          <w:sz w:val="24"/>
        </w:rPr>
        <w:t>、</w:t>
      </w:r>
      <w:r>
        <w:rPr>
          <w:color w:val="000000"/>
          <w:sz w:val="24"/>
        </w:rPr>
        <w:t>1.12%</w:t>
      </w:r>
      <w:r>
        <w:rPr>
          <w:color w:val="000000"/>
          <w:sz w:val="24"/>
        </w:rPr>
        <w:t>，三月份微跌，下跌</w:t>
      </w:r>
      <w:r>
        <w:rPr>
          <w:color w:val="000000"/>
          <w:sz w:val="24"/>
        </w:rPr>
        <w:t>0.42%</w:t>
      </w:r>
      <w:r>
        <w:rPr>
          <w:color w:val="000000"/>
          <w:sz w:val="24"/>
        </w:rPr>
        <w:t>。在年初这轮由配置盘推动的行情中，本基金迅速加仓调整仓位，分享到这波小牛市后半场带来的收益。目前本基金债券仓位已经恢复到中性仓位，组合久期控制在</w:t>
      </w:r>
      <w:r>
        <w:rPr>
          <w:color w:val="000000"/>
          <w:sz w:val="24"/>
        </w:rPr>
        <w:t>2</w:t>
      </w:r>
      <w:r>
        <w:rPr>
          <w:color w:val="000000"/>
          <w:sz w:val="24"/>
        </w:rPr>
        <w:t>年附近。</w:t>
      </w:r>
    </w:p>
    <w:p w:rsidR="00952A72" w:rsidRPr="007F52FA" w:rsidRDefault="00323F25" w:rsidP="00761982">
      <w:pPr>
        <w:spacing w:before="29" w:line="288" w:lineRule="auto"/>
        <w:ind w:firstLineChars="200" w:firstLine="480"/>
        <w:rPr>
          <w:color w:val="000000"/>
          <w:sz w:val="24"/>
        </w:rPr>
      </w:pPr>
      <w:r w:rsidRPr="007F52FA">
        <w:rPr>
          <w:color w:val="000000"/>
          <w:sz w:val="24"/>
        </w:rPr>
        <w:t>展望二季度，预计稳增长、保下限意愿边际回升但货币政策方向不明。市场纠结后期政策变动。稳增长采取什么路径推出成为决定债市走向的最终风向标。如果仍然是以刺激需求为主，配套财政和融资，债券融资需求增加，对利率是抬升影响。如果是货币政策放松，降准，降息，大量释放流动性，则流动性放松会带来利率下行。我们认为前一种路径的可能性更高。目前大规模放松的概率不大，重点关注六月份时间窗口。二季度在操作上计划将保持短久期，把握可转债波段性交易机会，力求规避信用风险。</w:t>
      </w:r>
    </w:p>
    <w:p w:rsidR="00EC41BC" w:rsidRPr="007F52FA" w:rsidRDefault="00EC41BC" w:rsidP="00761982">
      <w:pPr>
        <w:spacing w:before="29" w:line="288" w:lineRule="auto"/>
        <w:ind w:firstLineChars="200" w:firstLine="480"/>
        <w:rPr>
          <w:color w:val="00000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61982">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日，交银月月丰债券</w:t>
      </w:r>
      <w:r w:rsidRPr="007F52FA">
        <w:rPr>
          <w:color w:val="000000"/>
          <w:sz w:val="24"/>
        </w:rPr>
        <w:t>A</w:t>
      </w:r>
      <w:r w:rsidRPr="007F52FA">
        <w:rPr>
          <w:color w:val="000000"/>
          <w:sz w:val="24"/>
        </w:rPr>
        <w:t>类份额净值为</w:t>
      </w:r>
      <w:r w:rsidRPr="007F52FA">
        <w:rPr>
          <w:color w:val="000000"/>
          <w:sz w:val="24"/>
        </w:rPr>
        <w:t>1.025</w:t>
      </w:r>
      <w:r w:rsidRPr="007F52FA">
        <w:rPr>
          <w:color w:val="000000"/>
          <w:sz w:val="24"/>
        </w:rPr>
        <w:t>元，本报告期份额净值增长率为</w:t>
      </w:r>
      <w:r w:rsidRPr="007F52FA">
        <w:rPr>
          <w:color w:val="000000"/>
          <w:sz w:val="24"/>
        </w:rPr>
        <w:t>0.99%</w:t>
      </w:r>
      <w:r w:rsidRPr="007F52FA">
        <w:rPr>
          <w:color w:val="000000"/>
          <w:sz w:val="24"/>
        </w:rPr>
        <w:t>，同期业绩比较基准增长率为</w:t>
      </w:r>
      <w:r w:rsidRPr="007F52FA">
        <w:rPr>
          <w:color w:val="000000"/>
          <w:sz w:val="24"/>
        </w:rPr>
        <w:t>0.66%</w:t>
      </w:r>
      <w:r w:rsidRPr="007F52FA">
        <w:rPr>
          <w:color w:val="000000"/>
          <w:sz w:val="24"/>
        </w:rPr>
        <w:t>；交银月月丰债券</w:t>
      </w:r>
      <w:r w:rsidRPr="007F52FA">
        <w:rPr>
          <w:color w:val="000000"/>
          <w:sz w:val="24"/>
        </w:rPr>
        <w:t>C</w:t>
      </w:r>
      <w:r w:rsidRPr="007F52FA">
        <w:rPr>
          <w:color w:val="000000"/>
          <w:sz w:val="24"/>
        </w:rPr>
        <w:t>类份额净值为</w:t>
      </w:r>
      <w:r w:rsidRPr="007F52FA">
        <w:rPr>
          <w:color w:val="000000"/>
          <w:sz w:val="24"/>
        </w:rPr>
        <w:t>1.022</w:t>
      </w:r>
      <w:r w:rsidRPr="007F52FA">
        <w:rPr>
          <w:color w:val="000000"/>
          <w:sz w:val="24"/>
        </w:rPr>
        <w:t>元，本报告期份额净值增长率为</w:t>
      </w:r>
      <w:r w:rsidRPr="007F52FA">
        <w:rPr>
          <w:color w:val="000000"/>
          <w:sz w:val="24"/>
        </w:rPr>
        <w:t>0.79%</w:t>
      </w:r>
      <w:r w:rsidRPr="007F52FA">
        <w:rPr>
          <w:color w:val="000000"/>
          <w:sz w:val="24"/>
        </w:rPr>
        <w:t>，同期业绩比较基准增长率为</w:t>
      </w:r>
      <w:r w:rsidRPr="007F52FA">
        <w:rPr>
          <w:color w:val="000000"/>
          <w:sz w:val="24"/>
        </w:rPr>
        <w:t>0.66%</w:t>
      </w:r>
      <w:r w:rsidRPr="007F52FA">
        <w:rPr>
          <w:color w:val="000000"/>
          <w:sz w:val="24"/>
        </w:rPr>
        <w:t>。</w:t>
      </w:r>
    </w:p>
    <w:p w:rsidR="00400FA6" w:rsidRPr="007F52FA" w:rsidRDefault="00400FA6" w:rsidP="00761982">
      <w:pPr>
        <w:spacing w:before="29" w:line="288" w:lineRule="auto"/>
        <w:ind w:firstLineChars="200" w:firstLine="480"/>
        <w:rPr>
          <w:color w:val="000000"/>
          <w:sz w:val="24"/>
        </w:rPr>
      </w:pPr>
    </w:p>
    <w:p w:rsidR="009238DB" w:rsidRPr="007F52FA" w:rsidRDefault="00FF5FC7" w:rsidP="00F06599">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2,392,950.00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1.46</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2,392,950.00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1.46</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155,689,086.99</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95.21</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155,689,086.99</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95.21</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000000" w:rsidRDefault="00323F25">
            <w:pPr>
              <w:autoSpaceDE w:val="0"/>
              <w:autoSpaceDN w:val="0"/>
              <w:adjustRightInd w:val="0"/>
              <w:spacing w:before="29" w:line="288" w:lineRule="auto"/>
              <w:ind w:leftChars="8" w:left="17" w:firstLineChars="300" w:firstLine="720"/>
              <w:jc w:val="left"/>
              <w:rPr>
                <w:color w:val="000000"/>
                <w:sz w:val="24"/>
              </w:rPr>
            </w:pPr>
            <w:r w:rsidRPr="007F52FA">
              <w:rPr>
                <w:color w:val="000000"/>
                <w:sz w:val="24"/>
              </w:rPr>
              <w:t>资产支持证券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61982">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61982">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2,503,004.39</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1.53</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61982">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2,928,895.63</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1.79</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lastRenderedPageBreak/>
              <w:t>8</w:t>
            </w:r>
          </w:p>
        </w:tc>
        <w:tc>
          <w:tcPr>
            <w:tcW w:w="3357" w:type="dxa"/>
            <w:vAlign w:val="center"/>
          </w:tcPr>
          <w:p w:rsidR="00323F25" w:rsidRPr="007F52FA" w:rsidRDefault="00323F25" w:rsidP="00761982">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163,513,937.01</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100.00</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61982">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B02963" w:rsidRDefault="005F458B">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B02963" w:rsidRDefault="005F458B">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1,519,550.00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1.10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128,600.00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0.09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744,800.00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0.54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61982">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61982">
            <w:pPr>
              <w:spacing w:before="29" w:line="288" w:lineRule="auto"/>
              <w:jc w:val="right"/>
              <w:rPr>
                <w:sz w:val="24"/>
              </w:rPr>
            </w:pPr>
            <w:r w:rsidRPr="007F52FA">
              <w:rPr>
                <w:sz w:val="24"/>
              </w:rPr>
              <w:t>2,392,950.00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61982">
            <w:pPr>
              <w:spacing w:before="29" w:line="288" w:lineRule="auto"/>
              <w:jc w:val="right"/>
              <w:rPr>
                <w:sz w:val="24"/>
              </w:rPr>
            </w:pPr>
            <w:r w:rsidRPr="007F52FA">
              <w:rPr>
                <w:sz w:val="24"/>
              </w:rPr>
              <w:t>1.73</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61982">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61982">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A67D2">
        <w:trPr>
          <w:jc w:val="center"/>
        </w:trPr>
        <w:tc>
          <w:tcPr>
            <w:tcW w:w="850" w:type="dxa"/>
            <w:vAlign w:val="center"/>
          </w:tcPr>
          <w:p w:rsidR="00BA67D2" w:rsidRDefault="005C29FD">
            <w:pPr>
              <w:jc w:val="center"/>
            </w:pPr>
            <w:r>
              <w:rPr>
                <w:color w:val="000000"/>
                <w:sz w:val="24"/>
              </w:rPr>
              <w:t>1</w:t>
            </w:r>
          </w:p>
        </w:tc>
        <w:tc>
          <w:tcPr>
            <w:tcW w:w="1327" w:type="dxa"/>
            <w:vAlign w:val="center"/>
          </w:tcPr>
          <w:p w:rsidR="00BA67D2" w:rsidRDefault="005C29FD">
            <w:pPr>
              <w:jc w:val="center"/>
            </w:pPr>
            <w:r>
              <w:rPr>
                <w:color w:val="000000"/>
                <w:sz w:val="24"/>
              </w:rPr>
              <w:t>600109</w:t>
            </w:r>
          </w:p>
        </w:tc>
        <w:tc>
          <w:tcPr>
            <w:tcW w:w="1769" w:type="dxa"/>
            <w:vAlign w:val="center"/>
          </w:tcPr>
          <w:p w:rsidR="00BA67D2" w:rsidRDefault="005C29FD">
            <w:pPr>
              <w:jc w:val="center"/>
            </w:pPr>
            <w:r>
              <w:rPr>
                <w:color w:val="000000"/>
                <w:sz w:val="24"/>
              </w:rPr>
              <w:t>国金证券</w:t>
            </w:r>
          </w:p>
        </w:tc>
        <w:tc>
          <w:tcPr>
            <w:tcW w:w="1327" w:type="dxa"/>
            <w:vAlign w:val="center"/>
          </w:tcPr>
          <w:p w:rsidR="00BA67D2" w:rsidRDefault="005C29FD">
            <w:pPr>
              <w:jc w:val="right"/>
            </w:pPr>
            <w:r>
              <w:rPr>
                <w:color w:val="000000"/>
                <w:sz w:val="24"/>
              </w:rPr>
              <w:t>40,000</w:t>
            </w:r>
          </w:p>
        </w:tc>
        <w:tc>
          <w:tcPr>
            <w:tcW w:w="1915" w:type="dxa"/>
            <w:vAlign w:val="center"/>
          </w:tcPr>
          <w:p w:rsidR="00BA67D2" w:rsidRDefault="005C29FD">
            <w:pPr>
              <w:jc w:val="right"/>
            </w:pPr>
            <w:r>
              <w:rPr>
                <w:color w:val="000000"/>
                <w:sz w:val="24"/>
              </w:rPr>
              <w:t>744,800.00</w:t>
            </w:r>
          </w:p>
        </w:tc>
        <w:tc>
          <w:tcPr>
            <w:tcW w:w="1680" w:type="dxa"/>
            <w:vAlign w:val="center"/>
          </w:tcPr>
          <w:p w:rsidR="00BA67D2" w:rsidRDefault="005C29FD">
            <w:pPr>
              <w:jc w:val="right"/>
            </w:pPr>
            <w:r>
              <w:rPr>
                <w:color w:val="000000"/>
                <w:sz w:val="24"/>
              </w:rPr>
              <w:t>0.54</w:t>
            </w:r>
          </w:p>
        </w:tc>
      </w:tr>
      <w:tr w:rsidR="00BA67D2">
        <w:trPr>
          <w:jc w:val="center"/>
        </w:trPr>
        <w:tc>
          <w:tcPr>
            <w:tcW w:w="850" w:type="dxa"/>
            <w:vAlign w:val="center"/>
          </w:tcPr>
          <w:p w:rsidR="00BA67D2" w:rsidRDefault="005C29FD">
            <w:pPr>
              <w:jc w:val="center"/>
            </w:pPr>
            <w:r>
              <w:rPr>
                <w:color w:val="000000"/>
                <w:sz w:val="24"/>
              </w:rPr>
              <w:t>2</w:t>
            </w:r>
          </w:p>
        </w:tc>
        <w:tc>
          <w:tcPr>
            <w:tcW w:w="1327" w:type="dxa"/>
            <w:vAlign w:val="center"/>
          </w:tcPr>
          <w:p w:rsidR="00BA67D2" w:rsidRDefault="005C29FD">
            <w:pPr>
              <w:jc w:val="center"/>
            </w:pPr>
            <w:r>
              <w:rPr>
                <w:color w:val="000000"/>
                <w:sz w:val="24"/>
              </w:rPr>
              <w:t>600690</w:t>
            </w:r>
          </w:p>
        </w:tc>
        <w:tc>
          <w:tcPr>
            <w:tcW w:w="1769" w:type="dxa"/>
            <w:vAlign w:val="center"/>
          </w:tcPr>
          <w:p w:rsidR="00BA67D2" w:rsidRDefault="005C29FD">
            <w:pPr>
              <w:jc w:val="center"/>
            </w:pPr>
            <w:r>
              <w:rPr>
                <w:color w:val="000000"/>
                <w:sz w:val="24"/>
              </w:rPr>
              <w:t>青岛海尔</w:t>
            </w:r>
          </w:p>
        </w:tc>
        <w:tc>
          <w:tcPr>
            <w:tcW w:w="1327" w:type="dxa"/>
            <w:vAlign w:val="center"/>
          </w:tcPr>
          <w:p w:rsidR="00BA67D2" w:rsidRDefault="005C29FD">
            <w:pPr>
              <w:jc w:val="right"/>
            </w:pPr>
            <w:r>
              <w:rPr>
                <w:color w:val="000000"/>
                <w:sz w:val="24"/>
              </w:rPr>
              <w:t>30,000</w:t>
            </w:r>
          </w:p>
        </w:tc>
        <w:tc>
          <w:tcPr>
            <w:tcW w:w="1915" w:type="dxa"/>
            <w:vAlign w:val="center"/>
          </w:tcPr>
          <w:p w:rsidR="00BA67D2" w:rsidRDefault="005C29FD">
            <w:pPr>
              <w:jc w:val="right"/>
            </w:pPr>
            <w:r>
              <w:rPr>
                <w:color w:val="000000"/>
                <w:sz w:val="24"/>
              </w:rPr>
              <w:t>487,200.00</w:t>
            </w:r>
          </w:p>
        </w:tc>
        <w:tc>
          <w:tcPr>
            <w:tcW w:w="1680" w:type="dxa"/>
            <w:vAlign w:val="center"/>
          </w:tcPr>
          <w:p w:rsidR="00BA67D2" w:rsidRDefault="005C29FD">
            <w:pPr>
              <w:jc w:val="right"/>
            </w:pPr>
            <w:r>
              <w:rPr>
                <w:color w:val="000000"/>
                <w:sz w:val="24"/>
              </w:rPr>
              <w:t>0.35</w:t>
            </w:r>
          </w:p>
        </w:tc>
      </w:tr>
      <w:tr w:rsidR="00BA67D2">
        <w:trPr>
          <w:jc w:val="center"/>
        </w:trPr>
        <w:tc>
          <w:tcPr>
            <w:tcW w:w="850" w:type="dxa"/>
            <w:vAlign w:val="center"/>
          </w:tcPr>
          <w:p w:rsidR="00BA67D2" w:rsidRDefault="005C29FD">
            <w:pPr>
              <w:jc w:val="center"/>
            </w:pPr>
            <w:r>
              <w:rPr>
                <w:color w:val="000000"/>
                <w:sz w:val="24"/>
              </w:rPr>
              <w:lastRenderedPageBreak/>
              <w:t>3</w:t>
            </w:r>
          </w:p>
        </w:tc>
        <w:tc>
          <w:tcPr>
            <w:tcW w:w="1327" w:type="dxa"/>
            <w:vAlign w:val="center"/>
          </w:tcPr>
          <w:p w:rsidR="00BA67D2" w:rsidRDefault="005C29FD">
            <w:pPr>
              <w:jc w:val="center"/>
            </w:pPr>
            <w:r>
              <w:rPr>
                <w:color w:val="000000"/>
                <w:sz w:val="24"/>
              </w:rPr>
              <w:t>000521</w:t>
            </w:r>
          </w:p>
        </w:tc>
        <w:tc>
          <w:tcPr>
            <w:tcW w:w="1769" w:type="dxa"/>
            <w:vAlign w:val="center"/>
          </w:tcPr>
          <w:p w:rsidR="00BA67D2" w:rsidRDefault="005C29FD">
            <w:pPr>
              <w:jc w:val="center"/>
            </w:pPr>
            <w:r>
              <w:rPr>
                <w:color w:val="000000"/>
                <w:sz w:val="24"/>
              </w:rPr>
              <w:t>美菱电器</w:t>
            </w:r>
          </w:p>
        </w:tc>
        <w:tc>
          <w:tcPr>
            <w:tcW w:w="1327" w:type="dxa"/>
            <w:vAlign w:val="center"/>
          </w:tcPr>
          <w:p w:rsidR="00BA67D2" w:rsidRDefault="005C29FD">
            <w:pPr>
              <w:jc w:val="right"/>
            </w:pPr>
            <w:r>
              <w:rPr>
                <w:color w:val="000000"/>
                <w:sz w:val="24"/>
              </w:rPr>
              <w:t>80,000</w:t>
            </w:r>
          </w:p>
        </w:tc>
        <w:tc>
          <w:tcPr>
            <w:tcW w:w="1915" w:type="dxa"/>
            <w:vAlign w:val="center"/>
          </w:tcPr>
          <w:p w:rsidR="00BA67D2" w:rsidRDefault="005C29FD">
            <w:pPr>
              <w:jc w:val="right"/>
            </w:pPr>
            <w:r>
              <w:rPr>
                <w:color w:val="000000"/>
                <w:sz w:val="24"/>
              </w:rPr>
              <w:t>475,200.00</w:t>
            </w:r>
          </w:p>
        </w:tc>
        <w:tc>
          <w:tcPr>
            <w:tcW w:w="1680" w:type="dxa"/>
            <w:vAlign w:val="center"/>
          </w:tcPr>
          <w:p w:rsidR="00BA67D2" w:rsidRDefault="005C29FD">
            <w:pPr>
              <w:jc w:val="right"/>
            </w:pPr>
            <w:r>
              <w:rPr>
                <w:color w:val="000000"/>
                <w:sz w:val="24"/>
              </w:rPr>
              <w:t>0.34</w:t>
            </w:r>
          </w:p>
        </w:tc>
      </w:tr>
      <w:tr w:rsidR="00BA67D2">
        <w:trPr>
          <w:jc w:val="center"/>
        </w:trPr>
        <w:tc>
          <w:tcPr>
            <w:tcW w:w="850" w:type="dxa"/>
            <w:vAlign w:val="center"/>
          </w:tcPr>
          <w:p w:rsidR="00BA67D2" w:rsidRDefault="005C29FD">
            <w:pPr>
              <w:jc w:val="center"/>
            </w:pPr>
            <w:r>
              <w:rPr>
                <w:color w:val="000000"/>
                <w:sz w:val="24"/>
              </w:rPr>
              <w:t>4</w:t>
            </w:r>
          </w:p>
        </w:tc>
        <w:tc>
          <w:tcPr>
            <w:tcW w:w="1327" w:type="dxa"/>
            <w:vAlign w:val="center"/>
          </w:tcPr>
          <w:p w:rsidR="00BA67D2" w:rsidRDefault="005C29FD">
            <w:pPr>
              <w:jc w:val="center"/>
            </w:pPr>
            <w:r>
              <w:rPr>
                <w:color w:val="000000"/>
                <w:sz w:val="24"/>
              </w:rPr>
              <w:t>600894</w:t>
            </w:r>
          </w:p>
        </w:tc>
        <w:tc>
          <w:tcPr>
            <w:tcW w:w="1769" w:type="dxa"/>
            <w:vAlign w:val="center"/>
          </w:tcPr>
          <w:p w:rsidR="00BA67D2" w:rsidRDefault="005C29FD">
            <w:pPr>
              <w:jc w:val="center"/>
            </w:pPr>
            <w:r>
              <w:rPr>
                <w:color w:val="000000"/>
                <w:sz w:val="24"/>
              </w:rPr>
              <w:t>广日股份</w:t>
            </w:r>
          </w:p>
        </w:tc>
        <w:tc>
          <w:tcPr>
            <w:tcW w:w="1327" w:type="dxa"/>
            <w:vAlign w:val="center"/>
          </w:tcPr>
          <w:p w:rsidR="00BA67D2" w:rsidRDefault="005C29FD">
            <w:pPr>
              <w:jc w:val="right"/>
            </w:pPr>
            <w:r>
              <w:rPr>
                <w:color w:val="000000"/>
                <w:sz w:val="24"/>
              </w:rPr>
              <w:t>20,000</w:t>
            </w:r>
          </w:p>
        </w:tc>
        <w:tc>
          <w:tcPr>
            <w:tcW w:w="1915" w:type="dxa"/>
            <w:vAlign w:val="center"/>
          </w:tcPr>
          <w:p w:rsidR="00BA67D2" w:rsidRDefault="005C29FD">
            <w:pPr>
              <w:jc w:val="right"/>
            </w:pPr>
            <w:r>
              <w:rPr>
                <w:color w:val="000000"/>
                <w:sz w:val="24"/>
              </w:rPr>
              <w:t>256,600.00</w:t>
            </w:r>
          </w:p>
        </w:tc>
        <w:tc>
          <w:tcPr>
            <w:tcW w:w="1680" w:type="dxa"/>
            <w:vAlign w:val="center"/>
          </w:tcPr>
          <w:p w:rsidR="00BA67D2" w:rsidRDefault="005C29FD">
            <w:pPr>
              <w:jc w:val="right"/>
            </w:pPr>
            <w:r>
              <w:rPr>
                <w:color w:val="000000"/>
                <w:sz w:val="24"/>
              </w:rPr>
              <w:t>0.19</w:t>
            </w:r>
          </w:p>
        </w:tc>
      </w:tr>
      <w:tr w:rsidR="00BA67D2">
        <w:trPr>
          <w:jc w:val="center"/>
        </w:trPr>
        <w:tc>
          <w:tcPr>
            <w:tcW w:w="850" w:type="dxa"/>
            <w:vAlign w:val="center"/>
          </w:tcPr>
          <w:p w:rsidR="00BA67D2" w:rsidRDefault="005C29FD">
            <w:pPr>
              <w:jc w:val="center"/>
            </w:pPr>
            <w:r>
              <w:rPr>
                <w:color w:val="000000"/>
                <w:sz w:val="24"/>
              </w:rPr>
              <w:t>5</w:t>
            </w:r>
          </w:p>
        </w:tc>
        <w:tc>
          <w:tcPr>
            <w:tcW w:w="1327" w:type="dxa"/>
            <w:vAlign w:val="center"/>
          </w:tcPr>
          <w:p w:rsidR="00BA67D2" w:rsidRDefault="005C29FD">
            <w:pPr>
              <w:jc w:val="center"/>
            </w:pPr>
            <w:r>
              <w:rPr>
                <w:color w:val="000000"/>
                <w:sz w:val="24"/>
              </w:rPr>
              <w:t>600104</w:t>
            </w:r>
          </w:p>
        </w:tc>
        <w:tc>
          <w:tcPr>
            <w:tcW w:w="1769" w:type="dxa"/>
            <w:vAlign w:val="center"/>
          </w:tcPr>
          <w:p w:rsidR="00BA67D2" w:rsidRDefault="005C29FD">
            <w:pPr>
              <w:jc w:val="center"/>
            </w:pPr>
            <w:r>
              <w:rPr>
                <w:color w:val="000000"/>
                <w:sz w:val="24"/>
              </w:rPr>
              <w:t>上汽集团</w:t>
            </w:r>
          </w:p>
        </w:tc>
        <w:tc>
          <w:tcPr>
            <w:tcW w:w="1327" w:type="dxa"/>
            <w:vAlign w:val="center"/>
          </w:tcPr>
          <w:p w:rsidR="00BA67D2" w:rsidRDefault="005C29FD">
            <w:pPr>
              <w:jc w:val="right"/>
            </w:pPr>
            <w:r>
              <w:rPr>
                <w:color w:val="000000"/>
                <w:sz w:val="24"/>
              </w:rPr>
              <w:t>15,000</w:t>
            </w:r>
          </w:p>
        </w:tc>
        <w:tc>
          <w:tcPr>
            <w:tcW w:w="1915" w:type="dxa"/>
            <w:vAlign w:val="center"/>
          </w:tcPr>
          <w:p w:rsidR="00BA67D2" w:rsidRDefault="005C29FD">
            <w:pPr>
              <w:jc w:val="right"/>
            </w:pPr>
            <w:r>
              <w:rPr>
                <w:color w:val="000000"/>
                <w:sz w:val="24"/>
              </w:rPr>
              <w:t>207,750.00</w:t>
            </w:r>
          </w:p>
        </w:tc>
        <w:tc>
          <w:tcPr>
            <w:tcW w:w="1680" w:type="dxa"/>
            <w:vAlign w:val="center"/>
          </w:tcPr>
          <w:p w:rsidR="00BA67D2" w:rsidRDefault="005C29FD">
            <w:pPr>
              <w:jc w:val="right"/>
            </w:pPr>
            <w:r>
              <w:rPr>
                <w:color w:val="000000"/>
                <w:sz w:val="24"/>
              </w:rPr>
              <w:t>0.15</w:t>
            </w:r>
          </w:p>
        </w:tc>
      </w:tr>
      <w:tr w:rsidR="00BA67D2">
        <w:trPr>
          <w:jc w:val="center"/>
        </w:trPr>
        <w:tc>
          <w:tcPr>
            <w:tcW w:w="850" w:type="dxa"/>
            <w:vAlign w:val="center"/>
          </w:tcPr>
          <w:p w:rsidR="00BA67D2" w:rsidRDefault="005C29FD">
            <w:pPr>
              <w:jc w:val="center"/>
            </w:pPr>
            <w:r>
              <w:rPr>
                <w:color w:val="000000"/>
                <w:sz w:val="24"/>
              </w:rPr>
              <w:t>6</w:t>
            </w:r>
          </w:p>
        </w:tc>
        <w:tc>
          <w:tcPr>
            <w:tcW w:w="1327" w:type="dxa"/>
            <w:vAlign w:val="center"/>
          </w:tcPr>
          <w:p w:rsidR="00BA67D2" w:rsidRDefault="005C29FD">
            <w:pPr>
              <w:jc w:val="center"/>
            </w:pPr>
            <w:r>
              <w:rPr>
                <w:color w:val="000000"/>
                <w:sz w:val="24"/>
              </w:rPr>
              <w:t>600153</w:t>
            </w:r>
          </w:p>
        </w:tc>
        <w:tc>
          <w:tcPr>
            <w:tcW w:w="1769" w:type="dxa"/>
            <w:vAlign w:val="center"/>
          </w:tcPr>
          <w:p w:rsidR="00BA67D2" w:rsidRDefault="005C29FD">
            <w:pPr>
              <w:jc w:val="center"/>
            </w:pPr>
            <w:r>
              <w:rPr>
                <w:color w:val="000000"/>
                <w:sz w:val="24"/>
              </w:rPr>
              <w:t>建发股份</w:t>
            </w:r>
          </w:p>
        </w:tc>
        <w:tc>
          <w:tcPr>
            <w:tcW w:w="1327" w:type="dxa"/>
            <w:vAlign w:val="center"/>
          </w:tcPr>
          <w:p w:rsidR="00BA67D2" w:rsidRDefault="005C29FD">
            <w:pPr>
              <w:jc w:val="right"/>
            </w:pPr>
            <w:r>
              <w:rPr>
                <w:color w:val="000000"/>
                <w:sz w:val="24"/>
              </w:rPr>
              <w:t>20,000</w:t>
            </w:r>
          </w:p>
        </w:tc>
        <w:tc>
          <w:tcPr>
            <w:tcW w:w="1915" w:type="dxa"/>
            <w:vAlign w:val="center"/>
          </w:tcPr>
          <w:p w:rsidR="00BA67D2" w:rsidRDefault="005C29FD">
            <w:pPr>
              <w:jc w:val="right"/>
            </w:pPr>
            <w:r>
              <w:rPr>
                <w:color w:val="000000"/>
                <w:sz w:val="24"/>
              </w:rPr>
              <w:t>128,600.00</w:t>
            </w:r>
          </w:p>
        </w:tc>
        <w:tc>
          <w:tcPr>
            <w:tcW w:w="1680" w:type="dxa"/>
            <w:vAlign w:val="center"/>
          </w:tcPr>
          <w:p w:rsidR="00BA67D2" w:rsidRDefault="005C29FD">
            <w:pPr>
              <w:jc w:val="right"/>
            </w:pPr>
            <w:r>
              <w:rPr>
                <w:color w:val="000000"/>
                <w:sz w:val="24"/>
              </w:rPr>
              <w:t>0.09</w:t>
            </w:r>
          </w:p>
        </w:tc>
      </w:tr>
      <w:tr w:rsidR="00BA67D2">
        <w:trPr>
          <w:jc w:val="center"/>
        </w:trPr>
        <w:tc>
          <w:tcPr>
            <w:tcW w:w="850" w:type="dxa"/>
            <w:vAlign w:val="center"/>
          </w:tcPr>
          <w:p w:rsidR="00BA67D2" w:rsidRDefault="005C29FD">
            <w:pPr>
              <w:jc w:val="center"/>
            </w:pPr>
            <w:r>
              <w:rPr>
                <w:color w:val="000000"/>
                <w:sz w:val="24"/>
              </w:rPr>
              <w:t>7</w:t>
            </w:r>
          </w:p>
        </w:tc>
        <w:tc>
          <w:tcPr>
            <w:tcW w:w="1327" w:type="dxa"/>
            <w:vAlign w:val="center"/>
          </w:tcPr>
          <w:p w:rsidR="00BA67D2" w:rsidRDefault="005C29FD">
            <w:pPr>
              <w:jc w:val="center"/>
            </w:pPr>
            <w:r>
              <w:rPr>
                <w:color w:val="000000"/>
                <w:sz w:val="24"/>
              </w:rPr>
              <w:t>601299</w:t>
            </w:r>
          </w:p>
        </w:tc>
        <w:tc>
          <w:tcPr>
            <w:tcW w:w="1769" w:type="dxa"/>
            <w:vAlign w:val="center"/>
          </w:tcPr>
          <w:p w:rsidR="00BA67D2" w:rsidRDefault="005C29FD">
            <w:pPr>
              <w:jc w:val="center"/>
            </w:pPr>
            <w:r>
              <w:rPr>
                <w:color w:val="000000"/>
                <w:sz w:val="24"/>
              </w:rPr>
              <w:t>中国北车</w:t>
            </w:r>
          </w:p>
        </w:tc>
        <w:tc>
          <w:tcPr>
            <w:tcW w:w="1327" w:type="dxa"/>
            <w:vAlign w:val="center"/>
          </w:tcPr>
          <w:p w:rsidR="00BA67D2" w:rsidRDefault="005C29FD">
            <w:pPr>
              <w:jc w:val="right"/>
            </w:pPr>
            <w:r>
              <w:rPr>
                <w:color w:val="000000"/>
                <w:sz w:val="24"/>
              </w:rPr>
              <w:t>20,000</w:t>
            </w:r>
          </w:p>
        </w:tc>
        <w:tc>
          <w:tcPr>
            <w:tcW w:w="1915" w:type="dxa"/>
            <w:vAlign w:val="center"/>
          </w:tcPr>
          <w:p w:rsidR="00BA67D2" w:rsidRDefault="005C29FD">
            <w:pPr>
              <w:jc w:val="right"/>
            </w:pPr>
            <w:r>
              <w:rPr>
                <w:color w:val="000000"/>
                <w:sz w:val="24"/>
              </w:rPr>
              <w:t>92,800.00</w:t>
            </w:r>
          </w:p>
        </w:tc>
        <w:tc>
          <w:tcPr>
            <w:tcW w:w="1680" w:type="dxa"/>
            <w:vAlign w:val="center"/>
          </w:tcPr>
          <w:p w:rsidR="00BA67D2" w:rsidRDefault="005C29FD">
            <w:pPr>
              <w:jc w:val="right"/>
            </w:pPr>
            <w:r>
              <w:rPr>
                <w:color w:val="000000"/>
                <w:sz w:val="24"/>
              </w:rPr>
              <w:t>0.07</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19,575,000.00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14.17</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19,575,000.00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14.17</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31,928,436.99</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23.11</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30,072,000.00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21.77</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68,683,000.00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49.72</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5,430,650.00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3.93</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155,689,086.99</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112.70</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Ind w:w="15" w:type="dxa"/>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A67D2">
        <w:trPr>
          <w:jc w:val="center"/>
        </w:trPr>
        <w:tc>
          <w:tcPr>
            <w:tcW w:w="1075" w:type="dxa"/>
            <w:vAlign w:val="center"/>
          </w:tcPr>
          <w:p w:rsidR="00BA67D2" w:rsidRDefault="005C29FD">
            <w:pPr>
              <w:jc w:val="center"/>
            </w:pPr>
            <w:r>
              <w:rPr>
                <w:color w:val="000000"/>
                <w:sz w:val="24"/>
              </w:rPr>
              <w:t>1</w:t>
            </w:r>
          </w:p>
        </w:tc>
        <w:tc>
          <w:tcPr>
            <w:tcW w:w="1533" w:type="dxa"/>
            <w:vAlign w:val="center"/>
          </w:tcPr>
          <w:p w:rsidR="00BA67D2" w:rsidRDefault="005C29FD">
            <w:pPr>
              <w:jc w:val="center"/>
            </w:pPr>
            <w:r>
              <w:rPr>
                <w:color w:val="000000"/>
                <w:sz w:val="24"/>
              </w:rPr>
              <w:t>1180187</w:t>
            </w:r>
          </w:p>
        </w:tc>
        <w:tc>
          <w:tcPr>
            <w:tcW w:w="1533" w:type="dxa"/>
            <w:vAlign w:val="center"/>
          </w:tcPr>
          <w:p w:rsidR="00BA67D2" w:rsidRDefault="005C29FD">
            <w:pPr>
              <w:jc w:val="center"/>
            </w:pPr>
            <w:r>
              <w:rPr>
                <w:color w:val="000000"/>
                <w:sz w:val="24"/>
              </w:rPr>
              <w:t>11</w:t>
            </w:r>
            <w:r>
              <w:rPr>
                <w:color w:val="000000"/>
                <w:sz w:val="24"/>
              </w:rPr>
              <w:t>京谷财债</w:t>
            </w:r>
          </w:p>
        </w:tc>
        <w:tc>
          <w:tcPr>
            <w:tcW w:w="1394" w:type="dxa"/>
            <w:vAlign w:val="center"/>
          </w:tcPr>
          <w:p w:rsidR="00BA67D2" w:rsidRDefault="005C29FD">
            <w:pPr>
              <w:jc w:val="right"/>
            </w:pPr>
            <w:r>
              <w:rPr>
                <w:color w:val="000000"/>
                <w:sz w:val="24"/>
              </w:rPr>
              <w:t>100,000</w:t>
            </w:r>
          </w:p>
        </w:tc>
        <w:tc>
          <w:tcPr>
            <w:tcW w:w="1944" w:type="dxa"/>
            <w:vAlign w:val="center"/>
          </w:tcPr>
          <w:p w:rsidR="00BA67D2" w:rsidRDefault="005C29FD">
            <w:pPr>
              <w:jc w:val="right"/>
            </w:pPr>
            <w:r>
              <w:rPr>
                <w:color w:val="000000"/>
                <w:sz w:val="24"/>
              </w:rPr>
              <w:t>10,389,000.00</w:t>
            </w:r>
          </w:p>
        </w:tc>
        <w:tc>
          <w:tcPr>
            <w:tcW w:w="1389" w:type="dxa"/>
            <w:vAlign w:val="center"/>
          </w:tcPr>
          <w:p w:rsidR="00BA67D2" w:rsidRDefault="005C29FD">
            <w:pPr>
              <w:jc w:val="right"/>
            </w:pPr>
            <w:r>
              <w:rPr>
                <w:color w:val="000000"/>
                <w:sz w:val="24"/>
              </w:rPr>
              <w:t>7.52</w:t>
            </w:r>
          </w:p>
        </w:tc>
      </w:tr>
      <w:tr w:rsidR="00BA67D2">
        <w:trPr>
          <w:jc w:val="center"/>
        </w:trPr>
        <w:tc>
          <w:tcPr>
            <w:tcW w:w="1075" w:type="dxa"/>
            <w:vAlign w:val="center"/>
          </w:tcPr>
          <w:p w:rsidR="00BA67D2" w:rsidRDefault="005C29FD">
            <w:pPr>
              <w:jc w:val="center"/>
            </w:pPr>
            <w:r>
              <w:rPr>
                <w:color w:val="000000"/>
                <w:sz w:val="24"/>
              </w:rPr>
              <w:t>2</w:t>
            </w:r>
          </w:p>
        </w:tc>
        <w:tc>
          <w:tcPr>
            <w:tcW w:w="1533" w:type="dxa"/>
            <w:vAlign w:val="center"/>
          </w:tcPr>
          <w:p w:rsidR="00BA67D2" w:rsidRDefault="005C29FD">
            <w:pPr>
              <w:jc w:val="center"/>
            </w:pPr>
            <w:r>
              <w:rPr>
                <w:color w:val="000000"/>
                <w:sz w:val="24"/>
              </w:rPr>
              <w:t>1182113</w:t>
            </w:r>
          </w:p>
        </w:tc>
        <w:tc>
          <w:tcPr>
            <w:tcW w:w="1533" w:type="dxa"/>
            <w:vAlign w:val="center"/>
          </w:tcPr>
          <w:p w:rsidR="00BA67D2" w:rsidRDefault="005C29FD">
            <w:pPr>
              <w:jc w:val="center"/>
            </w:pPr>
            <w:r>
              <w:rPr>
                <w:color w:val="000000"/>
                <w:sz w:val="24"/>
              </w:rPr>
              <w:t>11</w:t>
            </w:r>
            <w:r>
              <w:rPr>
                <w:color w:val="000000"/>
                <w:sz w:val="24"/>
              </w:rPr>
              <w:t>京煤</w:t>
            </w:r>
            <w:r>
              <w:rPr>
                <w:color w:val="000000"/>
                <w:sz w:val="24"/>
              </w:rPr>
              <w:t>MTN1</w:t>
            </w:r>
          </w:p>
        </w:tc>
        <w:tc>
          <w:tcPr>
            <w:tcW w:w="1394" w:type="dxa"/>
            <w:vAlign w:val="center"/>
          </w:tcPr>
          <w:p w:rsidR="00BA67D2" w:rsidRDefault="005C29FD">
            <w:pPr>
              <w:jc w:val="right"/>
            </w:pPr>
            <w:r>
              <w:rPr>
                <w:color w:val="000000"/>
                <w:sz w:val="24"/>
              </w:rPr>
              <w:t>100,000</w:t>
            </w:r>
          </w:p>
        </w:tc>
        <w:tc>
          <w:tcPr>
            <w:tcW w:w="1944" w:type="dxa"/>
            <w:vAlign w:val="center"/>
          </w:tcPr>
          <w:p w:rsidR="00BA67D2" w:rsidRDefault="005C29FD">
            <w:pPr>
              <w:jc w:val="right"/>
            </w:pPr>
            <w:r>
              <w:rPr>
                <w:color w:val="000000"/>
                <w:sz w:val="24"/>
              </w:rPr>
              <w:t>10,112,000.00</w:t>
            </w:r>
          </w:p>
        </w:tc>
        <w:tc>
          <w:tcPr>
            <w:tcW w:w="1389" w:type="dxa"/>
            <w:vAlign w:val="center"/>
          </w:tcPr>
          <w:p w:rsidR="00BA67D2" w:rsidRDefault="005C29FD">
            <w:pPr>
              <w:jc w:val="right"/>
            </w:pPr>
            <w:r>
              <w:rPr>
                <w:color w:val="000000"/>
                <w:sz w:val="24"/>
              </w:rPr>
              <w:t>7.32</w:t>
            </w:r>
          </w:p>
        </w:tc>
      </w:tr>
      <w:tr w:rsidR="00BA67D2">
        <w:trPr>
          <w:jc w:val="center"/>
        </w:trPr>
        <w:tc>
          <w:tcPr>
            <w:tcW w:w="1075" w:type="dxa"/>
            <w:vAlign w:val="center"/>
          </w:tcPr>
          <w:p w:rsidR="00BA67D2" w:rsidRDefault="005C29FD">
            <w:pPr>
              <w:jc w:val="center"/>
            </w:pPr>
            <w:r>
              <w:rPr>
                <w:color w:val="000000"/>
                <w:sz w:val="24"/>
              </w:rPr>
              <w:t>3</w:t>
            </w:r>
          </w:p>
        </w:tc>
        <w:tc>
          <w:tcPr>
            <w:tcW w:w="1533" w:type="dxa"/>
            <w:vAlign w:val="center"/>
          </w:tcPr>
          <w:p w:rsidR="00BA67D2" w:rsidRDefault="005C29FD">
            <w:pPr>
              <w:jc w:val="center"/>
            </w:pPr>
            <w:r>
              <w:rPr>
                <w:color w:val="000000"/>
                <w:sz w:val="24"/>
              </w:rPr>
              <w:t>041355016</w:t>
            </w:r>
          </w:p>
        </w:tc>
        <w:tc>
          <w:tcPr>
            <w:tcW w:w="1533" w:type="dxa"/>
            <w:vAlign w:val="center"/>
          </w:tcPr>
          <w:p w:rsidR="00BA67D2" w:rsidRDefault="005C29FD">
            <w:pPr>
              <w:jc w:val="center"/>
            </w:pPr>
            <w:r>
              <w:rPr>
                <w:color w:val="000000"/>
                <w:sz w:val="24"/>
              </w:rPr>
              <w:t>13</w:t>
            </w:r>
            <w:r>
              <w:rPr>
                <w:color w:val="000000"/>
                <w:sz w:val="24"/>
              </w:rPr>
              <w:t>宝钢包装</w:t>
            </w:r>
            <w:r>
              <w:rPr>
                <w:color w:val="000000"/>
                <w:sz w:val="24"/>
              </w:rPr>
              <w:t>CP001</w:t>
            </w:r>
          </w:p>
        </w:tc>
        <w:tc>
          <w:tcPr>
            <w:tcW w:w="1394" w:type="dxa"/>
            <w:vAlign w:val="center"/>
          </w:tcPr>
          <w:p w:rsidR="00BA67D2" w:rsidRDefault="005C29FD">
            <w:pPr>
              <w:jc w:val="right"/>
            </w:pPr>
            <w:r>
              <w:rPr>
                <w:color w:val="000000"/>
                <w:sz w:val="24"/>
              </w:rPr>
              <w:t>100,000</w:t>
            </w:r>
          </w:p>
        </w:tc>
        <w:tc>
          <w:tcPr>
            <w:tcW w:w="1944" w:type="dxa"/>
            <w:vAlign w:val="center"/>
          </w:tcPr>
          <w:p w:rsidR="00BA67D2" w:rsidRDefault="005C29FD">
            <w:pPr>
              <w:jc w:val="right"/>
            </w:pPr>
            <w:r>
              <w:rPr>
                <w:color w:val="000000"/>
                <w:sz w:val="24"/>
              </w:rPr>
              <w:t>10,075,000.00</w:t>
            </w:r>
          </w:p>
        </w:tc>
        <w:tc>
          <w:tcPr>
            <w:tcW w:w="1389" w:type="dxa"/>
            <w:vAlign w:val="center"/>
          </w:tcPr>
          <w:p w:rsidR="00BA67D2" w:rsidRDefault="005C29FD">
            <w:pPr>
              <w:jc w:val="right"/>
            </w:pPr>
            <w:r>
              <w:rPr>
                <w:color w:val="000000"/>
                <w:sz w:val="24"/>
              </w:rPr>
              <w:t>7.29</w:t>
            </w:r>
          </w:p>
        </w:tc>
      </w:tr>
      <w:tr w:rsidR="00BA67D2">
        <w:trPr>
          <w:jc w:val="center"/>
        </w:trPr>
        <w:tc>
          <w:tcPr>
            <w:tcW w:w="1075" w:type="dxa"/>
            <w:vAlign w:val="center"/>
          </w:tcPr>
          <w:p w:rsidR="00BA67D2" w:rsidRDefault="005C29FD">
            <w:pPr>
              <w:jc w:val="center"/>
            </w:pPr>
            <w:r>
              <w:rPr>
                <w:color w:val="000000"/>
                <w:sz w:val="24"/>
              </w:rPr>
              <w:t>4</w:t>
            </w:r>
          </w:p>
        </w:tc>
        <w:tc>
          <w:tcPr>
            <w:tcW w:w="1533" w:type="dxa"/>
            <w:vAlign w:val="center"/>
          </w:tcPr>
          <w:p w:rsidR="00BA67D2" w:rsidRDefault="005C29FD">
            <w:pPr>
              <w:jc w:val="center"/>
            </w:pPr>
            <w:r>
              <w:rPr>
                <w:color w:val="000000"/>
                <w:sz w:val="24"/>
              </w:rPr>
              <w:t>101360018</w:t>
            </w:r>
          </w:p>
        </w:tc>
        <w:tc>
          <w:tcPr>
            <w:tcW w:w="1533" w:type="dxa"/>
            <w:vAlign w:val="center"/>
          </w:tcPr>
          <w:p w:rsidR="00BA67D2" w:rsidRDefault="005C29FD">
            <w:pPr>
              <w:jc w:val="center"/>
            </w:pPr>
            <w:r>
              <w:rPr>
                <w:color w:val="000000"/>
                <w:sz w:val="24"/>
              </w:rPr>
              <w:t>13</w:t>
            </w:r>
            <w:r>
              <w:rPr>
                <w:color w:val="000000"/>
                <w:sz w:val="24"/>
              </w:rPr>
              <w:t>乌城投</w:t>
            </w:r>
            <w:r>
              <w:rPr>
                <w:color w:val="000000"/>
                <w:sz w:val="24"/>
              </w:rPr>
              <w:t>MTN001</w:t>
            </w:r>
          </w:p>
        </w:tc>
        <w:tc>
          <w:tcPr>
            <w:tcW w:w="1394" w:type="dxa"/>
            <w:vAlign w:val="center"/>
          </w:tcPr>
          <w:p w:rsidR="00BA67D2" w:rsidRDefault="005C29FD">
            <w:pPr>
              <w:jc w:val="right"/>
            </w:pPr>
            <w:r>
              <w:rPr>
                <w:color w:val="000000"/>
                <w:sz w:val="24"/>
              </w:rPr>
              <w:t>100,000</w:t>
            </w:r>
          </w:p>
        </w:tc>
        <w:tc>
          <w:tcPr>
            <w:tcW w:w="1944" w:type="dxa"/>
            <w:vAlign w:val="center"/>
          </w:tcPr>
          <w:p w:rsidR="00BA67D2" w:rsidRDefault="005C29FD">
            <w:pPr>
              <w:jc w:val="right"/>
            </w:pPr>
            <w:r>
              <w:rPr>
                <w:color w:val="000000"/>
                <w:sz w:val="24"/>
              </w:rPr>
              <w:t>10,056,000.00</w:t>
            </w:r>
          </w:p>
        </w:tc>
        <w:tc>
          <w:tcPr>
            <w:tcW w:w="1389" w:type="dxa"/>
            <w:vAlign w:val="center"/>
          </w:tcPr>
          <w:p w:rsidR="00BA67D2" w:rsidRDefault="005C29FD">
            <w:pPr>
              <w:jc w:val="right"/>
            </w:pPr>
            <w:r>
              <w:rPr>
                <w:color w:val="000000"/>
                <w:sz w:val="24"/>
              </w:rPr>
              <w:t>7.28</w:t>
            </w:r>
          </w:p>
        </w:tc>
      </w:tr>
      <w:tr w:rsidR="00BA67D2">
        <w:trPr>
          <w:jc w:val="center"/>
        </w:trPr>
        <w:tc>
          <w:tcPr>
            <w:tcW w:w="1075" w:type="dxa"/>
            <w:vAlign w:val="center"/>
          </w:tcPr>
          <w:p w:rsidR="00BA67D2" w:rsidRDefault="005C29FD">
            <w:pPr>
              <w:jc w:val="center"/>
            </w:pPr>
            <w:r>
              <w:rPr>
                <w:color w:val="000000"/>
                <w:sz w:val="24"/>
              </w:rPr>
              <w:t>5</w:t>
            </w:r>
          </w:p>
        </w:tc>
        <w:tc>
          <w:tcPr>
            <w:tcW w:w="1533" w:type="dxa"/>
            <w:vAlign w:val="center"/>
          </w:tcPr>
          <w:p w:rsidR="00BA67D2" w:rsidRDefault="005C29FD">
            <w:pPr>
              <w:jc w:val="center"/>
            </w:pPr>
            <w:r>
              <w:rPr>
                <w:color w:val="000000"/>
                <w:sz w:val="24"/>
              </w:rPr>
              <w:t>041459013</w:t>
            </w:r>
          </w:p>
        </w:tc>
        <w:tc>
          <w:tcPr>
            <w:tcW w:w="1533" w:type="dxa"/>
            <w:vAlign w:val="center"/>
          </w:tcPr>
          <w:p w:rsidR="00BA67D2" w:rsidRDefault="005C29FD">
            <w:pPr>
              <w:jc w:val="center"/>
            </w:pPr>
            <w:r>
              <w:rPr>
                <w:color w:val="000000"/>
                <w:sz w:val="24"/>
              </w:rPr>
              <w:t>14</w:t>
            </w:r>
            <w:r>
              <w:rPr>
                <w:color w:val="000000"/>
                <w:sz w:val="24"/>
              </w:rPr>
              <w:t>海淀国资</w:t>
            </w:r>
            <w:r>
              <w:rPr>
                <w:color w:val="000000"/>
                <w:sz w:val="24"/>
              </w:rPr>
              <w:t>CP001</w:t>
            </w:r>
          </w:p>
        </w:tc>
        <w:tc>
          <w:tcPr>
            <w:tcW w:w="1394" w:type="dxa"/>
            <w:vAlign w:val="center"/>
          </w:tcPr>
          <w:p w:rsidR="00BA67D2" w:rsidRDefault="005C29FD">
            <w:pPr>
              <w:jc w:val="right"/>
            </w:pPr>
            <w:r>
              <w:rPr>
                <w:color w:val="000000"/>
                <w:sz w:val="24"/>
              </w:rPr>
              <w:t>100,000</w:t>
            </w:r>
          </w:p>
        </w:tc>
        <w:tc>
          <w:tcPr>
            <w:tcW w:w="1944" w:type="dxa"/>
            <w:vAlign w:val="center"/>
          </w:tcPr>
          <w:p w:rsidR="00BA67D2" w:rsidRDefault="005C29FD">
            <w:pPr>
              <w:jc w:val="right"/>
            </w:pPr>
            <w:r>
              <w:rPr>
                <w:color w:val="000000"/>
                <w:sz w:val="24"/>
              </w:rPr>
              <w:t>10,016,000.00</w:t>
            </w:r>
          </w:p>
        </w:tc>
        <w:tc>
          <w:tcPr>
            <w:tcW w:w="1389" w:type="dxa"/>
            <w:vAlign w:val="center"/>
          </w:tcPr>
          <w:p w:rsidR="00BA67D2" w:rsidRDefault="005C29FD">
            <w:pPr>
              <w:jc w:val="right"/>
            </w:pPr>
            <w:r>
              <w:rPr>
                <w:color w:val="000000"/>
                <w:sz w:val="24"/>
              </w:rPr>
              <w:t>7.25</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6232DA">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61982">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61982">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61982">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61982">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61982">
      <w:pPr>
        <w:autoSpaceDE w:val="0"/>
        <w:autoSpaceDN w:val="0"/>
        <w:adjustRightInd w:val="0"/>
        <w:spacing w:before="29" w:line="288" w:lineRule="auto"/>
        <w:jc w:val="left"/>
        <w:rPr>
          <w:b/>
          <w:sz w:val="24"/>
        </w:rPr>
      </w:pPr>
    </w:p>
    <w:p w:rsidR="00A7062E" w:rsidRPr="007F52FA" w:rsidRDefault="001D5CD0" w:rsidP="00761982">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61982">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Ind w:w="15" w:type="dxa"/>
        <w:tblLook w:val="04A0"/>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14,266.37</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2,914,230.85</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398.41</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2,928,895.63</w:t>
            </w:r>
          </w:p>
        </w:tc>
      </w:tr>
    </w:tbl>
    <w:p w:rsidR="001D5CD0" w:rsidRPr="007F52FA" w:rsidRDefault="001D5CD0" w:rsidP="00761982">
      <w:pPr>
        <w:autoSpaceDE w:val="0"/>
        <w:autoSpaceDN w:val="0"/>
        <w:adjustRightInd w:val="0"/>
        <w:spacing w:before="29" w:line="288" w:lineRule="auto"/>
        <w:jc w:val="left"/>
        <w:rPr>
          <w:sz w:val="24"/>
        </w:rPr>
      </w:pPr>
    </w:p>
    <w:p w:rsidR="001D5CD0" w:rsidRPr="007F52FA" w:rsidRDefault="001D5CD0" w:rsidP="00761982">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Ind w:w="15" w:type="dxa"/>
        <w:tblCellMar>
          <w:top w:w="57" w:type="dxa"/>
          <w:bottom w:w="57" w:type="dxa"/>
        </w:tblCellMar>
        <w:tblLook w:val="04A0"/>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61982">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A67D2">
        <w:trPr>
          <w:jc w:val="center"/>
        </w:trPr>
        <w:tc>
          <w:tcPr>
            <w:tcW w:w="0" w:type="auto"/>
            <w:vAlign w:val="center"/>
          </w:tcPr>
          <w:p w:rsidR="00BA67D2" w:rsidRDefault="005C29FD">
            <w:pPr>
              <w:jc w:val="center"/>
            </w:pPr>
            <w:r>
              <w:rPr>
                <w:rFonts w:eastAsiaTheme="minorEastAsia"/>
                <w:color w:val="000000"/>
                <w:sz w:val="24"/>
              </w:rPr>
              <w:t>1</w:t>
            </w:r>
          </w:p>
        </w:tc>
        <w:tc>
          <w:tcPr>
            <w:tcW w:w="0" w:type="auto"/>
            <w:vAlign w:val="center"/>
          </w:tcPr>
          <w:p w:rsidR="00BA67D2" w:rsidRDefault="005C29FD">
            <w:pPr>
              <w:jc w:val="center"/>
            </w:pPr>
            <w:r>
              <w:rPr>
                <w:rFonts w:eastAsiaTheme="minorEastAsia"/>
                <w:color w:val="000000"/>
                <w:sz w:val="24"/>
              </w:rPr>
              <w:t>110024</w:t>
            </w:r>
          </w:p>
        </w:tc>
        <w:tc>
          <w:tcPr>
            <w:tcW w:w="0" w:type="auto"/>
            <w:vAlign w:val="center"/>
          </w:tcPr>
          <w:p w:rsidR="00BA67D2" w:rsidRDefault="005C29FD">
            <w:pPr>
              <w:jc w:val="center"/>
            </w:pPr>
            <w:r>
              <w:rPr>
                <w:rFonts w:eastAsiaTheme="minorEastAsia"/>
                <w:color w:val="000000"/>
                <w:sz w:val="24"/>
              </w:rPr>
              <w:t>隧道转债</w:t>
            </w:r>
          </w:p>
        </w:tc>
        <w:tc>
          <w:tcPr>
            <w:tcW w:w="0" w:type="auto"/>
            <w:vAlign w:val="center"/>
          </w:tcPr>
          <w:p w:rsidR="00BA67D2" w:rsidRDefault="005C29FD">
            <w:pPr>
              <w:jc w:val="right"/>
            </w:pPr>
            <w:r>
              <w:rPr>
                <w:rFonts w:eastAsiaTheme="minorEastAsia"/>
                <w:color w:val="000000"/>
                <w:sz w:val="24"/>
              </w:rPr>
              <w:t>1,034,100.00</w:t>
            </w:r>
          </w:p>
        </w:tc>
        <w:tc>
          <w:tcPr>
            <w:tcW w:w="0" w:type="auto"/>
            <w:vAlign w:val="center"/>
          </w:tcPr>
          <w:p w:rsidR="00BA67D2" w:rsidRDefault="005C29FD">
            <w:pPr>
              <w:jc w:val="right"/>
            </w:pPr>
            <w:r>
              <w:rPr>
                <w:rFonts w:eastAsiaTheme="minorEastAsia"/>
                <w:color w:val="000000"/>
                <w:sz w:val="24"/>
              </w:rPr>
              <w:t>0.75</w:t>
            </w:r>
          </w:p>
        </w:tc>
      </w:tr>
      <w:tr w:rsidR="00BA67D2">
        <w:trPr>
          <w:jc w:val="center"/>
        </w:trPr>
        <w:tc>
          <w:tcPr>
            <w:tcW w:w="0" w:type="auto"/>
            <w:vAlign w:val="center"/>
          </w:tcPr>
          <w:p w:rsidR="00BA67D2" w:rsidRDefault="005C29FD">
            <w:pPr>
              <w:jc w:val="center"/>
            </w:pPr>
            <w:r>
              <w:rPr>
                <w:rFonts w:eastAsiaTheme="minorEastAsia"/>
                <w:color w:val="000000"/>
                <w:sz w:val="24"/>
              </w:rPr>
              <w:t>2</w:t>
            </w:r>
          </w:p>
        </w:tc>
        <w:tc>
          <w:tcPr>
            <w:tcW w:w="0" w:type="auto"/>
            <w:vAlign w:val="center"/>
          </w:tcPr>
          <w:p w:rsidR="00BA67D2" w:rsidRDefault="005C29FD">
            <w:pPr>
              <w:jc w:val="center"/>
            </w:pPr>
            <w:r>
              <w:rPr>
                <w:rFonts w:eastAsiaTheme="minorEastAsia"/>
                <w:color w:val="000000"/>
                <w:sz w:val="24"/>
              </w:rPr>
              <w:t>110023</w:t>
            </w:r>
          </w:p>
        </w:tc>
        <w:tc>
          <w:tcPr>
            <w:tcW w:w="0" w:type="auto"/>
            <w:vAlign w:val="center"/>
          </w:tcPr>
          <w:p w:rsidR="00BA67D2" w:rsidRDefault="005C29FD">
            <w:pPr>
              <w:jc w:val="center"/>
            </w:pPr>
            <w:r>
              <w:rPr>
                <w:rFonts w:eastAsiaTheme="minorEastAsia"/>
                <w:color w:val="000000"/>
                <w:sz w:val="24"/>
              </w:rPr>
              <w:t>民生转债</w:t>
            </w:r>
          </w:p>
        </w:tc>
        <w:tc>
          <w:tcPr>
            <w:tcW w:w="0" w:type="auto"/>
            <w:vAlign w:val="center"/>
          </w:tcPr>
          <w:p w:rsidR="00BA67D2" w:rsidRDefault="005C29FD">
            <w:pPr>
              <w:jc w:val="right"/>
            </w:pPr>
            <w:r>
              <w:rPr>
                <w:rFonts w:eastAsiaTheme="minorEastAsia"/>
                <w:color w:val="000000"/>
                <w:sz w:val="24"/>
              </w:rPr>
              <w:t>442,550.00</w:t>
            </w:r>
          </w:p>
        </w:tc>
        <w:tc>
          <w:tcPr>
            <w:tcW w:w="0" w:type="auto"/>
            <w:vAlign w:val="center"/>
          </w:tcPr>
          <w:p w:rsidR="00BA67D2" w:rsidRDefault="005C29FD">
            <w:pPr>
              <w:jc w:val="right"/>
            </w:pPr>
            <w:r>
              <w:rPr>
                <w:rFonts w:eastAsiaTheme="minorEastAsia"/>
                <w:color w:val="000000"/>
                <w:sz w:val="24"/>
              </w:rPr>
              <w:t>0.32</w:t>
            </w:r>
          </w:p>
        </w:tc>
      </w:tr>
    </w:tbl>
    <w:p w:rsidR="001D5CD0" w:rsidRPr="007F52FA" w:rsidRDefault="001D5CD0"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本基金本报告期末前十名股票中不存在流通受限的情况。</w:t>
      </w:r>
    </w:p>
    <w:p w:rsidR="001D5CD0" w:rsidRPr="007F52FA" w:rsidRDefault="001D5CD0" w:rsidP="00761982">
      <w:pPr>
        <w:spacing w:before="29" w:line="288" w:lineRule="auto"/>
        <w:rPr>
          <w:rFonts w:eastAsiaTheme="minorEastAsia"/>
          <w:sz w:val="24"/>
        </w:rPr>
      </w:pPr>
    </w:p>
    <w:p w:rsidR="001D5CD0" w:rsidRPr="007F52FA" w:rsidRDefault="001D5CD0" w:rsidP="00761982">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691393">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DA27AC">
      <w:pPr>
        <w:spacing w:before="29" w:line="288" w:lineRule="auto"/>
        <w:rPr>
          <w:rFonts w:eastAsiaTheme="minorEastAsia"/>
          <w:color w:val="000000"/>
          <w:sz w:val="24"/>
        </w:rPr>
      </w:pPr>
    </w:p>
    <w:p w:rsidR="009238DB" w:rsidRPr="007F52FA" w:rsidRDefault="009238DB" w:rsidP="00F06599">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61982">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5000" w:type="pct"/>
        <w:jc w:val="center"/>
        <w:tblLook w:val="0000"/>
      </w:tblPr>
      <w:tblGrid>
        <w:gridCol w:w="3085"/>
        <w:gridCol w:w="3118"/>
        <w:gridCol w:w="3039"/>
      </w:tblGrid>
      <w:tr w:rsidR="009B36F6" w:rsidRPr="007F52FA" w:rsidTr="009B36F6">
        <w:trPr>
          <w:jc w:val="center"/>
        </w:trPr>
        <w:tc>
          <w:tcPr>
            <w:tcW w:w="1669"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1687"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1644"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B36F6" w:rsidRPr="007F52FA" w:rsidTr="009B36F6">
        <w:trPr>
          <w:jc w:val="center"/>
        </w:trPr>
        <w:tc>
          <w:tcPr>
            <w:tcW w:w="1669"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1687"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165,860,827.96</w:t>
            </w:r>
          </w:p>
        </w:tc>
        <w:tc>
          <w:tcPr>
            <w:tcW w:w="1644"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28,522,440.95</w:t>
            </w:r>
          </w:p>
        </w:tc>
      </w:tr>
      <w:tr w:rsidR="009B36F6" w:rsidRPr="007F52FA" w:rsidTr="009B36F6">
        <w:trPr>
          <w:jc w:val="center"/>
        </w:trPr>
        <w:tc>
          <w:tcPr>
            <w:tcW w:w="1669"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1687"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55,858.33</w:t>
            </w:r>
          </w:p>
        </w:tc>
        <w:tc>
          <w:tcPr>
            <w:tcW w:w="1644"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400,710.39</w:t>
            </w:r>
          </w:p>
        </w:tc>
      </w:tr>
      <w:tr w:rsidR="009B36F6" w:rsidRPr="007F52FA" w:rsidTr="009B36F6">
        <w:trPr>
          <w:jc w:val="center"/>
        </w:trPr>
        <w:tc>
          <w:tcPr>
            <w:tcW w:w="1669"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1687"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47,633,655.75</w:t>
            </w:r>
          </w:p>
        </w:tc>
        <w:tc>
          <w:tcPr>
            <w:tcW w:w="1644"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12,346,461.64</w:t>
            </w:r>
          </w:p>
        </w:tc>
      </w:tr>
      <w:tr w:rsidR="009B36F6" w:rsidRPr="007F52FA" w:rsidTr="009B36F6">
        <w:trPr>
          <w:jc w:val="center"/>
        </w:trPr>
        <w:tc>
          <w:tcPr>
            <w:tcW w:w="1669"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1687"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1644"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B36F6" w:rsidRPr="007F52FA" w:rsidTr="009B36F6">
        <w:trPr>
          <w:jc w:val="center"/>
        </w:trPr>
        <w:tc>
          <w:tcPr>
            <w:tcW w:w="1669"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1687"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118,283,030.54</w:t>
            </w:r>
          </w:p>
        </w:tc>
        <w:tc>
          <w:tcPr>
            <w:tcW w:w="1644"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16,576,689.70</w:t>
            </w:r>
          </w:p>
        </w:tc>
      </w:tr>
    </w:tbl>
    <w:p w:rsidR="00BA67D2" w:rsidRDefault="005C29F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000000" w:rsidRDefault="00FB3C94">
      <w:pPr>
        <w:autoSpaceDE w:val="0"/>
        <w:autoSpaceDN w:val="0"/>
        <w:adjustRightInd w:val="0"/>
        <w:spacing w:before="29" w:line="288" w:lineRule="auto"/>
        <w:ind w:firstLineChars="225" w:firstLine="54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61982">
      <w:pPr>
        <w:autoSpaceDE w:val="0"/>
        <w:autoSpaceDN w:val="0"/>
        <w:adjustRightInd w:val="0"/>
        <w:spacing w:before="29" w:line="288" w:lineRule="auto"/>
        <w:jc w:val="left"/>
        <w:rPr>
          <w:rFonts w:eastAsiaTheme="minorEastAsia"/>
          <w:color w:val="000000"/>
          <w:sz w:val="24"/>
        </w:rPr>
      </w:pPr>
    </w:p>
    <w:p w:rsidR="000673DA" w:rsidRPr="000673DA" w:rsidRDefault="000673DA" w:rsidP="00F06599">
      <w:pPr>
        <w:pStyle w:val="1"/>
        <w:tabs>
          <w:tab w:val="center" w:pos="4156"/>
          <w:tab w:val="right" w:pos="8312"/>
        </w:tabs>
        <w:spacing w:beforeLines="100" w:afterLines="100" w:line="360"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0673DA">
      <w:pPr>
        <w:spacing w:line="360" w:lineRule="auto"/>
        <w:jc w:val="left"/>
        <w:rPr>
          <w:sz w:val="24"/>
        </w:rPr>
      </w:pPr>
      <w:r w:rsidRPr="000673DA">
        <w:rPr>
          <w:b/>
          <w:sz w:val="24"/>
        </w:rPr>
        <w:t xml:space="preserve">7.1 </w:t>
      </w:r>
      <w:r w:rsidRPr="000673DA">
        <w:rPr>
          <w:rFonts w:hAnsi="宋体"/>
          <w:b/>
          <w:sz w:val="24"/>
        </w:rPr>
        <w:t>基金管理人持有本基金份额变动情况</w:t>
      </w:r>
    </w:p>
    <w:p w:rsidR="008A3BCC" w:rsidRDefault="000673DA" w:rsidP="008A3BCC">
      <w:pPr>
        <w:autoSpaceDE w:val="0"/>
        <w:autoSpaceDN w:val="0"/>
        <w:adjustRightInd w:val="0"/>
        <w:spacing w:before="29" w:line="288" w:lineRule="auto"/>
        <w:jc w:val="left"/>
        <w:rPr>
          <w:color w:val="000000"/>
          <w:sz w:val="24"/>
        </w:rPr>
      </w:pPr>
      <w:r w:rsidRPr="000673DA">
        <w:rPr>
          <w:color w:val="000000"/>
          <w:sz w:val="24"/>
        </w:rPr>
        <w:lastRenderedPageBreak/>
        <w:t>本报告期内未发生基金管理人运用固有资金投资本基金的情况。</w:t>
      </w:r>
    </w:p>
    <w:p w:rsidR="00710349" w:rsidRDefault="00710349" w:rsidP="008A3BCC">
      <w:pPr>
        <w:autoSpaceDE w:val="0"/>
        <w:autoSpaceDN w:val="0"/>
        <w:adjustRightInd w:val="0"/>
        <w:spacing w:before="29" w:line="288" w:lineRule="auto"/>
        <w:jc w:val="left"/>
        <w:rPr>
          <w:b/>
          <w:sz w:val="24"/>
        </w:rPr>
      </w:pPr>
    </w:p>
    <w:p w:rsidR="00285618" w:rsidRDefault="000673DA" w:rsidP="008A3BCC">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Default="00F2646E" w:rsidP="00761982">
      <w:pPr>
        <w:autoSpaceDE w:val="0"/>
        <w:autoSpaceDN w:val="0"/>
        <w:adjustRightInd w:val="0"/>
        <w:spacing w:before="29" w:line="288" w:lineRule="auto"/>
        <w:jc w:val="left"/>
        <w:rPr>
          <w:rFonts w:eastAsiaTheme="minorEastAsia"/>
          <w:color w:val="000000"/>
          <w:sz w:val="24"/>
        </w:rPr>
      </w:pPr>
    </w:p>
    <w:p w:rsidR="000270AA" w:rsidRPr="00EA1349" w:rsidRDefault="000270AA" w:rsidP="00F06599">
      <w:pPr>
        <w:pStyle w:val="1"/>
        <w:spacing w:beforeLines="100" w:afterLines="100"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0270AA" w:rsidRPr="00FC5AFC" w:rsidRDefault="000270AA" w:rsidP="000270AA">
      <w:pPr>
        <w:autoSpaceDE w:val="0"/>
        <w:autoSpaceDN w:val="0"/>
        <w:adjustRightInd w:val="0"/>
        <w:spacing w:before="29" w:line="288" w:lineRule="auto"/>
        <w:ind w:firstLine="420"/>
        <w:jc w:val="left"/>
        <w:rPr>
          <w:color w:val="000000"/>
          <w:sz w:val="24"/>
        </w:rPr>
      </w:pPr>
      <w:r w:rsidRPr="00FC5AFC">
        <w:rPr>
          <w:rFonts w:hint="eastAsia"/>
          <w:color w:val="000000"/>
          <w:sz w:val="24"/>
        </w:rPr>
        <w:t>本基金托管人</w:t>
      </w:r>
      <w:r w:rsidRPr="00FC5AFC">
        <w:rPr>
          <w:color w:val="000000"/>
          <w:sz w:val="24"/>
        </w:rPr>
        <w:t>201</w:t>
      </w:r>
      <w:r w:rsidRPr="00FC5AFC">
        <w:rPr>
          <w:rFonts w:hint="eastAsia"/>
          <w:color w:val="000000"/>
          <w:sz w:val="24"/>
        </w:rPr>
        <w:t>4</w:t>
      </w:r>
      <w:r w:rsidRPr="00FC5AFC">
        <w:rPr>
          <w:rFonts w:hint="eastAsia"/>
          <w:color w:val="000000"/>
          <w:sz w:val="24"/>
        </w:rPr>
        <w:t>年</w:t>
      </w:r>
      <w:r w:rsidRPr="00FC5AFC">
        <w:rPr>
          <w:rFonts w:hint="eastAsia"/>
          <w:color w:val="000000"/>
          <w:sz w:val="24"/>
        </w:rPr>
        <w:t>2</w:t>
      </w:r>
      <w:r w:rsidRPr="00FC5AFC">
        <w:rPr>
          <w:rFonts w:hint="eastAsia"/>
          <w:color w:val="000000"/>
          <w:sz w:val="24"/>
        </w:rPr>
        <w:t>月</w:t>
      </w:r>
      <w:r w:rsidRPr="00FC5AFC">
        <w:rPr>
          <w:rFonts w:hint="eastAsia"/>
          <w:color w:val="000000"/>
          <w:sz w:val="24"/>
        </w:rPr>
        <w:t>7</w:t>
      </w:r>
      <w:r w:rsidRPr="00FC5AFC">
        <w:rPr>
          <w:rFonts w:hint="eastAsia"/>
          <w:color w:val="000000"/>
          <w:sz w:val="24"/>
        </w:rPr>
        <w:t>日发布任免通知，解聘尹东中国建设银行投资托管业务部总经理助理职务。</w:t>
      </w:r>
    </w:p>
    <w:p w:rsidR="000270AA" w:rsidRPr="000270AA" w:rsidRDefault="000270AA" w:rsidP="00761982">
      <w:pPr>
        <w:autoSpaceDE w:val="0"/>
        <w:autoSpaceDN w:val="0"/>
        <w:adjustRightInd w:val="0"/>
        <w:spacing w:before="29" w:line="288" w:lineRule="auto"/>
        <w:jc w:val="left"/>
        <w:rPr>
          <w:rFonts w:eastAsiaTheme="minorEastAsia"/>
          <w:color w:val="000000"/>
          <w:sz w:val="24"/>
        </w:rPr>
      </w:pPr>
    </w:p>
    <w:p w:rsidR="00000000" w:rsidRDefault="009238DB" w:rsidP="00F06599">
      <w:pPr>
        <w:pStyle w:val="1"/>
        <w:spacing w:beforeLines="100" w:afterLines="100" w:line="288" w:lineRule="auto"/>
        <w:jc w:val="center"/>
      </w:pPr>
      <w:r w:rsidRPr="007F52FA">
        <w:rPr>
          <w:rFonts w:eastAsiaTheme="minorEastAsia"/>
          <w:color w:val="000000"/>
          <w:kern w:val="0"/>
          <w:sz w:val="24"/>
          <w:szCs w:val="24"/>
        </w:rPr>
        <w:t>§</w:t>
      </w:r>
      <w:r w:rsidR="000270AA">
        <w:rPr>
          <w:rFonts w:eastAsiaTheme="minorEastAsia" w:hint="eastAsia"/>
          <w:color w:val="000000"/>
          <w:kern w:val="0"/>
          <w:sz w:val="24"/>
          <w:szCs w:val="24"/>
        </w:rPr>
        <w:t>9</w:t>
      </w:r>
      <w:r w:rsidR="000270AA"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0270AA"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0270AA"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0270AA" w:rsidP="00761982">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BA67D2" w:rsidRDefault="005C29F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4D36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4D36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AF3" w:rsidRDefault="00F22AF3">
      <w:r>
        <w:separator/>
      </w:r>
    </w:p>
  </w:endnote>
  <w:endnote w:type="continuationSeparator" w:id="1">
    <w:p w:rsidR="00F22AF3" w:rsidRDefault="00F22A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160F34">
      <w:rPr>
        <w:kern w:val="0"/>
        <w:szCs w:val="21"/>
      </w:rPr>
      <w:fldChar w:fldCharType="begin"/>
    </w:r>
    <w:r>
      <w:rPr>
        <w:kern w:val="0"/>
        <w:szCs w:val="21"/>
      </w:rPr>
      <w:instrText xml:space="preserve"> PAGE </w:instrText>
    </w:r>
    <w:r w:rsidR="00160F34">
      <w:rPr>
        <w:kern w:val="0"/>
        <w:szCs w:val="21"/>
      </w:rPr>
      <w:fldChar w:fldCharType="separate"/>
    </w:r>
    <w:r w:rsidR="00F06599">
      <w:rPr>
        <w:noProof/>
        <w:kern w:val="0"/>
        <w:szCs w:val="21"/>
      </w:rPr>
      <w:t>1</w:t>
    </w:r>
    <w:r w:rsidR="00160F34">
      <w:rPr>
        <w:kern w:val="0"/>
        <w:szCs w:val="21"/>
      </w:rPr>
      <w:fldChar w:fldCharType="end"/>
    </w:r>
    <w:r>
      <w:rPr>
        <w:rFonts w:hint="eastAsia"/>
        <w:kern w:val="0"/>
        <w:szCs w:val="21"/>
      </w:rPr>
      <w:t>页共</w:t>
    </w:r>
    <w:r w:rsidR="00160F34">
      <w:rPr>
        <w:kern w:val="0"/>
        <w:szCs w:val="21"/>
      </w:rPr>
      <w:fldChar w:fldCharType="begin"/>
    </w:r>
    <w:r>
      <w:rPr>
        <w:kern w:val="0"/>
        <w:szCs w:val="21"/>
      </w:rPr>
      <w:instrText xml:space="preserve"> NUMPAGES </w:instrText>
    </w:r>
    <w:r w:rsidR="00160F34">
      <w:rPr>
        <w:kern w:val="0"/>
        <w:szCs w:val="21"/>
      </w:rPr>
      <w:fldChar w:fldCharType="separate"/>
    </w:r>
    <w:r w:rsidR="00F06599">
      <w:rPr>
        <w:noProof/>
        <w:kern w:val="0"/>
        <w:szCs w:val="21"/>
      </w:rPr>
      <w:t>13</w:t>
    </w:r>
    <w:r w:rsidR="00160F34">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160F34">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AF3" w:rsidRDefault="00F22AF3">
      <w:r>
        <w:separator/>
      </w:r>
    </w:p>
  </w:footnote>
  <w:footnote w:type="continuationSeparator" w:id="1">
    <w:p w:rsidR="00F22AF3" w:rsidRDefault="00F22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160F3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270AA"/>
    <w:rsid w:val="0003564A"/>
    <w:rsid w:val="00037D4B"/>
    <w:rsid w:val="00042065"/>
    <w:rsid w:val="00043FD2"/>
    <w:rsid w:val="00045558"/>
    <w:rsid w:val="00045BA9"/>
    <w:rsid w:val="00047D87"/>
    <w:rsid w:val="000510AB"/>
    <w:rsid w:val="00051F42"/>
    <w:rsid w:val="00053FFD"/>
    <w:rsid w:val="00054E0B"/>
    <w:rsid w:val="00054F34"/>
    <w:rsid w:val="00056D5C"/>
    <w:rsid w:val="00061B0B"/>
    <w:rsid w:val="00061E09"/>
    <w:rsid w:val="00062C69"/>
    <w:rsid w:val="00062E1F"/>
    <w:rsid w:val="00064601"/>
    <w:rsid w:val="00064AE3"/>
    <w:rsid w:val="000673DA"/>
    <w:rsid w:val="0006750A"/>
    <w:rsid w:val="000700F1"/>
    <w:rsid w:val="0007263F"/>
    <w:rsid w:val="000728AC"/>
    <w:rsid w:val="000776C0"/>
    <w:rsid w:val="00077849"/>
    <w:rsid w:val="000803AD"/>
    <w:rsid w:val="000813D6"/>
    <w:rsid w:val="00081D05"/>
    <w:rsid w:val="000827CC"/>
    <w:rsid w:val="000871DB"/>
    <w:rsid w:val="000922C5"/>
    <w:rsid w:val="0009314F"/>
    <w:rsid w:val="00093A23"/>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0F34"/>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6645"/>
    <w:rsid w:val="00266E94"/>
    <w:rsid w:val="00267386"/>
    <w:rsid w:val="00267C2E"/>
    <w:rsid w:val="00267DA9"/>
    <w:rsid w:val="0027117B"/>
    <w:rsid w:val="00273E5C"/>
    <w:rsid w:val="00275FD0"/>
    <w:rsid w:val="00280514"/>
    <w:rsid w:val="002819E7"/>
    <w:rsid w:val="00282FF2"/>
    <w:rsid w:val="00283483"/>
    <w:rsid w:val="002844B5"/>
    <w:rsid w:val="0028459B"/>
    <w:rsid w:val="00285618"/>
    <w:rsid w:val="00286E62"/>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11ED"/>
    <w:rsid w:val="003B405E"/>
    <w:rsid w:val="003B4843"/>
    <w:rsid w:val="003B494E"/>
    <w:rsid w:val="003B5253"/>
    <w:rsid w:val="003B6C23"/>
    <w:rsid w:val="003C6E9E"/>
    <w:rsid w:val="003C792F"/>
    <w:rsid w:val="003D10D1"/>
    <w:rsid w:val="003D117A"/>
    <w:rsid w:val="003D36B2"/>
    <w:rsid w:val="003D42D5"/>
    <w:rsid w:val="003D656E"/>
    <w:rsid w:val="003D7826"/>
    <w:rsid w:val="003D78B5"/>
    <w:rsid w:val="003E0BD4"/>
    <w:rsid w:val="003E45B9"/>
    <w:rsid w:val="003E654C"/>
    <w:rsid w:val="003E6C5C"/>
    <w:rsid w:val="003E715F"/>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AD7"/>
    <w:rsid w:val="00415B04"/>
    <w:rsid w:val="00416A6B"/>
    <w:rsid w:val="004170FA"/>
    <w:rsid w:val="00417DA0"/>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DB2"/>
    <w:rsid w:val="00483271"/>
    <w:rsid w:val="0049210E"/>
    <w:rsid w:val="0049297D"/>
    <w:rsid w:val="0049327D"/>
    <w:rsid w:val="00493D04"/>
    <w:rsid w:val="0049405D"/>
    <w:rsid w:val="0049455C"/>
    <w:rsid w:val="00495A03"/>
    <w:rsid w:val="004A1BE1"/>
    <w:rsid w:val="004A63CB"/>
    <w:rsid w:val="004A67B0"/>
    <w:rsid w:val="004A6FB2"/>
    <w:rsid w:val="004B0847"/>
    <w:rsid w:val="004B087F"/>
    <w:rsid w:val="004B0E6D"/>
    <w:rsid w:val="004B16E8"/>
    <w:rsid w:val="004B4FE9"/>
    <w:rsid w:val="004C0541"/>
    <w:rsid w:val="004C241F"/>
    <w:rsid w:val="004C634A"/>
    <w:rsid w:val="004C660B"/>
    <w:rsid w:val="004D050C"/>
    <w:rsid w:val="004D23D9"/>
    <w:rsid w:val="004D3537"/>
    <w:rsid w:val="004D36DF"/>
    <w:rsid w:val="004D4D4E"/>
    <w:rsid w:val="004D614E"/>
    <w:rsid w:val="004D650F"/>
    <w:rsid w:val="004D7E11"/>
    <w:rsid w:val="004E2133"/>
    <w:rsid w:val="004E4E04"/>
    <w:rsid w:val="004F2EB4"/>
    <w:rsid w:val="004F521C"/>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7FA4"/>
    <w:rsid w:val="005536D4"/>
    <w:rsid w:val="00553EC8"/>
    <w:rsid w:val="005541AB"/>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99A"/>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29FD"/>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7C09"/>
    <w:rsid w:val="006B046C"/>
    <w:rsid w:val="006B252F"/>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E8A"/>
    <w:rsid w:val="00706046"/>
    <w:rsid w:val="00710349"/>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2E8B"/>
    <w:rsid w:val="007541BB"/>
    <w:rsid w:val="00754D62"/>
    <w:rsid w:val="00756CFF"/>
    <w:rsid w:val="00757FD7"/>
    <w:rsid w:val="00761982"/>
    <w:rsid w:val="00761B7A"/>
    <w:rsid w:val="007651E5"/>
    <w:rsid w:val="00765256"/>
    <w:rsid w:val="00766051"/>
    <w:rsid w:val="007661D4"/>
    <w:rsid w:val="007661FD"/>
    <w:rsid w:val="00766A7C"/>
    <w:rsid w:val="00767A27"/>
    <w:rsid w:val="0077111A"/>
    <w:rsid w:val="00774133"/>
    <w:rsid w:val="00775419"/>
    <w:rsid w:val="007763A5"/>
    <w:rsid w:val="0078105B"/>
    <w:rsid w:val="00782B50"/>
    <w:rsid w:val="00784FE0"/>
    <w:rsid w:val="007852D1"/>
    <w:rsid w:val="007858B1"/>
    <w:rsid w:val="0078648E"/>
    <w:rsid w:val="00791A3A"/>
    <w:rsid w:val="00791D9C"/>
    <w:rsid w:val="007936F3"/>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2A61"/>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C1D"/>
    <w:rsid w:val="009B36F6"/>
    <w:rsid w:val="009B4286"/>
    <w:rsid w:val="009B5BF9"/>
    <w:rsid w:val="009B5DAF"/>
    <w:rsid w:val="009B5F83"/>
    <w:rsid w:val="009B61C5"/>
    <w:rsid w:val="009B6A1E"/>
    <w:rsid w:val="009B769E"/>
    <w:rsid w:val="009C03E5"/>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617"/>
    <w:rsid w:val="00A05ACE"/>
    <w:rsid w:val="00A06788"/>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3B19"/>
    <w:rsid w:val="00A3498F"/>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645"/>
    <w:rsid w:val="00AE5D46"/>
    <w:rsid w:val="00AF1D6B"/>
    <w:rsid w:val="00AF1E98"/>
    <w:rsid w:val="00AF24AA"/>
    <w:rsid w:val="00AF3AF9"/>
    <w:rsid w:val="00AF3E5F"/>
    <w:rsid w:val="00AF4F09"/>
    <w:rsid w:val="00AF643E"/>
    <w:rsid w:val="00AF6F75"/>
    <w:rsid w:val="00AF79C8"/>
    <w:rsid w:val="00B00FA8"/>
    <w:rsid w:val="00B011B0"/>
    <w:rsid w:val="00B02963"/>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87C83"/>
    <w:rsid w:val="00B90452"/>
    <w:rsid w:val="00B90780"/>
    <w:rsid w:val="00B916D6"/>
    <w:rsid w:val="00B91AD8"/>
    <w:rsid w:val="00B9209B"/>
    <w:rsid w:val="00B9240D"/>
    <w:rsid w:val="00B95753"/>
    <w:rsid w:val="00B97E42"/>
    <w:rsid w:val="00BA0B2E"/>
    <w:rsid w:val="00BA0C05"/>
    <w:rsid w:val="00BA54D0"/>
    <w:rsid w:val="00BA67D2"/>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02A"/>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4D92"/>
    <w:rsid w:val="00C158BC"/>
    <w:rsid w:val="00C16739"/>
    <w:rsid w:val="00C17F3F"/>
    <w:rsid w:val="00C23BA2"/>
    <w:rsid w:val="00C260A2"/>
    <w:rsid w:val="00C30DEC"/>
    <w:rsid w:val="00C31142"/>
    <w:rsid w:val="00C312FA"/>
    <w:rsid w:val="00C31DEF"/>
    <w:rsid w:val="00C338EB"/>
    <w:rsid w:val="00C34790"/>
    <w:rsid w:val="00C35BB7"/>
    <w:rsid w:val="00C36B35"/>
    <w:rsid w:val="00C400CD"/>
    <w:rsid w:val="00C41617"/>
    <w:rsid w:val="00C41DA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4714"/>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AC7"/>
    <w:rsid w:val="00DB3588"/>
    <w:rsid w:val="00DB56EC"/>
    <w:rsid w:val="00DB704C"/>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304"/>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77627"/>
    <w:rsid w:val="00E8342F"/>
    <w:rsid w:val="00E838EF"/>
    <w:rsid w:val="00E84632"/>
    <w:rsid w:val="00E847EE"/>
    <w:rsid w:val="00E84F32"/>
    <w:rsid w:val="00E876F9"/>
    <w:rsid w:val="00E96A72"/>
    <w:rsid w:val="00E96B52"/>
    <w:rsid w:val="00EA01F7"/>
    <w:rsid w:val="00EA1D33"/>
    <w:rsid w:val="00EA1F5A"/>
    <w:rsid w:val="00EA375F"/>
    <w:rsid w:val="00EA3AD1"/>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3512"/>
    <w:rsid w:val="00F0433A"/>
    <w:rsid w:val="00F0519B"/>
    <w:rsid w:val="00F059D4"/>
    <w:rsid w:val="00F06599"/>
    <w:rsid w:val="00F06B82"/>
    <w:rsid w:val="00F11783"/>
    <w:rsid w:val="00F119AF"/>
    <w:rsid w:val="00F1480B"/>
    <w:rsid w:val="00F1498D"/>
    <w:rsid w:val="00F20065"/>
    <w:rsid w:val="00F2038E"/>
    <w:rsid w:val="00F22211"/>
    <w:rsid w:val="00F22297"/>
    <w:rsid w:val="00F22341"/>
    <w:rsid w:val="00F22AF3"/>
    <w:rsid w:val="00F22F1D"/>
    <w:rsid w:val="00F24039"/>
    <w:rsid w:val="00F24E0E"/>
    <w:rsid w:val="00F2646E"/>
    <w:rsid w:val="00F26693"/>
    <w:rsid w:val="00F32579"/>
    <w:rsid w:val="00F3477D"/>
    <w:rsid w:val="00F347FE"/>
    <w:rsid w:val="00F34859"/>
    <w:rsid w:val="00F356F7"/>
    <w:rsid w:val="00F40055"/>
    <w:rsid w:val="00F40868"/>
    <w:rsid w:val="00F40E14"/>
    <w:rsid w:val="00F44FDE"/>
    <w:rsid w:val="00F46467"/>
    <w:rsid w:val="00F4715C"/>
    <w:rsid w:val="00F47BA9"/>
    <w:rsid w:val="00F47FF8"/>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 w:val="00FF7E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99EB-4967-464E-9CBF-F7D38EEA8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135</TotalTime>
  <Pages>13</Pages>
  <Words>1131</Words>
  <Characters>6448</Characters>
  <Application>Microsoft Office Word</Application>
  <DocSecurity>0</DocSecurity>
  <Lines>53</Lines>
  <Paragraphs>15</Paragraphs>
  <ScaleCrop>false</ScaleCrop>
  <Company>TRT. Ltd. Co.</Company>
  <LinksUpToDate>false</LinksUpToDate>
  <CharactersWithSpaces>7564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275</cp:revision>
  <cp:lastPrinted>2007-07-19T00:46:00Z</cp:lastPrinted>
  <dcterms:created xsi:type="dcterms:W3CDTF">2014-01-17T06:19:00Z</dcterms:created>
  <dcterms:modified xsi:type="dcterms:W3CDTF">2014-04-16T12:49:00Z</dcterms:modified>
</cp:coreProperties>
</file>