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交银施罗德成长</w:t>
      </w:r>
      <w:r w:rsidRPr="00414345">
        <w:rPr>
          <w:b/>
          <w:sz w:val="24"/>
          <w:szCs w:val="24"/>
        </w:rPr>
        <w:t>30</w:t>
      </w:r>
      <w:r w:rsidRPr="00414345">
        <w:rPr>
          <w:b/>
          <w:sz w:val="24"/>
          <w:szCs w:val="24"/>
        </w:rPr>
        <w:t>股票型证券投资基金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基金托管人：中国建设银行股份有限公司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6A702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9760C" w:rsidRDefault="00253AB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6A702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996,948,266.78</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中信标普</w:t>
            </w:r>
            <w:r w:rsidRPr="00414345">
              <w:rPr>
                <w:color w:val="000000"/>
                <w:kern w:val="0"/>
                <w:sz w:val="24"/>
                <w:szCs w:val="24"/>
              </w:rPr>
              <w:lastRenderedPageBreak/>
              <w:t>全债指数收益率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本基金是一只股票型基金，以成长型股票为主要投资对象，风险与预期收益高于混合基金、债券基金和货币市场基金。属于承担较高风险、预期收益较高的证券投资基金品种。</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6A702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6796D" w:rsidRPr="00414345" w:rsidTr="00D6796D">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6796D" w:rsidRPr="00414345" w:rsidTr="00D6796D">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61,055,641.41</w:t>
            </w:r>
          </w:p>
        </w:tc>
      </w:tr>
      <w:tr w:rsidR="00D6796D" w:rsidRPr="00414345" w:rsidTr="00D6796D">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-12,077,786.59</w:t>
            </w:r>
          </w:p>
        </w:tc>
      </w:tr>
      <w:tr w:rsidR="00D6796D" w:rsidRPr="00414345" w:rsidTr="00D6796D">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-0.0100</w:t>
            </w:r>
          </w:p>
        </w:tc>
      </w:tr>
      <w:tr w:rsidR="00D6796D" w:rsidRPr="00414345" w:rsidTr="00D6796D">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989,352,061.97</w:t>
            </w:r>
          </w:p>
        </w:tc>
      </w:tr>
      <w:tr w:rsidR="00D6796D" w:rsidRPr="00414345" w:rsidTr="00D6796D">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0.992</w:t>
            </w:r>
          </w:p>
        </w:tc>
      </w:tr>
    </w:tbl>
    <w:p w:rsidR="00F9760C" w:rsidRDefault="00253AB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9760C">
        <w:trPr>
          <w:jc w:val="center"/>
        </w:trPr>
        <w:tc>
          <w:tcPr>
            <w:tcW w:w="1701" w:type="dxa"/>
            <w:vAlign w:val="center"/>
          </w:tcPr>
          <w:p w:rsidR="00F9760C" w:rsidRDefault="00253AB8">
            <w:pPr>
              <w:jc w:val="left"/>
            </w:pPr>
            <w:r>
              <w:rPr>
                <w:color w:val="000000"/>
                <w:sz w:val="24"/>
                <w:szCs w:val="24"/>
              </w:rPr>
              <w:t>过去三个月</w:t>
            </w:r>
          </w:p>
        </w:tc>
        <w:tc>
          <w:tcPr>
            <w:tcW w:w="1045" w:type="dxa"/>
            <w:vAlign w:val="center"/>
          </w:tcPr>
          <w:p w:rsidR="00F9760C" w:rsidRDefault="00253AB8">
            <w:pPr>
              <w:jc w:val="center"/>
            </w:pPr>
            <w:r>
              <w:rPr>
                <w:color w:val="000000"/>
                <w:sz w:val="24"/>
                <w:szCs w:val="24"/>
              </w:rPr>
              <w:t>-2.84%</w:t>
            </w:r>
          </w:p>
        </w:tc>
        <w:tc>
          <w:tcPr>
            <w:tcW w:w="1344" w:type="dxa"/>
            <w:vAlign w:val="center"/>
          </w:tcPr>
          <w:p w:rsidR="00F9760C" w:rsidRDefault="00253AB8">
            <w:pPr>
              <w:jc w:val="center"/>
            </w:pPr>
            <w:r>
              <w:rPr>
                <w:color w:val="000000"/>
                <w:sz w:val="24"/>
                <w:szCs w:val="24"/>
              </w:rPr>
              <w:t>1.15%</w:t>
            </w:r>
          </w:p>
        </w:tc>
        <w:tc>
          <w:tcPr>
            <w:tcW w:w="1194" w:type="dxa"/>
            <w:vAlign w:val="center"/>
          </w:tcPr>
          <w:p w:rsidR="00F9760C" w:rsidRDefault="00253AB8">
            <w:pPr>
              <w:jc w:val="center"/>
            </w:pPr>
            <w:r>
              <w:rPr>
                <w:color w:val="000000"/>
                <w:sz w:val="24"/>
                <w:szCs w:val="24"/>
              </w:rPr>
              <w:t>-5.20%</w:t>
            </w:r>
          </w:p>
        </w:tc>
        <w:tc>
          <w:tcPr>
            <w:tcW w:w="1492" w:type="dxa"/>
            <w:vAlign w:val="center"/>
          </w:tcPr>
          <w:p w:rsidR="00F9760C" w:rsidRDefault="00253AB8" w:rsidP="0007679A">
            <w:pPr>
              <w:jc w:val="center"/>
            </w:pPr>
            <w:r>
              <w:rPr>
                <w:color w:val="000000"/>
                <w:sz w:val="24"/>
                <w:szCs w:val="24"/>
              </w:rPr>
              <w:t>0.</w:t>
            </w:r>
            <w:r w:rsidR="0007679A">
              <w:rPr>
                <w:color w:val="000000"/>
                <w:sz w:val="24"/>
                <w:szCs w:val="24"/>
              </w:rPr>
              <w:t>9</w:t>
            </w:r>
            <w:r w:rsidR="0007679A">
              <w:rPr>
                <w:rFonts w:hint="eastAsia"/>
                <w:color w:val="000000"/>
                <w:sz w:val="24"/>
                <w:szCs w:val="24"/>
              </w:rPr>
              <w:t>8</w:t>
            </w:r>
            <w:r>
              <w:rPr>
                <w:color w:val="000000"/>
                <w:sz w:val="24"/>
                <w:szCs w:val="24"/>
              </w:rPr>
              <w:t>%</w:t>
            </w:r>
          </w:p>
        </w:tc>
        <w:tc>
          <w:tcPr>
            <w:tcW w:w="1194" w:type="dxa"/>
            <w:vAlign w:val="center"/>
          </w:tcPr>
          <w:p w:rsidR="00F9760C" w:rsidRDefault="00253AB8">
            <w:pPr>
              <w:jc w:val="center"/>
            </w:pPr>
            <w:r>
              <w:rPr>
                <w:color w:val="000000"/>
                <w:sz w:val="24"/>
                <w:szCs w:val="24"/>
              </w:rPr>
              <w:t>2.36%</w:t>
            </w:r>
          </w:p>
        </w:tc>
        <w:tc>
          <w:tcPr>
            <w:tcW w:w="898" w:type="dxa"/>
            <w:vAlign w:val="center"/>
          </w:tcPr>
          <w:p w:rsidR="00F9760C" w:rsidRDefault="00253AB8" w:rsidP="0099318A">
            <w:pPr>
              <w:jc w:val="center"/>
            </w:pPr>
            <w:r>
              <w:rPr>
                <w:color w:val="000000"/>
                <w:sz w:val="24"/>
                <w:szCs w:val="24"/>
              </w:rPr>
              <w:t>0.</w:t>
            </w:r>
            <w:r w:rsidR="0099318A">
              <w:rPr>
                <w:color w:val="000000"/>
                <w:sz w:val="24"/>
                <w:szCs w:val="24"/>
              </w:rPr>
              <w:t>1</w:t>
            </w:r>
            <w:r w:rsidR="0099318A">
              <w:rPr>
                <w:rFonts w:hint="eastAsia"/>
                <w:color w:val="000000"/>
                <w:sz w:val="24"/>
                <w:szCs w:val="24"/>
              </w:rPr>
              <w:t>7</w:t>
            </w:r>
            <w:r>
              <w:rPr>
                <w:color w:val="000000"/>
                <w:sz w:val="24"/>
                <w:szCs w:val="24"/>
              </w:rPr>
              <w:t>%</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lastRenderedPageBreak/>
        <w:t>交银施罗德成长</w:t>
      </w:r>
      <w:r w:rsidRPr="00414345">
        <w:rPr>
          <w:color w:val="000000"/>
          <w:sz w:val="24"/>
          <w:szCs w:val="24"/>
        </w:rPr>
        <w:t>30</w:t>
      </w:r>
      <w:r w:rsidRPr="00414345">
        <w:rPr>
          <w:color w:val="000000"/>
          <w:sz w:val="24"/>
          <w:szCs w:val="24"/>
        </w:rPr>
        <w:t>股票型证券投资基金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F53BE7" w:rsidP="00DA14B0">
      <w:pPr>
        <w:pStyle w:val="a5"/>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731510" cy="3351315"/>
            <wp:effectExtent l="19050" t="0" r="254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cstate="print"/>
                    <a:srcRect/>
                    <a:stretch>
                      <a:fillRect/>
                    </a:stretch>
                  </pic:blipFill>
                  <pic:spPr bwMode="auto">
                    <a:xfrm>
                      <a:off x="0" y="0"/>
                      <a:ext cx="5731510" cy="3351315"/>
                    </a:xfrm>
                    <a:prstGeom prst="rect">
                      <a:avLst/>
                    </a:prstGeom>
                    <a:noFill/>
                    <a:ln w="9525">
                      <a:noFill/>
                      <a:miter lim="800000"/>
                      <a:headEnd/>
                      <a:tailEnd/>
                    </a:ln>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2013</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5</w:t>
      </w:r>
      <w:r w:rsidRPr="00414345">
        <w:rPr>
          <w:color w:val="000000"/>
          <w:sz w:val="24"/>
          <w:szCs w:val="24"/>
        </w:rPr>
        <w:t>日，基金合同生效日至报告期期末，本基金运作时间未满一年。</w:t>
      </w:r>
      <w:r w:rsidRPr="00414345">
        <w:rPr>
          <w:color w:val="000000"/>
          <w:sz w:val="24"/>
          <w:szCs w:val="24"/>
        </w:rPr>
        <w:t xml:space="preserve"> </w:t>
      </w:r>
      <w:r w:rsidRPr="00414345">
        <w:rPr>
          <w:color w:val="000000"/>
          <w:sz w:val="24"/>
          <w:szCs w:val="24"/>
        </w:rPr>
        <w:t>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6A702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2"/>
        <w:gridCol w:w="880"/>
        <w:gridCol w:w="1614"/>
        <w:gridCol w:w="1614"/>
        <w:gridCol w:w="1466"/>
        <w:gridCol w:w="2786"/>
      </w:tblGrid>
      <w:tr w:rsidR="00286BEF" w:rsidRPr="00414345" w:rsidTr="00256972">
        <w:trPr>
          <w:trHeight w:val="292"/>
          <w:jc w:val="center"/>
        </w:trPr>
        <w:tc>
          <w:tcPr>
            <w:tcW w:w="477" w:type="pct"/>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476" w:type="pct"/>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1746" w:type="pct"/>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793" w:type="pct"/>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1507" w:type="pct"/>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256972">
        <w:trPr>
          <w:jc w:val="center"/>
        </w:trPr>
        <w:tc>
          <w:tcPr>
            <w:tcW w:w="477" w:type="pct"/>
            <w:vMerge/>
            <w:vAlign w:val="center"/>
          </w:tcPr>
          <w:p w:rsidR="004061AC" w:rsidRPr="00414345" w:rsidRDefault="004061AC" w:rsidP="00DA14B0">
            <w:pPr>
              <w:widowControl/>
              <w:spacing w:before="29" w:line="288" w:lineRule="auto"/>
              <w:jc w:val="left"/>
              <w:rPr>
                <w:color w:val="000000"/>
                <w:kern w:val="0"/>
                <w:sz w:val="24"/>
                <w:szCs w:val="24"/>
              </w:rPr>
            </w:pPr>
          </w:p>
        </w:tc>
        <w:tc>
          <w:tcPr>
            <w:tcW w:w="476" w:type="pct"/>
            <w:vMerge/>
            <w:vAlign w:val="center"/>
          </w:tcPr>
          <w:p w:rsidR="004061AC" w:rsidRPr="00414345" w:rsidRDefault="004061AC" w:rsidP="00DA14B0">
            <w:pPr>
              <w:widowControl/>
              <w:spacing w:before="29" w:line="288" w:lineRule="auto"/>
              <w:jc w:val="left"/>
              <w:rPr>
                <w:color w:val="000000"/>
                <w:kern w:val="0"/>
                <w:sz w:val="24"/>
                <w:szCs w:val="24"/>
              </w:rPr>
            </w:pPr>
          </w:p>
        </w:tc>
        <w:tc>
          <w:tcPr>
            <w:tcW w:w="873" w:type="pc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873" w:type="pc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793" w:type="pct"/>
            <w:vMerge/>
            <w:vAlign w:val="center"/>
          </w:tcPr>
          <w:p w:rsidR="004061AC" w:rsidRPr="00414345" w:rsidRDefault="004061AC" w:rsidP="00DA14B0">
            <w:pPr>
              <w:widowControl/>
              <w:spacing w:before="29" w:line="288" w:lineRule="auto"/>
              <w:jc w:val="left"/>
              <w:rPr>
                <w:color w:val="000000"/>
                <w:kern w:val="0"/>
                <w:sz w:val="24"/>
                <w:szCs w:val="24"/>
              </w:rPr>
            </w:pPr>
          </w:p>
        </w:tc>
        <w:tc>
          <w:tcPr>
            <w:tcW w:w="1507" w:type="pct"/>
            <w:vMerge/>
            <w:vAlign w:val="center"/>
          </w:tcPr>
          <w:p w:rsidR="004061AC" w:rsidRPr="00414345" w:rsidRDefault="004061AC" w:rsidP="00DA14B0">
            <w:pPr>
              <w:widowControl/>
              <w:spacing w:before="29" w:line="288" w:lineRule="auto"/>
              <w:jc w:val="left"/>
              <w:rPr>
                <w:color w:val="000000"/>
                <w:kern w:val="0"/>
                <w:sz w:val="24"/>
                <w:szCs w:val="24"/>
              </w:rPr>
            </w:pPr>
          </w:p>
        </w:tc>
      </w:tr>
      <w:tr w:rsidR="00F9760C" w:rsidTr="00256972">
        <w:trPr>
          <w:jc w:val="center"/>
        </w:trPr>
        <w:tc>
          <w:tcPr>
            <w:tcW w:w="477" w:type="pct"/>
            <w:vAlign w:val="center"/>
          </w:tcPr>
          <w:p w:rsidR="00F9760C" w:rsidRDefault="00253AB8">
            <w:pPr>
              <w:jc w:val="center"/>
            </w:pPr>
            <w:r>
              <w:rPr>
                <w:color w:val="000000"/>
                <w:sz w:val="24"/>
                <w:szCs w:val="24"/>
              </w:rPr>
              <w:t>管华雨</w:t>
            </w:r>
          </w:p>
        </w:tc>
        <w:tc>
          <w:tcPr>
            <w:tcW w:w="476" w:type="pct"/>
            <w:vAlign w:val="center"/>
          </w:tcPr>
          <w:p w:rsidR="00F9760C" w:rsidRDefault="00B1103B" w:rsidP="00BE0447">
            <w:pPr>
              <w:jc w:val="center"/>
            </w:pPr>
            <w:r w:rsidRPr="00B1103B">
              <w:rPr>
                <w:rFonts w:hint="eastAsia"/>
                <w:color w:val="000000"/>
                <w:sz w:val="24"/>
                <w:szCs w:val="24"/>
              </w:rPr>
              <w:t>本基金、交银成长股票、交银趋势股票的基金经理</w:t>
            </w:r>
            <w:r w:rsidR="00253AB8">
              <w:rPr>
                <w:color w:val="000000"/>
                <w:sz w:val="24"/>
                <w:szCs w:val="24"/>
              </w:rPr>
              <w:t>，公司权益投资总监</w:t>
            </w:r>
          </w:p>
        </w:tc>
        <w:tc>
          <w:tcPr>
            <w:tcW w:w="873" w:type="pct"/>
            <w:vAlign w:val="center"/>
          </w:tcPr>
          <w:p w:rsidR="00F9760C" w:rsidRDefault="00253AB8">
            <w:pPr>
              <w:jc w:val="center"/>
            </w:pPr>
            <w:r>
              <w:rPr>
                <w:color w:val="000000"/>
                <w:sz w:val="24"/>
                <w:szCs w:val="24"/>
              </w:rPr>
              <w:t>2013-06-05</w:t>
            </w:r>
          </w:p>
        </w:tc>
        <w:tc>
          <w:tcPr>
            <w:tcW w:w="873" w:type="pct"/>
            <w:vAlign w:val="center"/>
          </w:tcPr>
          <w:p w:rsidR="00F9760C" w:rsidRDefault="00253AB8">
            <w:pPr>
              <w:jc w:val="center"/>
            </w:pPr>
            <w:r>
              <w:rPr>
                <w:color w:val="000000"/>
                <w:sz w:val="24"/>
                <w:szCs w:val="24"/>
              </w:rPr>
              <w:t>-</w:t>
            </w:r>
          </w:p>
        </w:tc>
        <w:tc>
          <w:tcPr>
            <w:tcW w:w="793" w:type="pct"/>
            <w:vAlign w:val="center"/>
          </w:tcPr>
          <w:p w:rsidR="00F9760C" w:rsidRDefault="00253AB8">
            <w:pPr>
              <w:jc w:val="center"/>
            </w:pPr>
            <w:r>
              <w:rPr>
                <w:color w:val="000000"/>
                <w:sz w:val="24"/>
                <w:szCs w:val="24"/>
              </w:rPr>
              <w:t>12</w:t>
            </w:r>
            <w:r>
              <w:rPr>
                <w:color w:val="000000"/>
                <w:sz w:val="24"/>
                <w:szCs w:val="24"/>
              </w:rPr>
              <w:t>年</w:t>
            </w:r>
          </w:p>
        </w:tc>
        <w:tc>
          <w:tcPr>
            <w:tcW w:w="1507" w:type="pct"/>
            <w:vAlign w:val="center"/>
          </w:tcPr>
          <w:p w:rsidR="00F9760C" w:rsidRDefault="00253AB8">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p>
        </w:tc>
      </w:tr>
      <w:tr w:rsidR="00F9760C" w:rsidTr="00256972">
        <w:trPr>
          <w:jc w:val="center"/>
        </w:trPr>
        <w:tc>
          <w:tcPr>
            <w:tcW w:w="477" w:type="pct"/>
            <w:vAlign w:val="center"/>
          </w:tcPr>
          <w:p w:rsidR="00F9760C" w:rsidRDefault="00253AB8">
            <w:pPr>
              <w:jc w:val="center"/>
            </w:pPr>
            <w:r>
              <w:rPr>
                <w:color w:val="000000"/>
                <w:sz w:val="24"/>
                <w:szCs w:val="24"/>
              </w:rPr>
              <w:t>王少成</w:t>
            </w:r>
          </w:p>
        </w:tc>
        <w:tc>
          <w:tcPr>
            <w:tcW w:w="476" w:type="pct"/>
            <w:vAlign w:val="center"/>
          </w:tcPr>
          <w:p w:rsidR="00F9760C" w:rsidRDefault="00B1103B">
            <w:pPr>
              <w:jc w:val="center"/>
            </w:pPr>
            <w:r w:rsidRPr="00B1103B">
              <w:rPr>
                <w:rFonts w:hint="eastAsia"/>
                <w:color w:val="000000"/>
                <w:sz w:val="24"/>
                <w:szCs w:val="24"/>
              </w:rPr>
              <w:t>本基金、交银先锋股票、交银先进制造股票的基金经理</w:t>
            </w:r>
          </w:p>
        </w:tc>
        <w:tc>
          <w:tcPr>
            <w:tcW w:w="873" w:type="pct"/>
            <w:vAlign w:val="center"/>
          </w:tcPr>
          <w:p w:rsidR="00F9760C" w:rsidRDefault="00253AB8">
            <w:pPr>
              <w:jc w:val="center"/>
            </w:pPr>
            <w:r>
              <w:rPr>
                <w:color w:val="000000"/>
                <w:sz w:val="24"/>
                <w:szCs w:val="24"/>
              </w:rPr>
              <w:t>2013-07-02</w:t>
            </w:r>
          </w:p>
        </w:tc>
        <w:tc>
          <w:tcPr>
            <w:tcW w:w="873" w:type="pct"/>
            <w:vAlign w:val="center"/>
          </w:tcPr>
          <w:p w:rsidR="00F9760C" w:rsidRDefault="00253AB8">
            <w:pPr>
              <w:jc w:val="center"/>
            </w:pPr>
            <w:r>
              <w:rPr>
                <w:color w:val="000000"/>
                <w:sz w:val="24"/>
                <w:szCs w:val="24"/>
              </w:rPr>
              <w:t>-</w:t>
            </w:r>
          </w:p>
        </w:tc>
        <w:tc>
          <w:tcPr>
            <w:tcW w:w="793" w:type="pct"/>
            <w:vAlign w:val="center"/>
          </w:tcPr>
          <w:p w:rsidR="00F9760C" w:rsidRDefault="00253AB8">
            <w:pPr>
              <w:jc w:val="center"/>
            </w:pPr>
            <w:r>
              <w:rPr>
                <w:color w:val="000000"/>
                <w:sz w:val="24"/>
                <w:szCs w:val="24"/>
              </w:rPr>
              <w:t>10</w:t>
            </w:r>
            <w:r>
              <w:rPr>
                <w:color w:val="000000"/>
                <w:sz w:val="24"/>
                <w:szCs w:val="24"/>
              </w:rPr>
              <w:t>年</w:t>
            </w:r>
          </w:p>
        </w:tc>
        <w:tc>
          <w:tcPr>
            <w:tcW w:w="1507" w:type="pct"/>
            <w:vAlign w:val="center"/>
          </w:tcPr>
          <w:p w:rsidR="00F9760C" w:rsidRDefault="00253AB8">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9760C" w:rsidRDefault="00253AB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9760C" w:rsidRDefault="00253AB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9760C" w:rsidRDefault="00253AB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9760C" w:rsidRDefault="00253AB8">
      <w:pPr>
        <w:spacing w:before="29" w:line="288" w:lineRule="auto"/>
        <w:ind w:firstLineChars="200" w:firstLine="480"/>
        <w:rPr>
          <w:color w:val="000000"/>
          <w:sz w:val="24"/>
          <w:szCs w:val="24"/>
        </w:rPr>
      </w:pPr>
      <w:r>
        <w:rPr>
          <w:color w:val="000000"/>
          <w:sz w:val="24"/>
          <w:szCs w:val="24"/>
        </w:rPr>
        <w:t>2014</w:t>
      </w:r>
      <w:r>
        <w:rPr>
          <w:color w:val="000000"/>
          <w:sz w:val="24"/>
          <w:szCs w:val="24"/>
        </w:rPr>
        <w:t>年一季度沪深</w:t>
      </w:r>
      <w:r>
        <w:rPr>
          <w:color w:val="000000"/>
          <w:sz w:val="24"/>
          <w:szCs w:val="24"/>
        </w:rPr>
        <w:t>300</w:t>
      </w:r>
      <w:r>
        <w:rPr>
          <w:color w:val="000000"/>
          <w:sz w:val="24"/>
          <w:szCs w:val="24"/>
        </w:rPr>
        <w:t>指数下跌</w:t>
      </w:r>
      <w:r>
        <w:rPr>
          <w:color w:val="000000"/>
          <w:sz w:val="24"/>
          <w:szCs w:val="24"/>
        </w:rPr>
        <w:t>7.89%</w:t>
      </w:r>
      <w:r>
        <w:rPr>
          <w:color w:val="000000"/>
          <w:sz w:val="24"/>
          <w:szCs w:val="24"/>
        </w:rPr>
        <w:t>，本基金的业绩比较基准下跌</w:t>
      </w:r>
      <w:r>
        <w:rPr>
          <w:color w:val="000000"/>
          <w:sz w:val="24"/>
          <w:szCs w:val="24"/>
        </w:rPr>
        <w:t>5.20%</w:t>
      </w:r>
      <w:r>
        <w:rPr>
          <w:color w:val="000000"/>
          <w:sz w:val="24"/>
          <w:szCs w:val="24"/>
        </w:rPr>
        <w:t>，本基金净值下跌</w:t>
      </w:r>
      <w:r>
        <w:rPr>
          <w:color w:val="000000"/>
          <w:sz w:val="24"/>
          <w:szCs w:val="24"/>
        </w:rPr>
        <w:t>2.84%</w:t>
      </w:r>
      <w:r>
        <w:rPr>
          <w:color w:val="000000"/>
          <w:sz w:val="24"/>
          <w:szCs w:val="24"/>
        </w:rPr>
        <w:t>，跑赢沪深</w:t>
      </w:r>
      <w:r>
        <w:rPr>
          <w:color w:val="000000"/>
          <w:sz w:val="24"/>
          <w:szCs w:val="24"/>
        </w:rPr>
        <w:t>300</w:t>
      </w:r>
      <w:r>
        <w:rPr>
          <w:color w:val="000000"/>
          <w:sz w:val="24"/>
          <w:szCs w:val="24"/>
        </w:rPr>
        <w:t>指数和业绩比较基准。</w:t>
      </w:r>
    </w:p>
    <w:p w:rsidR="00F9760C" w:rsidRDefault="00253AB8">
      <w:pPr>
        <w:spacing w:before="29" w:line="288" w:lineRule="auto"/>
        <w:ind w:firstLineChars="200" w:firstLine="480"/>
        <w:rPr>
          <w:color w:val="000000"/>
          <w:sz w:val="24"/>
          <w:szCs w:val="24"/>
        </w:rPr>
      </w:pPr>
      <w:r>
        <w:rPr>
          <w:color w:val="000000"/>
          <w:sz w:val="24"/>
          <w:szCs w:val="24"/>
        </w:rPr>
        <w:t>2014</w:t>
      </w:r>
      <w:r>
        <w:rPr>
          <w:color w:val="000000"/>
          <w:sz w:val="24"/>
          <w:szCs w:val="24"/>
        </w:rPr>
        <w:t>年一季度</w:t>
      </w:r>
      <w:r>
        <w:rPr>
          <w:color w:val="000000"/>
          <w:sz w:val="24"/>
          <w:szCs w:val="24"/>
        </w:rPr>
        <w:t>A</w:t>
      </w:r>
      <w:r>
        <w:rPr>
          <w:color w:val="000000"/>
          <w:sz w:val="24"/>
          <w:szCs w:val="24"/>
        </w:rPr>
        <w:t>股市场先涨后跌。过去一年以来的中小市值股票的估值拉升，在一季度进入最后疯狂的阶段。对这一历史过程可以有很多理解，最具代表性的解释是新兴行业和主题才代表未来，传统行业都会是被颠覆的目标。本基金管理人也认同当下中国正在经历深刻的改革和转型，又恰逢移动互联网大潮，新的时代精神正在酝酿，以往经验和方法都需要重新检验其适用性。但不管怎样，即使是作为颠覆者出现的互联网公司其最终成败更多地也决定于商业本质和常识。对投资者来说，当面对未来大量不确定性的涌现，求助于常识和审慎的判断会显得更为重要。</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2014</w:t>
      </w:r>
      <w:r w:rsidRPr="00414345">
        <w:rPr>
          <w:color w:val="000000"/>
          <w:sz w:val="24"/>
          <w:szCs w:val="24"/>
        </w:rPr>
        <w:t>年二季度或将是全年布局的最佳时机。二季度虽然宏观经济风险因素会持续地暴露，</w:t>
      </w:r>
      <w:r w:rsidRPr="00414345">
        <w:rPr>
          <w:color w:val="000000"/>
          <w:sz w:val="24"/>
          <w:szCs w:val="24"/>
        </w:rPr>
        <w:t>A</w:t>
      </w:r>
      <w:r w:rsidRPr="00414345">
        <w:rPr>
          <w:color w:val="000000"/>
          <w:sz w:val="24"/>
          <w:szCs w:val="24"/>
        </w:rPr>
        <w:t>股市场投资者需要找到能跨越经济周期性波动的核心品种来度过市场的艰难时刻。从多方位的权衡和比较中，我们认为投资机会可能主要集中在移动互联网，环保和新型消费等相关行业板块中。</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0.992</w:t>
      </w:r>
      <w:r w:rsidRPr="00414345">
        <w:rPr>
          <w:color w:val="000000"/>
          <w:sz w:val="24"/>
          <w:szCs w:val="24"/>
        </w:rPr>
        <w:t>元，本报告期份额净值增长率为</w:t>
      </w:r>
      <w:r w:rsidRPr="00414345">
        <w:rPr>
          <w:color w:val="000000"/>
          <w:sz w:val="24"/>
          <w:szCs w:val="24"/>
        </w:rPr>
        <w:t>-2.84%</w:t>
      </w:r>
      <w:r w:rsidRPr="00414345">
        <w:rPr>
          <w:color w:val="000000"/>
          <w:sz w:val="24"/>
          <w:szCs w:val="24"/>
        </w:rPr>
        <w:t>，同期业绩比较基准增长率为</w:t>
      </w:r>
      <w:r w:rsidRPr="00414345">
        <w:rPr>
          <w:color w:val="000000"/>
          <w:sz w:val="24"/>
          <w:szCs w:val="24"/>
        </w:rPr>
        <w:t>-5.20%</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6A702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838,686,153.92</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84.40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838,686,153.92</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84.40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49,945,000.00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5.03</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49,945,000.00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5.03</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103,433,520.38</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10.41</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1,675,615.09</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0.17</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993,740,289.39</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2638" w:rsidRDefault="00531F10">
            <w:pPr>
              <w:spacing w:before="29" w:line="288" w:lineRule="auto"/>
              <w:jc w:val="right"/>
              <w:rPr>
                <w:b/>
                <w:bCs/>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694,734,413.28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70.22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43,031,216.44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41,608,619.36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2638" w:rsidRDefault="00531F10">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22,989,050.00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36,322,854.84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838,686,153.92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84.77</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9760C">
        <w:trPr>
          <w:jc w:val="center"/>
        </w:trPr>
        <w:tc>
          <w:tcPr>
            <w:tcW w:w="855" w:type="dxa"/>
            <w:vAlign w:val="center"/>
          </w:tcPr>
          <w:p w:rsidR="00F9760C" w:rsidRDefault="00253AB8">
            <w:pPr>
              <w:jc w:val="center"/>
            </w:pPr>
            <w:r>
              <w:rPr>
                <w:color w:val="000000"/>
                <w:sz w:val="24"/>
                <w:szCs w:val="24"/>
              </w:rPr>
              <w:t>1</w:t>
            </w:r>
          </w:p>
        </w:tc>
        <w:tc>
          <w:tcPr>
            <w:tcW w:w="1334" w:type="dxa"/>
            <w:vAlign w:val="center"/>
          </w:tcPr>
          <w:p w:rsidR="00F9760C" w:rsidRDefault="00253AB8">
            <w:pPr>
              <w:jc w:val="center"/>
            </w:pPr>
            <w:r>
              <w:rPr>
                <w:color w:val="000000"/>
                <w:sz w:val="24"/>
                <w:szCs w:val="24"/>
              </w:rPr>
              <w:t>600389</w:t>
            </w:r>
          </w:p>
        </w:tc>
        <w:tc>
          <w:tcPr>
            <w:tcW w:w="1777" w:type="dxa"/>
            <w:vAlign w:val="center"/>
          </w:tcPr>
          <w:p w:rsidR="00F9760C" w:rsidRDefault="00253AB8">
            <w:pPr>
              <w:jc w:val="center"/>
            </w:pPr>
            <w:r>
              <w:rPr>
                <w:color w:val="000000"/>
                <w:sz w:val="24"/>
                <w:szCs w:val="24"/>
              </w:rPr>
              <w:t>江山股份</w:t>
            </w:r>
          </w:p>
        </w:tc>
        <w:tc>
          <w:tcPr>
            <w:tcW w:w="1334" w:type="dxa"/>
            <w:vAlign w:val="center"/>
          </w:tcPr>
          <w:p w:rsidR="00F9760C" w:rsidRDefault="00253AB8">
            <w:pPr>
              <w:jc w:val="right"/>
            </w:pPr>
            <w:r>
              <w:rPr>
                <w:color w:val="000000"/>
                <w:sz w:val="24"/>
                <w:szCs w:val="24"/>
              </w:rPr>
              <w:t>2,602,226</w:t>
            </w:r>
          </w:p>
        </w:tc>
        <w:tc>
          <w:tcPr>
            <w:tcW w:w="1924" w:type="dxa"/>
            <w:vAlign w:val="center"/>
          </w:tcPr>
          <w:p w:rsidR="00F9760C" w:rsidRDefault="00253AB8">
            <w:pPr>
              <w:jc w:val="right"/>
            </w:pPr>
            <w:r>
              <w:rPr>
                <w:color w:val="000000"/>
                <w:sz w:val="24"/>
                <w:szCs w:val="24"/>
              </w:rPr>
              <w:t>97,895,742.12</w:t>
            </w:r>
          </w:p>
        </w:tc>
        <w:tc>
          <w:tcPr>
            <w:tcW w:w="1644" w:type="dxa"/>
            <w:vAlign w:val="center"/>
          </w:tcPr>
          <w:p w:rsidR="00F9760C" w:rsidRDefault="00253AB8">
            <w:pPr>
              <w:jc w:val="right"/>
            </w:pPr>
            <w:r>
              <w:rPr>
                <w:color w:val="000000"/>
                <w:sz w:val="24"/>
                <w:szCs w:val="24"/>
              </w:rPr>
              <w:t>9.89</w:t>
            </w:r>
          </w:p>
        </w:tc>
      </w:tr>
      <w:tr w:rsidR="00F9760C">
        <w:trPr>
          <w:jc w:val="center"/>
        </w:trPr>
        <w:tc>
          <w:tcPr>
            <w:tcW w:w="855" w:type="dxa"/>
            <w:vAlign w:val="center"/>
          </w:tcPr>
          <w:p w:rsidR="00F9760C" w:rsidRDefault="00253AB8">
            <w:pPr>
              <w:jc w:val="center"/>
            </w:pPr>
            <w:r>
              <w:rPr>
                <w:color w:val="000000"/>
                <w:sz w:val="24"/>
                <w:szCs w:val="24"/>
              </w:rPr>
              <w:t>2</w:t>
            </w:r>
          </w:p>
        </w:tc>
        <w:tc>
          <w:tcPr>
            <w:tcW w:w="1334" w:type="dxa"/>
            <w:vAlign w:val="center"/>
          </w:tcPr>
          <w:p w:rsidR="00F9760C" w:rsidRDefault="00253AB8">
            <w:pPr>
              <w:jc w:val="center"/>
            </w:pPr>
            <w:r>
              <w:rPr>
                <w:color w:val="000000"/>
                <w:sz w:val="24"/>
                <w:szCs w:val="24"/>
              </w:rPr>
              <w:t>000423</w:t>
            </w:r>
          </w:p>
        </w:tc>
        <w:tc>
          <w:tcPr>
            <w:tcW w:w="1777" w:type="dxa"/>
            <w:vAlign w:val="center"/>
          </w:tcPr>
          <w:p w:rsidR="00F9760C" w:rsidRDefault="00253AB8">
            <w:pPr>
              <w:jc w:val="center"/>
            </w:pPr>
            <w:r>
              <w:rPr>
                <w:color w:val="000000"/>
                <w:sz w:val="24"/>
                <w:szCs w:val="24"/>
              </w:rPr>
              <w:t>东阿阿胶</w:t>
            </w:r>
          </w:p>
        </w:tc>
        <w:tc>
          <w:tcPr>
            <w:tcW w:w="1334" w:type="dxa"/>
            <w:vAlign w:val="center"/>
          </w:tcPr>
          <w:p w:rsidR="00F9760C" w:rsidRDefault="00253AB8">
            <w:pPr>
              <w:jc w:val="right"/>
            </w:pPr>
            <w:r>
              <w:rPr>
                <w:color w:val="000000"/>
                <w:sz w:val="24"/>
                <w:szCs w:val="24"/>
              </w:rPr>
              <w:t>2,688,283</w:t>
            </w:r>
          </w:p>
        </w:tc>
        <w:tc>
          <w:tcPr>
            <w:tcW w:w="1924" w:type="dxa"/>
            <w:vAlign w:val="center"/>
          </w:tcPr>
          <w:p w:rsidR="00F9760C" w:rsidRDefault="00253AB8">
            <w:pPr>
              <w:jc w:val="right"/>
            </w:pPr>
            <w:r>
              <w:rPr>
                <w:color w:val="000000"/>
                <w:sz w:val="24"/>
                <w:szCs w:val="24"/>
              </w:rPr>
              <w:t>91,670,450.30</w:t>
            </w:r>
          </w:p>
        </w:tc>
        <w:tc>
          <w:tcPr>
            <w:tcW w:w="1644" w:type="dxa"/>
            <w:vAlign w:val="center"/>
          </w:tcPr>
          <w:p w:rsidR="00F9760C" w:rsidRDefault="00253AB8">
            <w:pPr>
              <w:jc w:val="right"/>
            </w:pPr>
            <w:r>
              <w:rPr>
                <w:color w:val="000000"/>
                <w:sz w:val="24"/>
                <w:szCs w:val="24"/>
              </w:rPr>
              <w:t>9.27</w:t>
            </w:r>
          </w:p>
        </w:tc>
      </w:tr>
      <w:tr w:rsidR="00F9760C">
        <w:trPr>
          <w:jc w:val="center"/>
        </w:trPr>
        <w:tc>
          <w:tcPr>
            <w:tcW w:w="855" w:type="dxa"/>
            <w:vAlign w:val="center"/>
          </w:tcPr>
          <w:p w:rsidR="00F9760C" w:rsidRDefault="00253AB8">
            <w:pPr>
              <w:jc w:val="center"/>
            </w:pPr>
            <w:r>
              <w:rPr>
                <w:color w:val="000000"/>
                <w:sz w:val="24"/>
                <w:szCs w:val="24"/>
              </w:rPr>
              <w:t>3</w:t>
            </w:r>
          </w:p>
        </w:tc>
        <w:tc>
          <w:tcPr>
            <w:tcW w:w="1334" w:type="dxa"/>
            <w:vAlign w:val="center"/>
          </w:tcPr>
          <w:p w:rsidR="00F9760C" w:rsidRDefault="00253AB8">
            <w:pPr>
              <w:jc w:val="center"/>
            </w:pPr>
            <w:r>
              <w:rPr>
                <w:color w:val="000000"/>
                <w:sz w:val="24"/>
                <w:szCs w:val="24"/>
              </w:rPr>
              <w:t>000100</w:t>
            </w:r>
          </w:p>
        </w:tc>
        <w:tc>
          <w:tcPr>
            <w:tcW w:w="1777" w:type="dxa"/>
            <w:vAlign w:val="center"/>
          </w:tcPr>
          <w:p w:rsidR="00F9760C" w:rsidRDefault="00253AB8">
            <w:pPr>
              <w:jc w:val="center"/>
            </w:pPr>
            <w:r>
              <w:rPr>
                <w:color w:val="000000"/>
                <w:sz w:val="24"/>
                <w:szCs w:val="24"/>
              </w:rPr>
              <w:t xml:space="preserve">TCL </w:t>
            </w:r>
            <w:r>
              <w:rPr>
                <w:color w:val="000000"/>
                <w:sz w:val="24"/>
                <w:szCs w:val="24"/>
              </w:rPr>
              <w:t>集团</w:t>
            </w:r>
          </w:p>
        </w:tc>
        <w:tc>
          <w:tcPr>
            <w:tcW w:w="1334" w:type="dxa"/>
            <w:vAlign w:val="center"/>
          </w:tcPr>
          <w:p w:rsidR="00F9760C" w:rsidRDefault="00253AB8">
            <w:pPr>
              <w:jc w:val="right"/>
            </w:pPr>
            <w:r>
              <w:rPr>
                <w:color w:val="000000"/>
                <w:sz w:val="24"/>
                <w:szCs w:val="24"/>
              </w:rPr>
              <w:t>35,668,571</w:t>
            </w:r>
          </w:p>
        </w:tc>
        <w:tc>
          <w:tcPr>
            <w:tcW w:w="1924" w:type="dxa"/>
            <w:vAlign w:val="center"/>
          </w:tcPr>
          <w:p w:rsidR="00F9760C" w:rsidRDefault="00253AB8">
            <w:pPr>
              <w:jc w:val="right"/>
            </w:pPr>
            <w:r>
              <w:rPr>
                <w:color w:val="000000"/>
                <w:sz w:val="24"/>
                <w:szCs w:val="24"/>
              </w:rPr>
              <w:t>90,241,484.63</w:t>
            </w:r>
          </w:p>
        </w:tc>
        <w:tc>
          <w:tcPr>
            <w:tcW w:w="1644" w:type="dxa"/>
            <w:vAlign w:val="center"/>
          </w:tcPr>
          <w:p w:rsidR="00F9760C" w:rsidRDefault="00253AB8">
            <w:pPr>
              <w:jc w:val="right"/>
            </w:pPr>
            <w:r>
              <w:rPr>
                <w:color w:val="000000"/>
                <w:sz w:val="24"/>
                <w:szCs w:val="24"/>
              </w:rPr>
              <w:t>9.12</w:t>
            </w:r>
          </w:p>
        </w:tc>
      </w:tr>
      <w:tr w:rsidR="00F9760C">
        <w:trPr>
          <w:jc w:val="center"/>
        </w:trPr>
        <w:tc>
          <w:tcPr>
            <w:tcW w:w="855" w:type="dxa"/>
            <w:vAlign w:val="center"/>
          </w:tcPr>
          <w:p w:rsidR="00F9760C" w:rsidRDefault="00253AB8">
            <w:pPr>
              <w:jc w:val="center"/>
            </w:pPr>
            <w:r>
              <w:rPr>
                <w:color w:val="000000"/>
                <w:sz w:val="24"/>
                <w:szCs w:val="24"/>
              </w:rPr>
              <w:t>4</w:t>
            </w:r>
          </w:p>
        </w:tc>
        <w:tc>
          <w:tcPr>
            <w:tcW w:w="1334" w:type="dxa"/>
            <w:vAlign w:val="center"/>
          </w:tcPr>
          <w:p w:rsidR="00F9760C" w:rsidRDefault="00253AB8">
            <w:pPr>
              <w:jc w:val="center"/>
            </w:pPr>
            <w:r>
              <w:rPr>
                <w:color w:val="000000"/>
                <w:sz w:val="24"/>
                <w:szCs w:val="24"/>
              </w:rPr>
              <w:t>300005</w:t>
            </w:r>
          </w:p>
        </w:tc>
        <w:tc>
          <w:tcPr>
            <w:tcW w:w="1777" w:type="dxa"/>
            <w:vAlign w:val="center"/>
          </w:tcPr>
          <w:p w:rsidR="00F9760C" w:rsidRDefault="00253AB8">
            <w:pPr>
              <w:jc w:val="center"/>
            </w:pPr>
            <w:r>
              <w:rPr>
                <w:color w:val="000000"/>
                <w:sz w:val="24"/>
                <w:szCs w:val="24"/>
              </w:rPr>
              <w:t>探路者</w:t>
            </w:r>
          </w:p>
        </w:tc>
        <w:tc>
          <w:tcPr>
            <w:tcW w:w="1334" w:type="dxa"/>
            <w:vAlign w:val="center"/>
          </w:tcPr>
          <w:p w:rsidR="00F9760C" w:rsidRDefault="00253AB8">
            <w:pPr>
              <w:jc w:val="right"/>
            </w:pPr>
            <w:r>
              <w:rPr>
                <w:color w:val="000000"/>
                <w:sz w:val="24"/>
                <w:szCs w:val="24"/>
              </w:rPr>
              <w:t>4,077,346</w:t>
            </w:r>
          </w:p>
        </w:tc>
        <w:tc>
          <w:tcPr>
            <w:tcW w:w="1924" w:type="dxa"/>
            <w:vAlign w:val="center"/>
          </w:tcPr>
          <w:p w:rsidR="00F9760C" w:rsidRDefault="00253AB8">
            <w:pPr>
              <w:jc w:val="right"/>
            </w:pPr>
            <w:r>
              <w:rPr>
                <w:color w:val="000000"/>
                <w:sz w:val="24"/>
                <w:szCs w:val="24"/>
              </w:rPr>
              <w:t>77,102,612.86</w:t>
            </w:r>
          </w:p>
        </w:tc>
        <w:tc>
          <w:tcPr>
            <w:tcW w:w="1644" w:type="dxa"/>
            <w:vAlign w:val="center"/>
          </w:tcPr>
          <w:p w:rsidR="00F9760C" w:rsidRDefault="00253AB8">
            <w:pPr>
              <w:jc w:val="right"/>
            </w:pPr>
            <w:r>
              <w:rPr>
                <w:color w:val="000000"/>
                <w:sz w:val="24"/>
                <w:szCs w:val="24"/>
              </w:rPr>
              <w:t>7.79</w:t>
            </w:r>
          </w:p>
        </w:tc>
      </w:tr>
      <w:tr w:rsidR="00F9760C">
        <w:trPr>
          <w:jc w:val="center"/>
        </w:trPr>
        <w:tc>
          <w:tcPr>
            <w:tcW w:w="855" w:type="dxa"/>
            <w:vAlign w:val="center"/>
          </w:tcPr>
          <w:p w:rsidR="00F9760C" w:rsidRDefault="00253AB8">
            <w:pPr>
              <w:jc w:val="center"/>
            </w:pPr>
            <w:r>
              <w:rPr>
                <w:color w:val="000000"/>
                <w:sz w:val="24"/>
                <w:szCs w:val="24"/>
              </w:rPr>
              <w:t>5</w:t>
            </w:r>
          </w:p>
        </w:tc>
        <w:tc>
          <w:tcPr>
            <w:tcW w:w="1334" w:type="dxa"/>
            <w:vAlign w:val="center"/>
          </w:tcPr>
          <w:p w:rsidR="00F9760C" w:rsidRDefault="00253AB8">
            <w:pPr>
              <w:jc w:val="center"/>
            </w:pPr>
            <w:r>
              <w:rPr>
                <w:color w:val="000000"/>
                <w:sz w:val="24"/>
                <w:szCs w:val="24"/>
              </w:rPr>
              <w:t>600315</w:t>
            </w:r>
          </w:p>
        </w:tc>
        <w:tc>
          <w:tcPr>
            <w:tcW w:w="1777" w:type="dxa"/>
            <w:vAlign w:val="center"/>
          </w:tcPr>
          <w:p w:rsidR="00F9760C" w:rsidRDefault="00253AB8">
            <w:pPr>
              <w:jc w:val="center"/>
            </w:pPr>
            <w:r>
              <w:rPr>
                <w:color w:val="000000"/>
                <w:sz w:val="24"/>
                <w:szCs w:val="24"/>
              </w:rPr>
              <w:t>上海家化</w:t>
            </w:r>
          </w:p>
        </w:tc>
        <w:tc>
          <w:tcPr>
            <w:tcW w:w="1334" w:type="dxa"/>
            <w:vAlign w:val="center"/>
          </w:tcPr>
          <w:p w:rsidR="00F9760C" w:rsidRDefault="00253AB8">
            <w:pPr>
              <w:jc w:val="right"/>
            </w:pPr>
            <w:r>
              <w:rPr>
                <w:color w:val="000000"/>
                <w:sz w:val="24"/>
                <w:szCs w:val="24"/>
              </w:rPr>
              <w:t>1,781,369</w:t>
            </w:r>
          </w:p>
        </w:tc>
        <w:tc>
          <w:tcPr>
            <w:tcW w:w="1924" w:type="dxa"/>
            <w:vAlign w:val="center"/>
          </w:tcPr>
          <w:p w:rsidR="00F9760C" w:rsidRDefault="00253AB8">
            <w:pPr>
              <w:jc w:val="right"/>
            </w:pPr>
            <w:r>
              <w:rPr>
                <w:color w:val="000000"/>
                <w:sz w:val="24"/>
                <w:szCs w:val="24"/>
              </w:rPr>
              <w:t>60,049,948.99</w:t>
            </w:r>
          </w:p>
        </w:tc>
        <w:tc>
          <w:tcPr>
            <w:tcW w:w="1644" w:type="dxa"/>
            <w:vAlign w:val="center"/>
          </w:tcPr>
          <w:p w:rsidR="00F9760C" w:rsidRDefault="00253AB8">
            <w:pPr>
              <w:jc w:val="right"/>
            </w:pPr>
            <w:r>
              <w:rPr>
                <w:color w:val="000000"/>
                <w:sz w:val="24"/>
                <w:szCs w:val="24"/>
              </w:rPr>
              <w:t>6.07</w:t>
            </w:r>
          </w:p>
        </w:tc>
      </w:tr>
      <w:tr w:rsidR="00F9760C">
        <w:trPr>
          <w:jc w:val="center"/>
        </w:trPr>
        <w:tc>
          <w:tcPr>
            <w:tcW w:w="855" w:type="dxa"/>
            <w:vAlign w:val="center"/>
          </w:tcPr>
          <w:p w:rsidR="00F9760C" w:rsidRDefault="00253AB8">
            <w:pPr>
              <w:jc w:val="center"/>
            </w:pPr>
            <w:r>
              <w:rPr>
                <w:color w:val="000000"/>
                <w:sz w:val="24"/>
                <w:szCs w:val="24"/>
              </w:rPr>
              <w:t>6</w:t>
            </w:r>
          </w:p>
        </w:tc>
        <w:tc>
          <w:tcPr>
            <w:tcW w:w="1334" w:type="dxa"/>
            <w:vAlign w:val="center"/>
          </w:tcPr>
          <w:p w:rsidR="00F9760C" w:rsidRDefault="00253AB8">
            <w:pPr>
              <w:jc w:val="center"/>
            </w:pPr>
            <w:r>
              <w:rPr>
                <w:color w:val="000000"/>
                <w:sz w:val="24"/>
                <w:szCs w:val="24"/>
              </w:rPr>
              <w:t>600887</w:t>
            </w:r>
          </w:p>
        </w:tc>
        <w:tc>
          <w:tcPr>
            <w:tcW w:w="1777" w:type="dxa"/>
            <w:vAlign w:val="center"/>
          </w:tcPr>
          <w:p w:rsidR="00F9760C" w:rsidRDefault="00253AB8">
            <w:pPr>
              <w:jc w:val="center"/>
            </w:pPr>
            <w:r>
              <w:rPr>
                <w:color w:val="000000"/>
                <w:sz w:val="24"/>
                <w:szCs w:val="24"/>
              </w:rPr>
              <w:t>伊利股份</w:t>
            </w:r>
          </w:p>
        </w:tc>
        <w:tc>
          <w:tcPr>
            <w:tcW w:w="1334" w:type="dxa"/>
            <w:vAlign w:val="center"/>
          </w:tcPr>
          <w:p w:rsidR="00F9760C" w:rsidRDefault="00253AB8">
            <w:pPr>
              <w:jc w:val="right"/>
            </w:pPr>
            <w:r>
              <w:rPr>
                <w:color w:val="000000"/>
                <w:sz w:val="24"/>
                <w:szCs w:val="24"/>
              </w:rPr>
              <w:t>1,660,574</w:t>
            </w:r>
          </w:p>
        </w:tc>
        <w:tc>
          <w:tcPr>
            <w:tcW w:w="1924" w:type="dxa"/>
            <w:vAlign w:val="center"/>
          </w:tcPr>
          <w:p w:rsidR="00F9760C" w:rsidRDefault="00253AB8">
            <w:pPr>
              <w:jc w:val="right"/>
            </w:pPr>
            <w:r>
              <w:rPr>
                <w:color w:val="000000"/>
                <w:sz w:val="24"/>
                <w:szCs w:val="24"/>
              </w:rPr>
              <w:t>59,498,366.42</w:t>
            </w:r>
          </w:p>
        </w:tc>
        <w:tc>
          <w:tcPr>
            <w:tcW w:w="1644" w:type="dxa"/>
            <w:vAlign w:val="center"/>
          </w:tcPr>
          <w:p w:rsidR="00F9760C" w:rsidRDefault="00253AB8">
            <w:pPr>
              <w:jc w:val="right"/>
            </w:pPr>
            <w:r>
              <w:rPr>
                <w:color w:val="000000"/>
                <w:sz w:val="24"/>
                <w:szCs w:val="24"/>
              </w:rPr>
              <w:t>6.01</w:t>
            </w:r>
          </w:p>
        </w:tc>
      </w:tr>
      <w:tr w:rsidR="00F9760C">
        <w:trPr>
          <w:jc w:val="center"/>
        </w:trPr>
        <w:tc>
          <w:tcPr>
            <w:tcW w:w="855" w:type="dxa"/>
            <w:vAlign w:val="center"/>
          </w:tcPr>
          <w:p w:rsidR="00F9760C" w:rsidRDefault="00253AB8">
            <w:pPr>
              <w:jc w:val="center"/>
            </w:pPr>
            <w:r>
              <w:rPr>
                <w:color w:val="000000"/>
                <w:sz w:val="24"/>
                <w:szCs w:val="24"/>
              </w:rPr>
              <w:t>7</w:t>
            </w:r>
          </w:p>
        </w:tc>
        <w:tc>
          <w:tcPr>
            <w:tcW w:w="1334" w:type="dxa"/>
            <w:vAlign w:val="center"/>
          </w:tcPr>
          <w:p w:rsidR="00F9760C" w:rsidRDefault="00253AB8">
            <w:pPr>
              <w:jc w:val="center"/>
            </w:pPr>
            <w:r>
              <w:rPr>
                <w:color w:val="000000"/>
                <w:sz w:val="24"/>
                <w:szCs w:val="24"/>
              </w:rPr>
              <w:t>600967</w:t>
            </w:r>
          </w:p>
        </w:tc>
        <w:tc>
          <w:tcPr>
            <w:tcW w:w="1777" w:type="dxa"/>
            <w:vAlign w:val="center"/>
          </w:tcPr>
          <w:p w:rsidR="00F9760C" w:rsidRDefault="00253AB8">
            <w:pPr>
              <w:jc w:val="center"/>
            </w:pPr>
            <w:r>
              <w:rPr>
                <w:color w:val="000000"/>
                <w:sz w:val="24"/>
                <w:szCs w:val="24"/>
              </w:rPr>
              <w:t>北方创业</w:t>
            </w:r>
          </w:p>
        </w:tc>
        <w:tc>
          <w:tcPr>
            <w:tcW w:w="1334" w:type="dxa"/>
            <w:vAlign w:val="center"/>
          </w:tcPr>
          <w:p w:rsidR="00F9760C" w:rsidRDefault="00253AB8">
            <w:pPr>
              <w:jc w:val="right"/>
            </w:pPr>
            <w:r>
              <w:rPr>
                <w:color w:val="000000"/>
                <w:sz w:val="24"/>
                <w:szCs w:val="24"/>
              </w:rPr>
              <w:t>2,932,870</w:t>
            </w:r>
          </w:p>
        </w:tc>
        <w:tc>
          <w:tcPr>
            <w:tcW w:w="1924" w:type="dxa"/>
            <w:vAlign w:val="center"/>
          </w:tcPr>
          <w:p w:rsidR="00F9760C" w:rsidRDefault="00253AB8">
            <w:pPr>
              <w:jc w:val="right"/>
            </w:pPr>
            <w:r>
              <w:rPr>
                <w:color w:val="000000"/>
                <w:sz w:val="24"/>
                <w:szCs w:val="24"/>
              </w:rPr>
              <w:t>51,530,525.90</w:t>
            </w:r>
          </w:p>
        </w:tc>
        <w:tc>
          <w:tcPr>
            <w:tcW w:w="1644" w:type="dxa"/>
            <w:vAlign w:val="center"/>
          </w:tcPr>
          <w:p w:rsidR="00F9760C" w:rsidRDefault="00253AB8">
            <w:pPr>
              <w:jc w:val="right"/>
            </w:pPr>
            <w:r>
              <w:rPr>
                <w:color w:val="000000"/>
                <w:sz w:val="24"/>
                <w:szCs w:val="24"/>
              </w:rPr>
              <w:t>5.21</w:t>
            </w:r>
          </w:p>
        </w:tc>
      </w:tr>
      <w:tr w:rsidR="00F9760C">
        <w:trPr>
          <w:jc w:val="center"/>
        </w:trPr>
        <w:tc>
          <w:tcPr>
            <w:tcW w:w="855" w:type="dxa"/>
            <w:vAlign w:val="center"/>
          </w:tcPr>
          <w:p w:rsidR="00F9760C" w:rsidRDefault="00253AB8">
            <w:pPr>
              <w:jc w:val="center"/>
            </w:pPr>
            <w:r>
              <w:rPr>
                <w:color w:val="000000"/>
                <w:sz w:val="24"/>
                <w:szCs w:val="24"/>
              </w:rPr>
              <w:t>8</w:t>
            </w:r>
          </w:p>
        </w:tc>
        <w:tc>
          <w:tcPr>
            <w:tcW w:w="1334" w:type="dxa"/>
            <w:vAlign w:val="center"/>
          </w:tcPr>
          <w:p w:rsidR="00F9760C" w:rsidRDefault="00253AB8">
            <w:pPr>
              <w:jc w:val="center"/>
            </w:pPr>
            <w:r>
              <w:rPr>
                <w:color w:val="000000"/>
                <w:sz w:val="24"/>
                <w:szCs w:val="24"/>
              </w:rPr>
              <w:t>601117</w:t>
            </w:r>
          </w:p>
        </w:tc>
        <w:tc>
          <w:tcPr>
            <w:tcW w:w="1777" w:type="dxa"/>
            <w:vAlign w:val="center"/>
          </w:tcPr>
          <w:p w:rsidR="00F9760C" w:rsidRDefault="00253AB8">
            <w:pPr>
              <w:jc w:val="center"/>
            </w:pPr>
            <w:r>
              <w:rPr>
                <w:color w:val="000000"/>
                <w:sz w:val="24"/>
                <w:szCs w:val="24"/>
              </w:rPr>
              <w:t>中国化学</w:t>
            </w:r>
          </w:p>
        </w:tc>
        <w:tc>
          <w:tcPr>
            <w:tcW w:w="1334" w:type="dxa"/>
            <w:vAlign w:val="center"/>
          </w:tcPr>
          <w:p w:rsidR="00F9760C" w:rsidRDefault="00253AB8">
            <w:pPr>
              <w:jc w:val="right"/>
            </w:pPr>
            <w:r>
              <w:rPr>
                <w:color w:val="000000"/>
                <w:sz w:val="24"/>
                <w:szCs w:val="24"/>
              </w:rPr>
              <w:t>6,918,202</w:t>
            </w:r>
          </w:p>
        </w:tc>
        <w:tc>
          <w:tcPr>
            <w:tcW w:w="1924" w:type="dxa"/>
            <w:vAlign w:val="center"/>
          </w:tcPr>
          <w:p w:rsidR="00F9760C" w:rsidRDefault="00253AB8">
            <w:pPr>
              <w:jc w:val="right"/>
            </w:pPr>
            <w:r>
              <w:rPr>
                <w:color w:val="000000"/>
                <w:sz w:val="24"/>
                <w:szCs w:val="24"/>
              </w:rPr>
              <w:t>43,031,216.44</w:t>
            </w:r>
          </w:p>
        </w:tc>
        <w:tc>
          <w:tcPr>
            <w:tcW w:w="1644" w:type="dxa"/>
            <w:vAlign w:val="center"/>
          </w:tcPr>
          <w:p w:rsidR="00F9760C" w:rsidRDefault="00253AB8">
            <w:pPr>
              <w:jc w:val="right"/>
            </w:pPr>
            <w:r>
              <w:rPr>
                <w:color w:val="000000"/>
                <w:sz w:val="24"/>
                <w:szCs w:val="24"/>
              </w:rPr>
              <w:t>4.35</w:t>
            </w:r>
          </w:p>
        </w:tc>
      </w:tr>
      <w:tr w:rsidR="00F9760C">
        <w:trPr>
          <w:jc w:val="center"/>
        </w:trPr>
        <w:tc>
          <w:tcPr>
            <w:tcW w:w="855" w:type="dxa"/>
            <w:vAlign w:val="center"/>
          </w:tcPr>
          <w:p w:rsidR="00F9760C" w:rsidRDefault="00253AB8">
            <w:pPr>
              <w:jc w:val="center"/>
            </w:pPr>
            <w:r>
              <w:rPr>
                <w:color w:val="000000"/>
                <w:sz w:val="24"/>
                <w:szCs w:val="24"/>
              </w:rPr>
              <w:t>9</w:t>
            </w:r>
          </w:p>
        </w:tc>
        <w:tc>
          <w:tcPr>
            <w:tcW w:w="1334" w:type="dxa"/>
            <w:vAlign w:val="center"/>
          </w:tcPr>
          <w:p w:rsidR="00F9760C" w:rsidRDefault="00253AB8">
            <w:pPr>
              <w:jc w:val="center"/>
            </w:pPr>
            <w:r>
              <w:rPr>
                <w:color w:val="000000"/>
                <w:sz w:val="24"/>
                <w:szCs w:val="24"/>
              </w:rPr>
              <w:t>601933</w:t>
            </w:r>
          </w:p>
        </w:tc>
        <w:tc>
          <w:tcPr>
            <w:tcW w:w="1777" w:type="dxa"/>
            <w:vAlign w:val="center"/>
          </w:tcPr>
          <w:p w:rsidR="00F9760C" w:rsidRDefault="00253AB8">
            <w:pPr>
              <w:jc w:val="center"/>
            </w:pPr>
            <w:r>
              <w:rPr>
                <w:color w:val="000000"/>
                <w:sz w:val="24"/>
                <w:szCs w:val="24"/>
              </w:rPr>
              <w:t>永辉超市</w:t>
            </w:r>
          </w:p>
        </w:tc>
        <w:tc>
          <w:tcPr>
            <w:tcW w:w="1334" w:type="dxa"/>
            <w:vAlign w:val="center"/>
          </w:tcPr>
          <w:p w:rsidR="00F9760C" w:rsidRDefault="00253AB8">
            <w:pPr>
              <w:jc w:val="right"/>
            </w:pPr>
            <w:r>
              <w:rPr>
                <w:color w:val="000000"/>
                <w:sz w:val="24"/>
                <w:szCs w:val="24"/>
              </w:rPr>
              <w:t>3,377,323</w:t>
            </w:r>
          </w:p>
        </w:tc>
        <w:tc>
          <w:tcPr>
            <w:tcW w:w="1924" w:type="dxa"/>
            <w:vAlign w:val="center"/>
          </w:tcPr>
          <w:p w:rsidR="00F9760C" w:rsidRDefault="00253AB8">
            <w:pPr>
              <w:jc w:val="right"/>
            </w:pPr>
            <w:r>
              <w:rPr>
                <w:color w:val="000000"/>
                <w:sz w:val="24"/>
                <w:szCs w:val="24"/>
              </w:rPr>
              <w:t>41,608,619.36</w:t>
            </w:r>
          </w:p>
        </w:tc>
        <w:tc>
          <w:tcPr>
            <w:tcW w:w="1644" w:type="dxa"/>
            <w:vAlign w:val="center"/>
          </w:tcPr>
          <w:p w:rsidR="00F9760C" w:rsidRDefault="00253AB8">
            <w:pPr>
              <w:jc w:val="right"/>
            </w:pPr>
            <w:r>
              <w:rPr>
                <w:color w:val="000000"/>
                <w:sz w:val="24"/>
                <w:szCs w:val="24"/>
              </w:rPr>
              <w:t>4.21</w:t>
            </w:r>
          </w:p>
        </w:tc>
      </w:tr>
      <w:tr w:rsidR="00F9760C">
        <w:trPr>
          <w:jc w:val="center"/>
        </w:trPr>
        <w:tc>
          <w:tcPr>
            <w:tcW w:w="855" w:type="dxa"/>
            <w:vAlign w:val="center"/>
          </w:tcPr>
          <w:p w:rsidR="00F9760C" w:rsidRDefault="00253AB8">
            <w:pPr>
              <w:jc w:val="center"/>
            </w:pPr>
            <w:r>
              <w:rPr>
                <w:color w:val="000000"/>
                <w:sz w:val="24"/>
                <w:szCs w:val="24"/>
              </w:rPr>
              <w:t>10</w:t>
            </w:r>
          </w:p>
        </w:tc>
        <w:tc>
          <w:tcPr>
            <w:tcW w:w="1334" w:type="dxa"/>
            <w:vAlign w:val="center"/>
          </w:tcPr>
          <w:p w:rsidR="00F9760C" w:rsidRDefault="00253AB8">
            <w:pPr>
              <w:jc w:val="center"/>
            </w:pPr>
            <w:r>
              <w:rPr>
                <w:color w:val="000000"/>
                <w:sz w:val="24"/>
                <w:szCs w:val="24"/>
              </w:rPr>
              <w:t>002223</w:t>
            </w:r>
          </w:p>
        </w:tc>
        <w:tc>
          <w:tcPr>
            <w:tcW w:w="1777" w:type="dxa"/>
            <w:vAlign w:val="center"/>
          </w:tcPr>
          <w:p w:rsidR="00F9760C" w:rsidRDefault="00253AB8">
            <w:pPr>
              <w:jc w:val="center"/>
            </w:pPr>
            <w:r>
              <w:rPr>
                <w:color w:val="000000"/>
                <w:sz w:val="24"/>
                <w:szCs w:val="24"/>
              </w:rPr>
              <w:t>鱼跃医疗</w:t>
            </w:r>
          </w:p>
        </w:tc>
        <w:tc>
          <w:tcPr>
            <w:tcW w:w="1334" w:type="dxa"/>
            <w:vAlign w:val="center"/>
          </w:tcPr>
          <w:p w:rsidR="00F9760C" w:rsidRDefault="00253AB8">
            <w:pPr>
              <w:jc w:val="right"/>
            </w:pPr>
            <w:r>
              <w:rPr>
                <w:color w:val="000000"/>
                <w:sz w:val="24"/>
                <w:szCs w:val="24"/>
              </w:rPr>
              <w:t>1,434,150</w:t>
            </w:r>
          </w:p>
        </w:tc>
        <w:tc>
          <w:tcPr>
            <w:tcW w:w="1924" w:type="dxa"/>
            <w:vAlign w:val="center"/>
          </w:tcPr>
          <w:p w:rsidR="00F9760C" w:rsidRDefault="00253AB8">
            <w:pPr>
              <w:jc w:val="right"/>
            </w:pPr>
            <w:r>
              <w:rPr>
                <w:color w:val="000000"/>
                <w:sz w:val="24"/>
                <w:szCs w:val="24"/>
              </w:rPr>
              <w:t>40,256,590.50</w:t>
            </w:r>
          </w:p>
        </w:tc>
        <w:tc>
          <w:tcPr>
            <w:tcW w:w="1644" w:type="dxa"/>
            <w:vAlign w:val="center"/>
          </w:tcPr>
          <w:p w:rsidR="00F9760C" w:rsidRDefault="00253AB8">
            <w:pPr>
              <w:jc w:val="right"/>
            </w:pPr>
            <w:r>
              <w:rPr>
                <w:color w:val="000000"/>
                <w:sz w:val="24"/>
                <w:szCs w:val="24"/>
              </w:rPr>
              <w:t>4.07</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49,945,000.00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5.05</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49,945,000.00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5.05</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49,945,000.00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5.05</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9760C">
        <w:trPr>
          <w:jc w:val="center"/>
        </w:trPr>
        <w:tc>
          <w:tcPr>
            <w:tcW w:w="850" w:type="dxa"/>
            <w:vAlign w:val="center"/>
          </w:tcPr>
          <w:p w:rsidR="00F9760C" w:rsidRDefault="00253AB8">
            <w:pPr>
              <w:jc w:val="center"/>
            </w:pPr>
            <w:r>
              <w:rPr>
                <w:color w:val="000000"/>
                <w:sz w:val="24"/>
                <w:szCs w:val="24"/>
              </w:rPr>
              <w:t>1</w:t>
            </w:r>
          </w:p>
        </w:tc>
        <w:tc>
          <w:tcPr>
            <w:tcW w:w="1475" w:type="dxa"/>
            <w:vAlign w:val="center"/>
          </w:tcPr>
          <w:p w:rsidR="00F9760C" w:rsidRDefault="00253AB8">
            <w:pPr>
              <w:jc w:val="center"/>
            </w:pPr>
            <w:r>
              <w:rPr>
                <w:color w:val="000000"/>
                <w:sz w:val="24"/>
                <w:szCs w:val="24"/>
              </w:rPr>
              <w:t>130236</w:t>
            </w:r>
          </w:p>
        </w:tc>
        <w:tc>
          <w:tcPr>
            <w:tcW w:w="1769" w:type="dxa"/>
            <w:vAlign w:val="center"/>
          </w:tcPr>
          <w:p w:rsidR="00F9760C" w:rsidRDefault="00253AB8">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F9760C" w:rsidRDefault="00253AB8">
            <w:pPr>
              <w:jc w:val="right"/>
            </w:pPr>
            <w:r>
              <w:rPr>
                <w:color w:val="000000"/>
                <w:sz w:val="24"/>
                <w:szCs w:val="24"/>
              </w:rPr>
              <w:t>500,000</w:t>
            </w:r>
          </w:p>
        </w:tc>
        <w:tc>
          <w:tcPr>
            <w:tcW w:w="2150" w:type="dxa"/>
            <w:vAlign w:val="center"/>
          </w:tcPr>
          <w:p w:rsidR="00F9760C" w:rsidRDefault="00253AB8">
            <w:pPr>
              <w:jc w:val="right"/>
            </w:pPr>
            <w:r>
              <w:rPr>
                <w:color w:val="000000"/>
                <w:sz w:val="24"/>
                <w:szCs w:val="24"/>
              </w:rPr>
              <w:t>49,945,000.00</w:t>
            </w:r>
          </w:p>
        </w:tc>
        <w:tc>
          <w:tcPr>
            <w:tcW w:w="1237" w:type="dxa"/>
            <w:vAlign w:val="center"/>
          </w:tcPr>
          <w:p w:rsidR="00F9760C" w:rsidRDefault="00253AB8">
            <w:pPr>
              <w:jc w:val="right"/>
            </w:pPr>
            <w:r>
              <w:rPr>
                <w:color w:val="000000"/>
                <w:sz w:val="24"/>
                <w:szCs w:val="24"/>
              </w:rPr>
              <w:t>5.05</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322638" w:rsidRDefault="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B1103B" w:rsidRPr="00B1103B">
        <w:rPr>
          <w:rFonts w:hint="eastAsia"/>
          <w:bCs/>
          <w:color w:val="000000"/>
          <w:kern w:val="0"/>
          <w:sz w:val="24"/>
          <w:szCs w:val="24"/>
        </w:rPr>
        <w:t>报告期内本基金投资的前十名证券的发行主体除上海家化（证券代码：</w:t>
      </w:r>
      <w:r w:rsidR="00B1103B" w:rsidRPr="00B1103B">
        <w:rPr>
          <w:bCs/>
          <w:color w:val="000000"/>
          <w:kern w:val="0"/>
          <w:sz w:val="24"/>
          <w:szCs w:val="24"/>
        </w:rPr>
        <w:t>600315</w:t>
      </w:r>
      <w:r w:rsidR="00B1103B" w:rsidRPr="00B1103B">
        <w:rPr>
          <w:rFonts w:hint="eastAsia"/>
          <w:bCs/>
          <w:color w:val="000000"/>
          <w:kern w:val="0"/>
          <w:sz w:val="24"/>
          <w:szCs w:val="24"/>
        </w:rPr>
        <w:t>）外，未出现被监管部门立案调查，或在报告编制日前一年内受到公开谴责、处罚的情形。</w:t>
      </w:r>
    </w:p>
    <w:p w:rsidR="00322638" w:rsidRDefault="00B1103B">
      <w:pPr>
        <w:autoSpaceDE w:val="0"/>
        <w:autoSpaceDN w:val="0"/>
        <w:adjustRightInd w:val="0"/>
        <w:spacing w:before="29" w:line="288" w:lineRule="auto"/>
        <w:jc w:val="left"/>
        <w:rPr>
          <w:bCs/>
          <w:color w:val="000000"/>
          <w:kern w:val="0"/>
          <w:sz w:val="24"/>
          <w:szCs w:val="24"/>
        </w:rPr>
      </w:pPr>
      <w:r w:rsidRPr="00B1103B">
        <w:rPr>
          <w:rFonts w:hint="eastAsia"/>
          <w:bCs/>
          <w:color w:val="000000"/>
          <w:kern w:val="0"/>
          <w:sz w:val="24"/>
          <w:szCs w:val="24"/>
        </w:rPr>
        <w:t>报告期内本基金投资的前十名证券之一上海家化（证券代码：</w:t>
      </w:r>
      <w:r w:rsidRPr="00B1103B">
        <w:rPr>
          <w:bCs/>
          <w:color w:val="000000"/>
          <w:kern w:val="0"/>
          <w:sz w:val="24"/>
          <w:szCs w:val="24"/>
        </w:rPr>
        <w:t>600315</w:t>
      </w:r>
      <w:r w:rsidRPr="00B1103B">
        <w:rPr>
          <w:rFonts w:hint="eastAsia"/>
          <w:bCs/>
          <w:color w:val="000000"/>
          <w:kern w:val="0"/>
          <w:sz w:val="24"/>
          <w:szCs w:val="24"/>
        </w:rPr>
        <w:t>）于</w:t>
      </w:r>
      <w:r w:rsidRPr="00B1103B">
        <w:rPr>
          <w:bCs/>
          <w:color w:val="000000"/>
          <w:kern w:val="0"/>
          <w:sz w:val="24"/>
          <w:szCs w:val="24"/>
        </w:rPr>
        <w:t>2013</w:t>
      </w:r>
      <w:r w:rsidRPr="00B1103B">
        <w:rPr>
          <w:rFonts w:hint="eastAsia"/>
          <w:bCs/>
          <w:color w:val="000000"/>
          <w:kern w:val="0"/>
          <w:sz w:val="24"/>
          <w:szCs w:val="24"/>
        </w:rPr>
        <w:t>年</w:t>
      </w:r>
      <w:r w:rsidRPr="00B1103B">
        <w:rPr>
          <w:bCs/>
          <w:color w:val="000000"/>
          <w:kern w:val="0"/>
          <w:sz w:val="24"/>
          <w:szCs w:val="24"/>
        </w:rPr>
        <w:t>11</w:t>
      </w:r>
      <w:r w:rsidRPr="00B1103B">
        <w:rPr>
          <w:rFonts w:hint="eastAsia"/>
          <w:bCs/>
          <w:color w:val="000000"/>
          <w:kern w:val="0"/>
          <w:sz w:val="24"/>
          <w:szCs w:val="24"/>
        </w:rPr>
        <w:t>月</w:t>
      </w:r>
      <w:r w:rsidRPr="00B1103B">
        <w:rPr>
          <w:bCs/>
          <w:color w:val="000000"/>
          <w:kern w:val="0"/>
          <w:sz w:val="24"/>
          <w:szCs w:val="24"/>
        </w:rPr>
        <w:t>21</w:t>
      </w:r>
      <w:r w:rsidRPr="00B1103B">
        <w:rPr>
          <w:rFonts w:hint="eastAsia"/>
          <w:bCs/>
          <w:color w:val="000000"/>
          <w:kern w:val="0"/>
          <w:sz w:val="24"/>
          <w:szCs w:val="24"/>
        </w:rPr>
        <w:t>日公告，公司于</w:t>
      </w:r>
      <w:r w:rsidRPr="00B1103B">
        <w:rPr>
          <w:bCs/>
          <w:color w:val="000000"/>
          <w:kern w:val="0"/>
          <w:sz w:val="24"/>
          <w:szCs w:val="24"/>
        </w:rPr>
        <w:t>2013</w:t>
      </w:r>
      <w:r w:rsidRPr="00B1103B">
        <w:rPr>
          <w:rFonts w:hint="eastAsia"/>
          <w:bCs/>
          <w:color w:val="000000"/>
          <w:kern w:val="0"/>
          <w:sz w:val="24"/>
          <w:szCs w:val="24"/>
        </w:rPr>
        <w:t>年</w:t>
      </w:r>
      <w:r w:rsidRPr="00B1103B">
        <w:rPr>
          <w:bCs/>
          <w:color w:val="000000"/>
          <w:kern w:val="0"/>
          <w:sz w:val="24"/>
          <w:szCs w:val="24"/>
        </w:rPr>
        <w:t>11</w:t>
      </w:r>
      <w:r w:rsidRPr="00B1103B">
        <w:rPr>
          <w:rFonts w:hint="eastAsia"/>
          <w:bCs/>
          <w:color w:val="000000"/>
          <w:kern w:val="0"/>
          <w:sz w:val="24"/>
          <w:szCs w:val="24"/>
        </w:rPr>
        <w:t>月</w:t>
      </w:r>
      <w:r w:rsidRPr="00B1103B">
        <w:rPr>
          <w:bCs/>
          <w:color w:val="000000"/>
          <w:kern w:val="0"/>
          <w:sz w:val="24"/>
          <w:szCs w:val="24"/>
        </w:rPr>
        <w:t>20</w:t>
      </w:r>
      <w:r w:rsidRPr="00B1103B">
        <w:rPr>
          <w:rFonts w:hint="eastAsia"/>
          <w:bCs/>
          <w:color w:val="000000"/>
          <w:kern w:val="0"/>
          <w:sz w:val="24"/>
          <w:szCs w:val="24"/>
        </w:rPr>
        <w:t>日收到中国证券监督管理委员会《调查通知书》及上海证监局《行政监管措施决定书》，据此上海家化已于</w:t>
      </w:r>
      <w:r w:rsidRPr="00B1103B">
        <w:rPr>
          <w:bCs/>
          <w:color w:val="000000"/>
          <w:kern w:val="0"/>
          <w:sz w:val="24"/>
          <w:szCs w:val="24"/>
        </w:rPr>
        <w:t>2013</w:t>
      </w:r>
      <w:r w:rsidRPr="00B1103B">
        <w:rPr>
          <w:rFonts w:hint="eastAsia"/>
          <w:bCs/>
          <w:color w:val="000000"/>
          <w:kern w:val="0"/>
          <w:sz w:val="24"/>
          <w:szCs w:val="24"/>
        </w:rPr>
        <w:t>年</w:t>
      </w:r>
      <w:r w:rsidRPr="00B1103B">
        <w:rPr>
          <w:bCs/>
          <w:color w:val="000000"/>
          <w:kern w:val="0"/>
          <w:sz w:val="24"/>
          <w:szCs w:val="24"/>
        </w:rPr>
        <w:t>12</w:t>
      </w:r>
      <w:r w:rsidRPr="00B1103B">
        <w:rPr>
          <w:rFonts w:hint="eastAsia"/>
          <w:bCs/>
          <w:color w:val="000000"/>
          <w:kern w:val="0"/>
          <w:sz w:val="24"/>
          <w:szCs w:val="24"/>
        </w:rPr>
        <w:t>月</w:t>
      </w:r>
      <w:r w:rsidRPr="00B1103B">
        <w:rPr>
          <w:bCs/>
          <w:color w:val="000000"/>
          <w:kern w:val="0"/>
          <w:sz w:val="24"/>
          <w:szCs w:val="24"/>
        </w:rPr>
        <w:t>18</w:t>
      </w:r>
      <w:r w:rsidRPr="00B1103B">
        <w:rPr>
          <w:rFonts w:hint="eastAsia"/>
          <w:bCs/>
          <w:color w:val="000000"/>
          <w:kern w:val="0"/>
          <w:sz w:val="24"/>
          <w:szCs w:val="24"/>
        </w:rPr>
        <w:t>日公告，按照上海证监局要求对关联交易进行了相关信息披露。证监会对于关联交易的调查还在进行中，截止</w:t>
      </w:r>
      <w:r w:rsidRPr="00B1103B">
        <w:rPr>
          <w:bCs/>
          <w:color w:val="000000"/>
          <w:kern w:val="0"/>
          <w:sz w:val="24"/>
          <w:szCs w:val="24"/>
        </w:rPr>
        <w:t>2014</w:t>
      </w:r>
      <w:r w:rsidRPr="00B1103B">
        <w:rPr>
          <w:rFonts w:hint="eastAsia"/>
          <w:bCs/>
          <w:color w:val="000000"/>
          <w:kern w:val="0"/>
          <w:sz w:val="24"/>
          <w:szCs w:val="24"/>
        </w:rPr>
        <w:t>年</w:t>
      </w:r>
      <w:r w:rsidRPr="00B1103B">
        <w:rPr>
          <w:bCs/>
          <w:color w:val="000000"/>
          <w:kern w:val="0"/>
          <w:sz w:val="24"/>
          <w:szCs w:val="24"/>
        </w:rPr>
        <w:t>3</w:t>
      </w:r>
      <w:r w:rsidRPr="00B1103B">
        <w:rPr>
          <w:rFonts w:hint="eastAsia"/>
          <w:bCs/>
          <w:color w:val="000000"/>
          <w:kern w:val="0"/>
          <w:sz w:val="24"/>
          <w:szCs w:val="24"/>
        </w:rPr>
        <w:t>月</w:t>
      </w:r>
      <w:r w:rsidRPr="00B1103B">
        <w:rPr>
          <w:bCs/>
          <w:color w:val="000000"/>
          <w:kern w:val="0"/>
          <w:sz w:val="24"/>
          <w:szCs w:val="24"/>
        </w:rPr>
        <w:t>31</w:t>
      </w:r>
      <w:r w:rsidRPr="00B1103B">
        <w:rPr>
          <w:rFonts w:hint="eastAsia"/>
          <w:bCs/>
          <w:color w:val="000000"/>
          <w:kern w:val="0"/>
          <w:sz w:val="24"/>
          <w:szCs w:val="24"/>
        </w:rPr>
        <w:t>日尚未作出任何决定。</w:t>
      </w:r>
    </w:p>
    <w:p w:rsidR="00BE5388" w:rsidRPr="00620424" w:rsidRDefault="00B1103B" w:rsidP="00620424">
      <w:pPr>
        <w:autoSpaceDE w:val="0"/>
        <w:autoSpaceDN w:val="0"/>
        <w:adjustRightInd w:val="0"/>
        <w:spacing w:before="29" w:line="288" w:lineRule="auto"/>
        <w:jc w:val="left"/>
        <w:rPr>
          <w:bCs/>
          <w:color w:val="000000"/>
          <w:kern w:val="0"/>
          <w:sz w:val="24"/>
          <w:szCs w:val="24"/>
        </w:rPr>
      </w:pPr>
      <w:r w:rsidRPr="00B1103B">
        <w:rPr>
          <w:rFonts w:hint="eastAsia"/>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238,471.28</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1,307,730.84</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129,412.97</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1,675,615.09</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022100">
        <w:trPr>
          <w:jc w:val="center"/>
        </w:trPr>
        <w:tc>
          <w:tcPr>
            <w:tcW w:w="11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42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流通受限情况说明</w:t>
            </w:r>
          </w:p>
        </w:tc>
      </w:tr>
      <w:tr w:rsidR="00022100">
        <w:trPr>
          <w:jc w:val="center"/>
        </w:trPr>
        <w:tc>
          <w:tcPr>
            <w:tcW w:w="1129" w:type="dxa"/>
            <w:vAlign w:val="center"/>
          </w:tcPr>
          <w:p w:rsidR="00022100" w:rsidRDefault="00022100">
            <w:pPr>
              <w:jc w:val="center"/>
            </w:pPr>
            <w:r>
              <w:rPr>
                <w:color w:val="000000"/>
                <w:sz w:val="24"/>
                <w:szCs w:val="24"/>
              </w:rPr>
              <w:t>1</w:t>
            </w:r>
          </w:p>
        </w:tc>
        <w:tc>
          <w:tcPr>
            <w:tcW w:w="1356" w:type="dxa"/>
            <w:vAlign w:val="center"/>
          </w:tcPr>
          <w:p w:rsidR="00B1103B" w:rsidRPr="00B1103B" w:rsidRDefault="00B1103B" w:rsidP="00B1103B">
            <w:pPr>
              <w:jc w:val="center"/>
            </w:pPr>
            <w:r w:rsidRPr="00B1103B">
              <w:rPr>
                <w:color w:val="000000"/>
                <w:sz w:val="24"/>
                <w:szCs w:val="24"/>
              </w:rPr>
              <w:t>002223</w:t>
            </w:r>
          </w:p>
        </w:tc>
        <w:tc>
          <w:tcPr>
            <w:tcW w:w="1355" w:type="dxa"/>
            <w:vAlign w:val="center"/>
          </w:tcPr>
          <w:p w:rsidR="00B1103B" w:rsidRPr="00B1103B" w:rsidRDefault="00B1103B" w:rsidP="00B1103B">
            <w:pPr>
              <w:jc w:val="center"/>
            </w:pPr>
            <w:r w:rsidRPr="00B1103B">
              <w:rPr>
                <w:rFonts w:ascii="宋体" w:hAnsi="宋体" w:hint="eastAsia"/>
                <w:color w:val="000000"/>
                <w:sz w:val="24"/>
                <w:szCs w:val="24"/>
              </w:rPr>
              <w:t>鱼跃医疗</w:t>
            </w:r>
          </w:p>
        </w:tc>
        <w:tc>
          <w:tcPr>
            <w:tcW w:w="1880" w:type="dxa"/>
            <w:vAlign w:val="center"/>
          </w:tcPr>
          <w:p w:rsidR="00022100" w:rsidRDefault="00022100">
            <w:pPr>
              <w:jc w:val="right"/>
            </w:pPr>
            <w:r>
              <w:rPr>
                <w:color w:val="000000"/>
                <w:sz w:val="24"/>
                <w:szCs w:val="24"/>
              </w:rPr>
              <w:t>40,256,590.50</w:t>
            </w:r>
          </w:p>
        </w:tc>
        <w:tc>
          <w:tcPr>
            <w:tcW w:w="1724" w:type="dxa"/>
            <w:vAlign w:val="center"/>
          </w:tcPr>
          <w:p w:rsidR="00022100" w:rsidRDefault="00022100">
            <w:pPr>
              <w:jc w:val="right"/>
            </w:pPr>
            <w:r>
              <w:rPr>
                <w:color w:val="000000"/>
                <w:sz w:val="24"/>
                <w:szCs w:val="24"/>
              </w:rPr>
              <w:t>4.07</w:t>
            </w:r>
          </w:p>
        </w:tc>
        <w:tc>
          <w:tcPr>
            <w:tcW w:w="1424" w:type="dxa"/>
            <w:vAlign w:val="center"/>
          </w:tcPr>
          <w:p w:rsidR="00022100" w:rsidRDefault="00022100">
            <w:pPr>
              <w:jc w:val="right"/>
            </w:pPr>
            <w:r>
              <w:rPr>
                <w:color w:val="000000"/>
                <w:sz w:val="24"/>
                <w:szCs w:val="24"/>
              </w:rPr>
              <w:t>重大事项</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1,315,140,094.47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543,564,542.15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861,756,369.84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996,948,266.78</w:t>
            </w:r>
          </w:p>
        </w:tc>
      </w:tr>
    </w:tbl>
    <w:p w:rsidR="00F9760C" w:rsidRDefault="00253AB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6A7025">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2A03" w:rsidRPr="00412A03" w:rsidRDefault="00412A03"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DA14B0">
      <w:pPr>
        <w:autoSpaceDE w:val="0"/>
        <w:autoSpaceDN w:val="0"/>
        <w:adjustRightInd w:val="0"/>
        <w:spacing w:before="29" w:line="288" w:lineRule="auto"/>
        <w:jc w:val="left"/>
        <w:rPr>
          <w:color w:val="000000"/>
          <w:sz w:val="24"/>
        </w:rPr>
      </w:pPr>
    </w:p>
    <w:p w:rsidR="004061AC" w:rsidRPr="00414345" w:rsidRDefault="004061AC" w:rsidP="006A702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ED6E80" w:rsidRDefault="002C6237" w:rsidP="002C6237">
      <w:pPr>
        <w:spacing w:before="29" w:line="288" w:lineRule="auto"/>
        <w:ind w:firstLineChars="200" w:firstLine="480"/>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依据中国证监会《关于进一步规范证券投资基金估值业务的指导意见》（证监会公告</w:t>
      </w:r>
      <w:r w:rsidR="004061AC" w:rsidRPr="00414345">
        <w:rPr>
          <w:color w:val="000000"/>
          <w:sz w:val="24"/>
          <w:szCs w:val="24"/>
        </w:rPr>
        <w:t>[2008]38</w:t>
      </w:r>
      <w:r w:rsidR="004061AC" w:rsidRPr="00414345">
        <w:rPr>
          <w:color w:val="000000"/>
          <w:sz w:val="24"/>
          <w:szCs w:val="24"/>
        </w:rPr>
        <w:t>号）的有关规定和《关于发布中基协（</w:t>
      </w:r>
      <w:r w:rsidR="004061AC" w:rsidRPr="00414345">
        <w:rPr>
          <w:color w:val="000000"/>
          <w:sz w:val="24"/>
          <w:szCs w:val="24"/>
        </w:rPr>
        <w:t>AMAC</w:t>
      </w:r>
      <w:r w:rsidR="004061AC" w:rsidRPr="00414345">
        <w:rPr>
          <w:color w:val="000000"/>
          <w:sz w:val="24"/>
          <w:szCs w:val="24"/>
        </w:rPr>
        <w:t>）基金行业股票估值指数的通知》的指导意见，经与基金托管人协商一致，本基金对其所持有的鱼跃医疗（证券代码：</w:t>
      </w:r>
      <w:r w:rsidR="004061AC" w:rsidRPr="00414345">
        <w:rPr>
          <w:color w:val="000000"/>
          <w:sz w:val="24"/>
          <w:szCs w:val="24"/>
        </w:rPr>
        <w:t>002223</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3</w:t>
      </w:r>
      <w:r w:rsidR="004061AC" w:rsidRPr="00414345">
        <w:rPr>
          <w:color w:val="000000"/>
          <w:sz w:val="24"/>
          <w:szCs w:val="24"/>
        </w:rPr>
        <w:t>月</w:t>
      </w:r>
      <w:r w:rsidR="004061AC" w:rsidRPr="00414345">
        <w:rPr>
          <w:color w:val="000000"/>
          <w:sz w:val="24"/>
          <w:szCs w:val="24"/>
        </w:rPr>
        <w:t>28</w:t>
      </w:r>
      <w:r w:rsidR="004061AC" w:rsidRPr="00414345">
        <w:rPr>
          <w:color w:val="000000"/>
          <w:sz w:val="24"/>
          <w:szCs w:val="24"/>
        </w:rPr>
        <w:t>日起按照指数收益法进行估值。</w:t>
      </w:r>
    </w:p>
    <w:p w:rsidR="002C6237" w:rsidRDefault="002C6237" w:rsidP="002C6237">
      <w:pPr>
        <w:autoSpaceDE w:val="0"/>
        <w:autoSpaceDN w:val="0"/>
        <w:adjustRightInd w:val="0"/>
        <w:spacing w:before="29" w:line="288" w:lineRule="auto"/>
        <w:ind w:firstLine="420"/>
        <w:jc w:val="left"/>
        <w:rPr>
          <w:color w:val="000000"/>
          <w:sz w:val="24"/>
        </w:rPr>
      </w:pPr>
      <w:r>
        <w:rPr>
          <w:rFonts w:hint="eastAsia"/>
          <w:color w:val="000000"/>
          <w:sz w:val="24"/>
        </w:rPr>
        <w:t>2</w:t>
      </w:r>
      <w:r>
        <w:rPr>
          <w:rFonts w:hint="eastAsia"/>
          <w:color w:val="000000"/>
          <w:sz w:val="24"/>
        </w:rPr>
        <w:t>、</w:t>
      </w:r>
      <w:r w:rsidRPr="00FC5AFC">
        <w:rPr>
          <w:rFonts w:hint="eastAsia"/>
          <w:color w:val="000000"/>
          <w:sz w:val="24"/>
        </w:rPr>
        <w:t>本基金托管人</w:t>
      </w:r>
      <w:r w:rsidRPr="00FC5AFC">
        <w:rPr>
          <w:color w:val="000000"/>
          <w:sz w:val="24"/>
        </w:rPr>
        <w:t>201</w:t>
      </w:r>
      <w:r w:rsidRPr="00FC5AFC">
        <w:rPr>
          <w:rFonts w:hint="eastAsia"/>
          <w:color w:val="000000"/>
          <w:sz w:val="24"/>
        </w:rPr>
        <w:t>4</w:t>
      </w:r>
      <w:r w:rsidRPr="00FC5AFC">
        <w:rPr>
          <w:rFonts w:hint="eastAsia"/>
          <w:color w:val="000000"/>
          <w:sz w:val="24"/>
        </w:rPr>
        <w:t>年</w:t>
      </w:r>
      <w:r w:rsidRPr="00FC5AFC">
        <w:rPr>
          <w:rFonts w:hint="eastAsia"/>
          <w:color w:val="000000"/>
          <w:sz w:val="24"/>
        </w:rPr>
        <w:t>2</w:t>
      </w:r>
      <w:r w:rsidRPr="00FC5AFC">
        <w:rPr>
          <w:rFonts w:hint="eastAsia"/>
          <w:color w:val="000000"/>
          <w:sz w:val="24"/>
        </w:rPr>
        <w:t>月</w:t>
      </w:r>
      <w:r w:rsidRPr="00FC5AFC">
        <w:rPr>
          <w:rFonts w:hint="eastAsia"/>
          <w:color w:val="000000"/>
          <w:sz w:val="24"/>
        </w:rPr>
        <w:t>7</w:t>
      </w:r>
      <w:r w:rsidRPr="00FC5AFC">
        <w:rPr>
          <w:rFonts w:hint="eastAsia"/>
          <w:color w:val="000000"/>
          <w:sz w:val="24"/>
        </w:rPr>
        <w:t>日发布任免通知，解聘尹东中国建设银行投资托管业务部总经理助理职务。</w:t>
      </w:r>
    </w:p>
    <w:p w:rsidR="002C6237" w:rsidRPr="002C6237" w:rsidRDefault="002C6237" w:rsidP="00F53BE7">
      <w:pPr>
        <w:spacing w:before="29" w:line="288" w:lineRule="auto"/>
        <w:rPr>
          <w:rFonts w:hint="eastAsia"/>
          <w:color w:val="000000"/>
          <w:sz w:val="24"/>
          <w:szCs w:val="24"/>
        </w:rPr>
      </w:pPr>
      <w:bookmarkStart w:id="0" w:name="_GoBack"/>
      <w:bookmarkEnd w:id="0"/>
    </w:p>
    <w:p w:rsidR="00322638" w:rsidRDefault="004061AC" w:rsidP="006A7025">
      <w:pPr>
        <w:pStyle w:val="1"/>
        <w:spacing w:beforeLines="100" w:before="312" w:afterLines="100" w:after="312" w:line="288" w:lineRule="auto"/>
        <w:jc w:val="cente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9760C" w:rsidRDefault="00253AB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股票型证券投资基金基金合同》；</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股票型证券投资基金招募说明书》；</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股票型证券投资基金托管协议》；</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9760C" w:rsidRDefault="00253AB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股票型证券投资基金在指定报刊上各项公告的原稿。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9760C" w:rsidRDefault="00253AB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FF7" w:rsidRDefault="00237FF7" w:rsidP="00876D65">
      <w:r>
        <w:separator/>
      </w:r>
    </w:p>
  </w:endnote>
  <w:endnote w:type="continuationSeparator" w:id="0">
    <w:p w:rsidR="00237FF7" w:rsidRDefault="00237FF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B1103B">
      <w:rPr>
        <w:kern w:val="0"/>
        <w:szCs w:val="21"/>
      </w:rPr>
      <w:fldChar w:fldCharType="begin"/>
    </w:r>
    <w:r>
      <w:rPr>
        <w:kern w:val="0"/>
        <w:szCs w:val="21"/>
      </w:rPr>
      <w:instrText xml:space="preserve"> PAGE </w:instrText>
    </w:r>
    <w:r w:rsidR="00B1103B">
      <w:rPr>
        <w:kern w:val="0"/>
        <w:szCs w:val="21"/>
      </w:rPr>
      <w:fldChar w:fldCharType="separate"/>
    </w:r>
    <w:r w:rsidR="00F53BE7">
      <w:rPr>
        <w:noProof/>
        <w:kern w:val="0"/>
        <w:szCs w:val="21"/>
      </w:rPr>
      <w:t>11</w:t>
    </w:r>
    <w:r w:rsidR="00B1103B">
      <w:rPr>
        <w:kern w:val="0"/>
        <w:szCs w:val="21"/>
      </w:rPr>
      <w:fldChar w:fldCharType="end"/>
    </w:r>
    <w:r>
      <w:rPr>
        <w:rFonts w:hint="eastAsia"/>
        <w:kern w:val="0"/>
        <w:szCs w:val="21"/>
      </w:rPr>
      <w:t>页共</w:t>
    </w:r>
    <w:r w:rsidR="00B1103B">
      <w:rPr>
        <w:kern w:val="0"/>
        <w:szCs w:val="21"/>
      </w:rPr>
      <w:fldChar w:fldCharType="begin"/>
    </w:r>
    <w:r>
      <w:rPr>
        <w:kern w:val="0"/>
        <w:szCs w:val="21"/>
      </w:rPr>
      <w:instrText xml:space="preserve"> NUMPAGES </w:instrText>
    </w:r>
    <w:r w:rsidR="00B1103B">
      <w:rPr>
        <w:kern w:val="0"/>
        <w:szCs w:val="21"/>
      </w:rPr>
      <w:fldChar w:fldCharType="separate"/>
    </w:r>
    <w:r w:rsidR="00F53BE7">
      <w:rPr>
        <w:noProof/>
        <w:kern w:val="0"/>
        <w:szCs w:val="21"/>
      </w:rPr>
      <w:t>12</w:t>
    </w:r>
    <w:r w:rsidR="00B1103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FF7" w:rsidRDefault="00237FF7" w:rsidP="00876D65">
      <w:r>
        <w:separator/>
      </w:r>
    </w:p>
  </w:footnote>
  <w:footnote w:type="continuationSeparator" w:id="0">
    <w:p w:rsidR="00237FF7" w:rsidRDefault="00237FF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20F4"/>
    <w:rsid w:val="00014099"/>
    <w:rsid w:val="000160C5"/>
    <w:rsid w:val="000210E7"/>
    <w:rsid w:val="00022100"/>
    <w:rsid w:val="000243BD"/>
    <w:rsid w:val="00024F7F"/>
    <w:rsid w:val="00031EBB"/>
    <w:rsid w:val="00033B8D"/>
    <w:rsid w:val="0004308C"/>
    <w:rsid w:val="00043852"/>
    <w:rsid w:val="000450DD"/>
    <w:rsid w:val="000463DE"/>
    <w:rsid w:val="000625ED"/>
    <w:rsid w:val="00064D40"/>
    <w:rsid w:val="0007679A"/>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7452"/>
    <w:rsid w:val="00137B31"/>
    <w:rsid w:val="00144F93"/>
    <w:rsid w:val="00147376"/>
    <w:rsid w:val="001537F1"/>
    <w:rsid w:val="00154BE1"/>
    <w:rsid w:val="0015710B"/>
    <w:rsid w:val="00160EDC"/>
    <w:rsid w:val="001675CD"/>
    <w:rsid w:val="001717D5"/>
    <w:rsid w:val="00171EF0"/>
    <w:rsid w:val="00173ECF"/>
    <w:rsid w:val="001761D2"/>
    <w:rsid w:val="00176C21"/>
    <w:rsid w:val="001830D7"/>
    <w:rsid w:val="00185A34"/>
    <w:rsid w:val="001934F6"/>
    <w:rsid w:val="00194707"/>
    <w:rsid w:val="00196E6C"/>
    <w:rsid w:val="001A73E8"/>
    <w:rsid w:val="001B0A62"/>
    <w:rsid w:val="001B2F35"/>
    <w:rsid w:val="001B4779"/>
    <w:rsid w:val="001C0993"/>
    <w:rsid w:val="001C238D"/>
    <w:rsid w:val="001C79F2"/>
    <w:rsid w:val="001D6A4B"/>
    <w:rsid w:val="001E4630"/>
    <w:rsid w:val="001F0964"/>
    <w:rsid w:val="001F30DA"/>
    <w:rsid w:val="001F5DC5"/>
    <w:rsid w:val="00200FAB"/>
    <w:rsid w:val="00213821"/>
    <w:rsid w:val="00213DFB"/>
    <w:rsid w:val="00217531"/>
    <w:rsid w:val="00217B92"/>
    <w:rsid w:val="0022309F"/>
    <w:rsid w:val="00224294"/>
    <w:rsid w:val="002279D3"/>
    <w:rsid w:val="00237FF7"/>
    <w:rsid w:val="00240248"/>
    <w:rsid w:val="0024363B"/>
    <w:rsid w:val="00246049"/>
    <w:rsid w:val="00247332"/>
    <w:rsid w:val="00253578"/>
    <w:rsid w:val="00253AB8"/>
    <w:rsid w:val="00256972"/>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237"/>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2638"/>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978A5"/>
    <w:rsid w:val="003A6061"/>
    <w:rsid w:val="003B3494"/>
    <w:rsid w:val="003B6FBC"/>
    <w:rsid w:val="003C5DCC"/>
    <w:rsid w:val="003D742E"/>
    <w:rsid w:val="003E62FB"/>
    <w:rsid w:val="003E6867"/>
    <w:rsid w:val="003F09B5"/>
    <w:rsid w:val="003F1ECB"/>
    <w:rsid w:val="003F39DF"/>
    <w:rsid w:val="003F63BE"/>
    <w:rsid w:val="004033ED"/>
    <w:rsid w:val="004061AC"/>
    <w:rsid w:val="00410630"/>
    <w:rsid w:val="00412A03"/>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4F758F"/>
    <w:rsid w:val="00500A03"/>
    <w:rsid w:val="00502035"/>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1286A"/>
    <w:rsid w:val="00613BB8"/>
    <w:rsid w:val="00614CC4"/>
    <w:rsid w:val="00614ED1"/>
    <w:rsid w:val="0062025E"/>
    <w:rsid w:val="00620424"/>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025"/>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316D"/>
    <w:rsid w:val="006F1AE4"/>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4654"/>
    <w:rsid w:val="008148E0"/>
    <w:rsid w:val="00815396"/>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703"/>
    <w:rsid w:val="008D09EC"/>
    <w:rsid w:val="008D7CBF"/>
    <w:rsid w:val="008E07EB"/>
    <w:rsid w:val="008E1D74"/>
    <w:rsid w:val="008E2DCB"/>
    <w:rsid w:val="008E326D"/>
    <w:rsid w:val="008E35F0"/>
    <w:rsid w:val="008E60DE"/>
    <w:rsid w:val="008F3B64"/>
    <w:rsid w:val="008F5C16"/>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9318A"/>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03B"/>
    <w:rsid w:val="00B11BE5"/>
    <w:rsid w:val="00B12B7D"/>
    <w:rsid w:val="00B16985"/>
    <w:rsid w:val="00B22DEE"/>
    <w:rsid w:val="00B273D9"/>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577D"/>
    <w:rsid w:val="00BA604D"/>
    <w:rsid w:val="00BB5DA7"/>
    <w:rsid w:val="00BC14B3"/>
    <w:rsid w:val="00BC216C"/>
    <w:rsid w:val="00BC29BC"/>
    <w:rsid w:val="00BC4585"/>
    <w:rsid w:val="00BC50F1"/>
    <w:rsid w:val="00BC73E5"/>
    <w:rsid w:val="00BD0031"/>
    <w:rsid w:val="00BD7473"/>
    <w:rsid w:val="00BD7703"/>
    <w:rsid w:val="00BE0447"/>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B3D07"/>
    <w:rsid w:val="00CD4E6D"/>
    <w:rsid w:val="00CD4F19"/>
    <w:rsid w:val="00CD5707"/>
    <w:rsid w:val="00CD7702"/>
    <w:rsid w:val="00CE29EA"/>
    <w:rsid w:val="00CF04CF"/>
    <w:rsid w:val="00CF2D3E"/>
    <w:rsid w:val="00CF6572"/>
    <w:rsid w:val="00D01FE6"/>
    <w:rsid w:val="00D02347"/>
    <w:rsid w:val="00D046DB"/>
    <w:rsid w:val="00D04755"/>
    <w:rsid w:val="00D049D4"/>
    <w:rsid w:val="00D13737"/>
    <w:rsid w:val="00D1638E"/>
    <w:rsid w:val="00D2061C"/>
    <w:rsid w:val="00D21FFF"/>
    <w:rsid w:val="00D272A5"/>
    <w:rsid w:val="00D346D9"/>
    <w:rsid w:val="00D43AFB"/>
    <w:rsid w:val="00D44EE8"/>
    <w:rsid w:val="00D56468"/>
    <w:rsid w:val="00D57B7C"/>
    <w:rsid w:val="00D65B44"/>
    <w:rsid w:val="00D6796D"/>
    <w:rsid w:val="00D75E69"/>
    <w:rsid w:val="00D8099B"/>
    <w:rsid w:val="00D866A8"/>
    <w:rsid w:val="00D94B8D"/>
    <w:rsid w:val="00D96C8D"/>
    <w:rsid w:val="00D974EF"/>
    <w:rsid w:val="00DA0C61"/>
    <w:rsid w:val="00DA14B0"/>
    <w:rsid w:val="00DA2876"/>
    <w:rsid w:val="00DC0B51"/>
    <w:rsid w:val="00DC6B55"/>
    <w:rsid w:val="00DE27F7"/>
    <w:rsid w:val="00DE4B43"/>
    <w:rsid w:val="00E07DDD"/>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3BE7"/>
    <w:rsid w:val="00F54EAE"/>
    <w:rsid w:val="00F66A51"/>
    <w:rsid w:val="00F71057"/>
    <w:rsid w:val="00F71A4B"/>
    <w:rsid w:val="00F728CF"/>
    <w:rsid w:val="00F743D4"/>
    <w:rsid w:val="00F80AC3"/>
    <w:rsid w:val="00F83B17"/>
    <w:rsid w:val="00F87EDA"/>
    <w:rsid w:val="00F970EE"/>
    <w:rsid w:val="00F9760C"/>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5:docId w15:val="{36B5253B-7E54-4C32-9D33-B241447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rsid w:val="004061AC"/>
    <w:rPr>
      <w:rFonts w:ascii="宋体" w:hAnsi="Courier New" w:cs="宋体"/>
    </w:rPr>
  </w:style>
  <w:style w:type="character" w:customStyle="1" w:styleId="Char0">
    <w:name w:val="纯文本 Char"/>
    <w:basedOn w:val="a1"/>
    <w:link w:val="a5"/>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8CFA-4F30-442E-814C-89C79A31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王晚婷</dc:creator>
  <cp:lastModifiedBy>王晚婷</cp:lastModifiedBy>
  <cp:revision>3</cp:revision>
  <dcterms:created xsi:type="dcterms:W3CDTF">2014-04-17T22:37:00Z</dcterms:created>
  <dcterms:modified xsi:type="dcterms:W3CDTF">2014-04-21T11:03:00Z</dcterms:modified>
</cp:coreProperties>
</file>