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61982">
      <w:pPr>
        <w:autoSpaceDE w:val="0"/>
        <w:autoSpaceDN w:val="0"/>
        <w:adjustRightInd w:val="0"/>
        <w:spacing w:before="29" w:line="288" w:lineRule="auto"/>
        <w:jc w:val="left"/>
        <w:rPr>
          <w:rFonts w:eastAsiaTheme="minorEastAsia"/>
          <w:color w:val="000000"/>
          <w:kern w:val="0"/>
          <w:sz w:val="24"/>
        </w:rPr>
      </w:pPr>
    </w:p>
    <w:p w:rsidR="009A2283" w:rsidRPr="007F52FA" w:rsidRDefault="002D2A00" w:rsidP="00761982">
      <w:pPr>
        <w:spacing w:before="29" w:line="288" w:lineRule="auto"/>
        <w:jc w:val="center"/>
        <w:rPr>
          <w:rFonts w:eastAsiaTheme="minorEastAsia"/>
          <w:b/>
          <w:sz w:val="24"/>
        </w:rPr>
      </w:pPr>
      <w:r w:rsidRPr="007F52FA">
        <w:rPr>
          <w:rFonts w:eastAsiaTheme="minorEastAsia"/>
          <w:b/>
          <w:sz w:val="24"/>
        </w:rPr>
        <w:t>交银施罗德纯债债券型发起式证券投资基金</w:t>
      </w:r>
    </w:p>
    <w:p w:rsidR="002D2A00" w:rsidRPr="007F52FA" w:rsidRDefault="002D2A00" w:rsidP="00761982">
      <w:pPr>
        <w:spacing w:before="29" w:line="288" w:lineRule="auto"/>
        <w:jc w:val="center"/>
        <w:rPr>
          <w:rFonts w:eastAsiaTheme="minorEastAsia"/>
          <w:b/>
          <w:sz w:val="24"/>
        </w:rPr>
      </w:pPr>
      <w:r w:rsidRPr="007F52FA">
        <w:rPr>
          <w:rFonts w:eastAsiaTheme="minorEastAsia"/>
          <w:b/>
          <w:sz w:val="24"/>
        </w:rPr>
        <w:t>2014</w:t>
      </w:r>
      <w:r w:rsidRPr="007F52FA">
        <w:rPr>
          <w:rFonts w:eastAsiaTheme="minorEastAsia"/>
          <w:b/>
          <w:sz w:val="24"/>
        </w:rPr>
        <w:t>年第</w:t>
      </w:r>
      <w:r w:rsidRPr="007F52FA">
        <w:rPr>
          <w:rFonts w:eastAsiaTheme="minorEastAsia"/>
          <w:b/>
          <w:sz w:val="24"/>
        </w:rPr>
        <w:t>1</w:t>
      </w:r>
      <w:r w:rsidRPr="007F52FA">
        <w:rPr>
          <w:rFonts w:eastAsiaTheme="minorEastAsia"/>
          <w:b/>
          <w:sz w:val="24"/>
        </w:rPr>
        <w:t>季度报告</w:t>
      </w:r>
    </w:p>
    <w:p w:rsidR="009A2283" w:rsidRPr="007F52FA" w:rsidRDefault="00121533" w:rsidP="00761982">
      <w:pPr>
        <w:spacing w:before="29" w:line="288" w:lineRule="auto"/>
        <w:jc w:val="center"/>
        <w:rPr>
          <w:sz w:val="24"/>
        </w:rPr>
      </w:pPr>
      <w:r w:rsidRPr="007F52FA">
        <w:rPr>
          <w:sz w:val="24"/>
        </w:rPr>
        <w:t>2014</w:t>
      </w:r>
      <w:r w:rsidRPr="007F52FA">
        <w:rPr>
          <w:sz w:val="24"/>
        </w:rPr>
        <w:t>年</w:t>
      </w:r>
      <w:r w:rsidRPr="007F52FA">
        <w:rPr>
          <w:sz w:val="24"/>
        </w:rPr>
        <w:t>3</w:t>
      </w:r>
      <w:r w:rsidRPr="007F52FA">
        <w:rPr>
          <w:sz w:val="24"/>
        </w:rPr>
        <w:t>月</w:t>
      </w:r>
      <w:r w:rsidRPr="007F52FA">
        <w:rPr>
          <w:sz w:val="24"/>
        </w:rPr>
        <w:t>31</w:t>
      </w:r>
      <w:r w:rsidRPr="007F52FA">
        <w:rPr>
          <w:sz w:val="24"/>
        </w:rPr>
        <w:t>日</w:t>
      </w: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E27360" w:rsidRPr="007F52FA" w:rsidRDefault="00E27360"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jc w:val="center"/>
        <w:rPr>
          <w:rFonts w:eastAsiaTheme="minorEastAsia"/>
          <w:b/>
          <w:color w:val="000000"/>
          <w:sz w:val="24"/>
        </w:rPr>
      </w:pPr>
    </w:p>
    <w:p w:rsidR="009A2283" w:rsidRPr="007F52FA" w:rsidRDefault="009A2283" w:rsidP="00761982">
      <w:pPr>
        <w:spacing w:before="29" w:line="288" w:lineRule="auto"/>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基金管理人：</w:t>
      </w:r>
      <w:r w:rsidR="00BF377F" w:rsidRPr="007F52FA">
        <w:rPr>
          <w:color w:val="000000"/>
          <w:sz w:val="24"/>
        </w:rPr>
        <w:t>交银施罗德基金管理有限公司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color w:val="000000"/>
          <w:sz w:val="24"/>
        </w:rPr>
      </w:pPr>
      <w:r w:rsidRPr="007F52FA">
        <w:rPr>
          <w:color w:val="000000"/>
          <w:sz w:val="24"/>
        </w:rPr>
        <w:t>基金托管人：</w:t>
      </w:r>
      <w:r w:rsidR="00BF377F" w:rsidRPr="007F52FA">
        <w:rPr>
          <w:color w:val="000000"/>
          <w:sz w:val="24"/>
        </w:rPr>
        <w:t>中国农业银行股份有限公司</w:t>
      </w:r>
    </w:p>
    <w:p w:rsidR="00BD1A02" w:rsidRPr="007F52FA" w:rsidRDefault="00BD1A02" w:rsidP="00761982">
      <w:pPr>
        <w:spacing w:before="29" w:line="288" w:lineRule="auto"/>
        <w:ind w:firstLineChars="900" w:firstLine="2160"/>
        <w:rPr>
          <w:color w:val="000000"/>
          <w:sz w:val="24"/>
        </w:rPr>
      </w:pPr>
    </w:p>
    <w:p w:rsidR="009A2283" w:rsidRPr="007F52FA" w:rsidRDefault="009A2283" w:rsidP="00761982">
      <w:pPr>
        <w:spacing w:before="29" w:line="288" w:lineRule="auto"/>
        <w:ind w:firstLineChars="900" w:firstLine="2160"/>
        <w:rPr>
          <w:sz w:val="24"/>
        </w:rPr>
        <w:sectPr w:rsidR="009A2283" w:rsidRPr="007F52FA" w:rsidSect="007A5233">
          <w:headerReference w:type="default" r:id="rId8"/>
          <w:footerReference w:type="default" r:id="rId9"/>
          <w:pgSz w:w="11926" w:h="15840"/>
          <w:pgMar w:top="1418" w:right="1440" w:bottom="851" w:left="1440" w:header="851" w:footer="992" w:gutter="0"/>
          <w:cols w:space="720"/>
          <w:noEndnote/>
        </w:sectPr>
      </w:pPr>
      <w:r w:rsidRPr="007F52FA">
        <w:rPr>
          <w:color w:val="000000"/>
          <w:sz w:val="24"/>
        </w:rPr>
        <w:t>报告送出日期：</w:t>
      </w:r>
      <w:r w:rsidR="00D04410" w:rsidRPr="007F52FA">
        <w:rPr>
          <w:color w:val="000000"/>
          <w:sz w:val="24"/>
        </w:rPr>
        <w:t>二〇一四年四月二十二日</w:t>
      </w:r>
    </w:p>
    <w:p w:rsidR="009238DB" w:rsidRPr="007F52FA" w:rsidRDefault="009238DB" w:rsidP="00F83EE8">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61982">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2014</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61982">
      <w:pPr>
        <w:spacing w:before="29" w:line="288" w:lineRule="auto"/>
        <w:ind w:firstLineChars="200" w:firstLine="480"/>
        <w:rPr>
          <w:rFonts w:eastAsiaTheme="minorEastAsia"/>
          <w:color w:val="000000"/>
          <w:sz w:val="24"/>
        </w:rPr>
      </w:pPr>
    </w:p>
    <w:p w:rsidR="009238DB" w:rsidRPr="007F52FA" w:rsidRDefault="009238DB" w:rsidP="00F83EE8">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A6200E" w:rsidRPr="007F52FA" w:rsidTr="00F32579">
        <w:trPr>
          <w:jc w:val="center"/>
        </w:trPr>
        <w:tc>
          <w:tcPr>
            <w:tcW w:w="2835" w:type="dxa"/>
            <w:vAlign w:val="center"/>
          </w:tcPr>
          <w:p w:rsidR="00A6200E" w:rsidRPr="007F52FA" w:rsidRDefault="00A6200E" w:rsidP="00761982">
            <w:pPr>
              <w:adjustRightInd w:val="0"/>
              <w:spacing w:before="29" w:line="288" w:lineRule="auto"/>
              <w:ind w:left="17"/>
              <w:jc w:val="left"/>
              <w:rPr>
                <w:kern w:val="0"/>
                <w:sz w:val="24"/>
              </w:rPr>
            </w:pPr>
            <w:r w:rsidRPr="007F52FA">
              <w:rPr>
                <w:kern w:val="0"/>
                <w:sz w:val="24"/>
              </w:rPr>
              <w:t>基金简称</w:t>
            </w:r>
          </w:p>
        </w:tc>
        <w:tc>
          <w:tcPr>
            <w:tcW w:w="5479" w:type="dxa"/>
            <w:gridSpan w:val="2"/>
            <w:vAlign w:val="center"/>
          </w:tcPr>
          <w:p w:rsidR="00A6200E" w:rsidRPr="007F52FA" w:rsidRDefault="00A6200E" w:rsidP="00761982">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F32579">
        <w:trPr>
          <w:jc w:val="center"/>
        </w:trPr>
        <w:tc>
          <w:tcPr>
            <w:tcW w:w="2835" w:type="dxa"/>
            <w:vAlign w:val="center"/>
          </w:tcPr>
          <w:p w:rsidR="00B95753" w:rsidRPr="007F52FA" w:rsidRDefault="00B95753" w:rsidP="00761982">
            <w:pPr>
              <w:adjustRightInd w:val="0"/>
              <w:spacing w:before="29" w:line="288" w:lineRule="auto"/>
              <w:ind w:left="17"/>
              <w:jc w:val="left"/>
              <w:rPr>
                <w:kern w:val="0"/>
                <w:sz w:val="24"/>
              </w:rPr>
            </w:pPr>
            <w:r w:rsidRPr="007F52FA">
              <w:rPr>
                <w:kern w:val="0"/>
                <w:sz w:val="24"/>
              </w:rPr>
              <w:t>基金主代码</w:t>
            </w:r>
          </w:p>
        </w:tc>
        <w:tc>
          <w:tcPr>
            <w:tcW w:w="5479" w:type="dxa"/>
            <w:gridSpan w:val="2"/>
            <w:tcBorders>
              <w:bottom w:val="single" w:sz="4" w:space="0" w:color="auto"/>
            </w:tcBorders>
            <w:vAlign w:val="center"/>
          </w:tcPr>
          <w:p w:rsidR="00B95753" w:rsidRPr="007F52FA" w:rsidRDefault="00B95753" w:rsidP="00761982">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基金运作方式</w:t>
            </w:r>
          </w:p>
        </w:tc>
        <w:tc>
          <w:tcPr>
            <w:tcW w:w="5479" w:type="dxa"/>
            <w:gridSpan w:val="2"/>
            <w:tcBorders>
              <w:top w:val="single" w:sz="4" w:space="0" w:color="auto"/>
            </w:tcBorders>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基金合同生效日</w:t>
            </w:r>
          </w:p>
        </w:tc>
        <w:tc>
          <w:tcPr>
            <w:tcW w:w="5479" w:type="dxa"/>
            <w:gridSpan w:val="2"/>
            <w:vAlign w:val="center"/>
          </w:tcPr>
          <w:p w:rsidR="008532F3" w:rsidRPr="007F52FA" w:rsidRDefault="008532F3" w:rsidP="00761982">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报告期末基金份额总额</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181,400,602.95</w:t>
            </w:r>
            <w:r w:rsidRPr="007F52FA">
              <w:rPr>
                <w:color w:val="000000"/>
                <w:kern w:val="0"/>
                <w:sz w:val="24"/>
              </w:rPr>
              <w:t>份</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投资目标</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投资策略</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业绩比较基准</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风险收益特征</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w:t>
            </w:r>
            <w:r w:rsidRPr="007F52FA">
              <w:rPr>
                <w:color w:val="000000"/>
                <w:kern w:val="0"/>
                <w:sz w:val="24"/>
              </w:rPr>
              <w:lastRenderedPageBreak/>
              <w:t>市场基金，低于混合型基金和股票型基金。</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lastRenderedPageBreak/>
              <w:t>基金管理人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sz w:val="24"/>
              </w:rPr>
            </w:pPr>
            <w:r w:rsidRPr="007F52FA">
              <w:rPr>
                <w:kern w:val="0"/>
                <w:sz w:val="24"/>
              </w:rPr>
              <w:t>基金托管人</w:t>
            </w:r>
          </w:p>
        </w:tc>
        <w:tc>
          <w:tcPr>
            <w:tcW w:w="5479" w:type="dxa"/>
            <w:gridSpan w:val="2"/>
            <w:vAlign w:val="center"/>
          </w:tcPr>
          <w:p w:rsidR="008532F3" w:rsidRPr="007F52FA" w:rsidRDefault="008532F3" w:rsidP="00761982">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F32579">
        <w:trPr>
          <w:jc w:val="center"/>
        </w:trPr>
        <w:tc>
          <w:tcPr>
            <w:tcW w:w="2835" w:type="dxa"/>
            <w:vAlign w:val="center"/>
          </w:tcPr>
          <w:p w:rsidR="008532F3" w:rsidRPr="007F52FA" w:rsidRDefault="008532F3" w:rsidP="00761982">
            <w:pPr>
              <w:adjustRightInd w:val="0"/>
              <w:spacing w:before="29" w:line="288" w:lineRule="auto"/>
              <w:ind w:left="17"/>
              <w:jc w:val="left"/>
              <w:rPr>
                <w:kern w:val="0"/>
                <w:sz w:val="24"/>
              </w:rPr>
            </w:pPr>
            <w:r w:rsidRPr="007F52FA">
              <w:rPr>
                <w:color w:val="000000"/>
                <w:sz w:val="24"/>
              </w:rPr>
              <w:t>下属两级基金的基金简称</w:t>
            </w:r>
          </w:p>
        </w:tc>
        <w:tc>
          <w:tcPr>
            <w:tcW w:w="2739" w:type="dxa"/>
            <w:vAlign w:val="center"/>
          </w:tcPr>
          <w:p w:rsidR="008532F3" w:rsidRPr="007F52FA" w:rsidRDefault="008532F3" w:rsidP="00761982">
            <w:pPr>
              <w:spacing w:before="29" w:line="288" w:lineRule="auto"/>
              <w:jc w:val="left"/>
              <w:rPr>
                <w:sz w:val="24"/>
              </w:rPr>
            </w:pPr>
            <w:r w:rsidRPr="007F52FA">
              <w:rPr>
                <w:sz w:val="24"/>
              </w:rPr>
              <w:t>交银纯债债券发起</w:t>
            </w:r>
            <w:r w:rsidRPr="007F52FA">
              <w:rPr>
                <w:sz w:val="24"/>
              </w:rPr>
              <w:t>A/B</w:t>
            </w:r>
          </w:p>
        </w:tc>
        <w:tc>
          <w:tcPr>
            <w:tcW w:w="2740" w:type="dxa"/>
            <w:vAlign w:val="center"/>
          </w:tcPr>
          <w:p w:rsidR="008532F3" w:rsidRPr="007F52FA" w:rsidRDefault="008532F3" w:rsidP="00761982">
            <w:pPr>
              <w:spacing w:before="29" w:line="288" w:lineRule="auto"/>
              <w:jc w:val="left"/>
              <w:rPr>
                <w:sz w:val="24"/>
              </w:rPr>
            </w:pPr>
            <w:r w:rsidRPr="007F52FA">
              <w:rPr>
                <w:sz w:val="24"/>
              </w:rPr>
              <w:t>交银纯债债券发起</w:t>
            </w:r>
            <w:r w:rsidRPr="007F52FA">
              <w:rPr>
                <w:sz w:val="24"/>
              </w:rPr>
              <w:t>C</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下属两级基金的交易代码</w:t>
            </w:r>
          </w:p>
        </w:tc>
        <w:tc>
          <w:tcPr>
            <w:tcW w:w="2739" w:type="dxa"/>
            <w:vAlign w:val="center"/>
          </w:tcPr>
          <w:p w:rsidR="00FD45FA" w:rsidRPr="007F52FA" w:rsidRDefault="00FD45FA" w:rsidP="00761982">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2740" w:type="dxa"/>
            <w:vAlign w:val="center"/>
          </w:tcPr>
          <w:p w:rsidR="00FD45FA" w:rsidRPr="007F52FA" w:rsidRDefault="00FD45FA" w:rsidP="00761982">
            <w:pPr>
              <w:spacing w:before="29" w:line="288" w:lineRule="auto"/>
              <w:jc w:val="left"/>
              <w:rPr>
                <w:color w:val="000000" w:themeColor="text1"/>
                <w:sz w:val="24"/>
              </w:rPr>
            </w:pPr>
            <w:r w:rsidRPr="007F52FA">
              <w:rPr>
                <w:color w:val="000000" w:themeColor="text1"/>
                <w:sz w:val="24"/>
              </w:rPr>
              <w:t>519720</w:t>
            </w:r>
          </w:p>
        </w:tc>
      </w:tr>
      <w:tr w:rsidR="00FD45FA" w:rsidRPr="007F52FA" w:rsidTr="00F32579">
        <w:trPr>
          <w:jc w:val="center"/>
        </w:trPr>
        <w:tc>
          <w:tcPr>
            <w:tcW w:w="2835" w:type="dxa"/>
            <w:vAlign w:val="center"/>
          </w:tcPr>
          <w:p w:rsidR="00FD45FA" w:rsidRPr="007F52FA" w:rsidRDefault="00FD45FA" w:rsidP="00761982">
            <w:pPr>
              <w:adjustRightInd w:val="0"/>
              <w:spacing w:before="29" w:line="288" w:lineRule="auto"/>
              <w:ind w:left="17"/>
              <w:jc w:val="left"/>
              <w:rPr>
                <w:color w:val="000000"/>
                <w:sz w:val="24"/>
              </w:rPr>
            </w:pPr>
            <w:r w:rsidRPr="007F52FA">
              <w:rPr>
                <w:color w:val="000000"/>
                <w:sz w:val="24"/>
              </w:rPr>
              <w:t>报告期末下属两级基金的份额总额</w:t>
            </w:r>
          </w:p>
        </w:tc>
        <w:tc>
          <w:tcPr>
            <w:tcW w:w="2739" w:type="dxa"/>
            <w:vAlign w:val="center"/>
          </w:tcPr>
          <w:p w:rsidR="00FD45FA" w:rsidRPr="007F52FA" w:rsidRDefault="00FD45FA" w:rsidP="00761982">
            <w:pPr>
              <w:spacing w:before="29" w:line="288" w:lineRule="auto"/>
              <w:jc w:val="left"/>
              <w:rPr>
                <w:sz w:val="24"/>
              </w:rPr>
            </w:pPr>
            <w:r w:rsidRPr="007F52FA">
              <w:rPr>
                <w:sz w:val="24"/>
              </w:rPr>
              <w:t>170,008,855.48</w:t>
            </w:r>
            <w:r w:rsidRPr="007F52FA">
              <w:rPr>
                <w:color w:val="000000"/>
                <w:kern w:val="0"/>
                <w:sz w:val="24"/>
              </w:rPr>
              <w:t>份</w:t>
            </w:r>
          </w:p>
        </w:tc>
        <w:tc>
          <w:tcPr>
            <w:tcW w:w="2740" w:type="dxa"/>
            <w:vAlign w:val="center"/>
          </w:tcPr>
          <w:p w:rsidR="00FD45FA" w:rsidRPr="007F52FA" w:rsidRDefault="00FD45FA" w:rsidP="00761982">
            <w:pPr>
              <w:spacing w:before="29" w:line="288" w:lineRule="auto"/>
              <w:jc w:val="left"/>
              <w:rPr>
                <w:sz w:val="24"/>
              </w:rPr>
            </w:pPr>
            <w:r w:rsidRPr="007F52FA">
              <w:rPr>
                <w:sz w:val="24"/>
              </w:rPr>
              <w:t>11,391,747.47</w:t>
            </w:r>
            <w:r w:rsidRPr="007F52FA">
              <w:rPr>
                <w:color w:val="000000"/>
                <w:kern w:val="0"/>
                <w:sz w:val="24"/>
              </w:rPr>
              <w:t>份</w:t>
            </w:r>
          </w:p>
        </w:tc>
      </w:tr>
    </w:tbl>
    <w:p w:rsidR="00177BC1" w:rsidRDefault="00C361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61982">
      <w:pPr>
        <w:autoSpaceDE w:val="0"/>
        <w:autoSpaceDN w:val="0"/>
        <w:adjustRightInd w:val="0"/>
        <w:spacing w:before="29" w:line="288" w:lineRule="auto"/>
        <w:jc w:val="left"/>
        <w:rPr>
          <w:rFonts w:eastAsiaTheme="minorEastAsia"/>
          <w:color w:val="000000"/>
          <w:sz w:val="24"/>
        </w:rPr>
      </w:pPr>
    </w:p>
    <w:p w:rsidR="009238DB" w:rsidRPr="007F52FA" w:rsidRDefault="009238DB" w:rsidP="00F83EE8">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61982">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61982">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61982">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61982">
            <w:pPr>
              <w:adjustRightInd w:val="0"/>
              <w:spacing w:before="29" w:line="288" w:lineRule="auto"/>
              <w:ind w:left="17"/>
              <w:jc w:val="center"/>
              <w:rPr>
                <w:color w:val="000000"/>
                <w:sz w:val="24"/>
              </w:rPr>
            </w:pPr>
            <w:r w:rsidRPr="007F52FA">
              <w:rPr>
                <w:color w:val="000000"/>
                <w:sz w:val="24"/>
              </w:rPr>
              <w:t>(2014</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61982">
            <w:pPr>
              <w:adjustRightInd w:val="0"/>
              <w:spacing w:before="29" w:line="288" w:lineRule="auto"/>
              <w:ind w:left="17"/>
              <w:jc w:val="center"/>
              <w:rPr>
                <w:kern w:val="0"/>
                <w:sz w:val="24"/>
              </w:rPr>
            </w:pPr>
          </w:p>
        </w:tc>
        <w:tc>
          <w:tcPr>
            <w:tcW w:w="2481" w:type="dxa"/>
            <w:vAlign w:val="center"/>
          </w:tcPr>
          <w:p w:rsidR="009E549D" w:rsidRPr="007F52FA" w:rsidRDefault="009E549D" w:rsidP="00761982">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61982">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-1,175,782.92</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-66,428.59</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4,224,215.83</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281,523.45</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0.0202</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0.0174</w:t>
            </w:r>
          </w:p>
        </w:tc>
      </w:tr>
      <w:tr w:rsidR="005F293E" w:rsidRPr="007F52FA" w:rsidTr="007A5233">
        <w:trPr>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171,608,596.41</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11,411,490.38</w:t>
            </w:r>
          </w:p>
        </w:tc>
      </w:tr>
      <w:tr w:rsidR="005F293E" w:rsidRPr="007F52FA" w:rsidTr="007A5233">
        <w:trPr>
          <w:trHeight w:val="158"/>
          <w:jc w:val="center"/>
        </w:trPr>
        <w:tc>
          <w:tcPr>
            <w:tcW w:w="3402" w:type="dxa"/>
            <w:vAlign w:val="center"/>
          </w:tcPr>
          <w:p w:rsidR="005F293E" w:rsidRPr="007F52FA" w:rsidRDefault="005F293E" w:rsidP="00761982">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61982">
            <w:pPr>
              <w:adjustRightInd w:val="0"/>
              <w:spacing w:before="29" w:line="288" w:lineRule="auto"/>
              <w:ind w:left="17"/>
              <w:jc w:val="right"/>
              <w:rPr>
                <w:color w:val="000000"/>
                <w:sz w:val="24"/>
              </w:rPr>
            </w:pPr>
            <w:r w:rsidRPr="007F52FA">
              <w:rPr>
                <w:color w:val="000000"/>
                <w:sz w:val="24"/>
              </w:rPr>
              <w:t>1.009</w:t>
            </w:r>
          </w:p>
        </w:tc>
        <w:tc>
          <w:tcPr>
            <w:tcW w:w="2481" w:type="dxa"/>
            <w:vAlign w:val="center"/>
          </w:tcPr>
          <w:p w:rsidR="005F293E" w:rsidRPr="007F52FA" w:rsidRDefault="00FE7FBD" w:rsidP="00761982">
            <w:pPr>
              <w:adjustRightInd w:val="0"/>
              <w:spacing w:before="29" w:line="288" w:lineRule="auto"/>
              <w:ind w:left="17"/>
              <w:jc w:val="right"/>
              <w:rPr>
                <w:color w:val="000000"/>
                <w:sz w:val="24"/>
              </w:rPr>
            </w:pPr>
            <w:r w:rsidRPr="007F52FA">
              <w:rPr>
                <w:color w:val="000000"/>
                <w:sz w:val="24"/>
              </w:rPr>
              <w:t>1.002</w:t>
            </w:r>
          </w:p>
        </w:tc>
      </w:tr>
    </w:tbl>
    <w:p w:rsidR="00177BC1" w:rsidRDefault="00C361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61982">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61982">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77BC1">
        <w:trPr>
          <w:jc w:val="center"/>
        </w:trPr>
        <w:tc>
          <w:tcPr>
            <w:tcW w:w="1266" w:type="dxa"/>
            <w:vAlign w:val="center"/>
          </w:tcPr>
          <w:p w:rsidR="00177BC1" w:rsidRDefault="00C361E7">
            <w:pPr>
              <w:jc w:val="left"/>
            </w:pPr>
            <w:r>
              <w:rPr>
                <w:color w:val="000000"/>
                <w:sz w:val="24"/>
              </w:rPr>
              <w:t>过去三个月</w:t>
            </w:r>
          </w:p>
        </w:tc>
        <w:tc>
          <w:tcPr>
            <w:tcW w:w="1267" w:type="dxa"/>
            <w:vAlign w:val="center"/>
          </w:tcPr>
          <w:p w:rsidR="00177BC1" w:rsidRDefault="00C361E7">
            <w:pPr>
              <w:jc w:val="center"/>
            </w:pPr>
            <w:r>
              <w:rPr>
                <w:color w:val="000000"/>
                <w:sz w:val="24"/>
              </w:rPr>
              <w:t>2.02%</w:t>
            </w:r>
          </w:p>
        </w:tc>
        <w:tc>
          <w:tcPr>
            <w:tcW w:w="1267" w:type="dxa"/>
            <w:vAlign w:val="center"/>
          </w:tcPr>
          <w:p w:rsidR="00177BC1" w:rsidRDefault="00C361E7">
            <w:pPr>
              <w:jc w:val="center"/>
            </w:pPr>
            <w:r>
              <w:rPr>
                <w:color w:val="000000"/>
                <w:sz w:val="24"/>
              </w:rPr>
              <w:t>0.11%</w:t>
            </w:r>
          </w:p>
        </w:tc>
        <w:tc>
          <w:tcPr>
            <w:tcW w:w="1267" w:type="dxa"/>
            <w:vAlign w:val="center"/>
          </w:tcPr>
          <w:p w:rsidR="00177BC1" w:rsidRDefault="00C361E7">
            <w:pPr>
              <w:jc w:val="center"/>
            </w:pPr>
            <w:r>
              <w:rPr>
                <w:color w:val="000000"/>
                <w:sz w:val="24"/>
              </w:rPr>
              <w:t>1.61%</w:t>
            </w:r>
          </w:p>
        </w:tc>
        <w:tc>
          <w:tcPr>
            <w:tcW w:w="1267" w:type="dxa"/>
            <w:vAlign w:val="center"/>
          </w:tcPr>
          <w:p w:rsidR="00177BC1" w:rsidRDefault="00C361E7">
            <w:pPr>
              <w:jc w:val="center"/>
            </w:pPr>
            <w:r>
              <w:rPr>
                <w:color w:val="000000"/>
                <w:sz w:val="24"/>
              </w:rPr>
              <w:t>0.08%</w:t>
            </w:r>
          </w:p>
        </w:tc>
        <w:tc>
          <w:tcPr>
            <w:tcW w:w="1267" w:type="dxa"/>
            <w:vAlign w:val="center"/>
          </w:tcPr>
          <w:p w:rsidR="00177BC1" w:rsidRDefault="00C361E7">
            <w:pPr>
              <w:jc w:val="center"/>
            </w:pPr>
            <w:r>
              <w:rPr>
                <w:color w:val="000000"/>
                <w:sz w:val="24"/>
              </w:rPr>
              <w:t>0.41%</w:t>
            </w:r>
          </w:p>
        </w:tc>
        <w:tc>
          <w:tcPr>
            <w:tcW w:w="1267" w:type="dxa"/>
            <w:vAlign w:val="center"/>
          </w:tcPr>
          <w:p w:rsidR="00177BC1" w:rsidRDefault="00C361E7">
            <w:pPr>
              <w:jc w:val="center"/>
            </w:pPr>
            <w:r>
              <w:rPr>
                <w:color w:val="000000"/>
                <w:sz w:val="24"/>
              </w:rPr>
              <w:t>0.03%</w:t>
            </w:r>
          </w:p>
        </w:tc>
      </w:tr>
    </w:tbl>
    <w:p w:rsidR="004425E8" w:rsidRPr="007F52FA" w:rsidRDefault="004425E8" w:rsidP="00761982">
      <w:pPr>
        <w:pStyle w:val="20"/>
        <w:spacing w:before="29" w:line="288" w:lineRule="auto"/>
        <w:ind w:firstLineChars="0" w:firstLine="0"/>
        <w:rPr>
          <w:rFonts w:ascii="Times New Roman" w:eastAsiaTheme="minorEastAsia" w:hAnsi="Times New Roman"/>
          <w:color w:val="000000"/>
        </w:rPr>
      </w:pPr>
    </w:p>
    <w:p w:rsidR="009238DB" w:rsidRPr="007F52FA" w:rsidRDefault="009238DB" w:rsidP="00761982">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61982">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61982">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77BC1">
        <w:trPr>
          <w:jc w:val="center"/>
        </w:trPr>
        <w:tc>
          <w:tcPr>
            <w:tcW w:w="1266" w:type="dxa"/>
            <w:vAlign w:val="center"/>
          </w:tcPr>
          <w:p w:rsidR="00177BC1" w:rsidRDefault="00C361E7">
            <w:pPr>
              <w:jc w:val="left"/>
            </w:pPr>
            <w:r>
              <w:rPr>
                <w:color w:val="000000"/>
                <w:sz w:val="24"/>
              </w:rPr>
              <w:t>过去三个月</w:t>
            </w:r>
          </w:p>
        </w:tc>
        <w:tc>
          <w:tcPr>
            <w:tcW w:w="1267" w:type="dxa"/>
            <w:vAlign w:val="center"/>
          </w:tcPr>
          <w:p w:rsidR="00177BC1" w:rsidRDefault="00C361E7">
            <w:pPr>
              <w:jc w:val="center"/>
            </w:pPr>
            <w:r>
              <w:rPr>
                <w:color w:val="000000"/>
                <w:sz w:val="24"/>
              </w:rPr>
              <w:t>1.83%</w:t>
            </w:r>
          </w:p>
        </w:tc>
        <w:tc>
          <w:tcPr>
            <w:tcW w:w="1267" w:type="dxa"/>
            <w:vAlign w:val="center"/>
          </w:tcPr>
          <w:p w:rsidR="00177BC1" w:rsidRDefault="00C361E7">
            <w:pPr>
              <w:jc w:val="center"/>
            </w:pPr>
            <w:r>
              <w:rPr>
                <w:color w:val="000000"/>
                <w:sz w:val="24"/>
              </w:rPr>
              <w:t>0.11%</w:t>
            </w:r>
          </w:p>
        </w:tc>
        <w:tc>
          <w:tcPr>
            <w:tcW w:w="1267" w:type="dxa"/>
            <w:vAlign w:val="center"/>
          </w:tcPr>
          <w:p w:rsidR="00177BC1" w:rsidRDefault="00C361E7">
            <w:pPr>
              <w:jc w:val="center"/>
            </w:pPr>
            <w:r>
              <w:rPr>
                <w:color w:val="000000"/>
                <w:sz w:val="24"/>
              </w:rPr>
              <w:t>1.61%</w:t>
            </w:r>
          </w:p>
        </w:tc>
        <w:tc>
          <w:tcPr>
            <w:tcW w:w="1267" w:type="dxa"/>
            <w:vAlign w:val="center"/>
          </w:tcPr>
          <w:p w:rsidR="00177BC1" w:rsidRDefault="00C361E7">
            <w:pPr>
              <w:jc w:val="center"/>
            </w:pPr>
            <w:r>
              <w:rPr>
                <w:color w:val="000000"/>
                <w:sz w:val="24"/>
              </w:rPr>
              <w:t>0.08%</w:t>
            </w:r>
          </w:p>
        </w:tc>
        <w:tc>
          <w:tcPr>
            <w:tcW w:w="1267" w:type="dxa"/>
            <w:vAlign w:val="center"/>
          </w:tcPr>
          <w:p w:rsidR="00177BC1" w:rsidRDefault="00C361E7">
            <w:pPr>
              <w:jc w:val="center"/>
            </w:pPr>
            <w:r>
              <w:rPr>
                <w:color w:val="000000"/>
                <w:sz w:val="24"/>
              </w:rPr>
              <w:t>0.22%</w:t>
            </w:r>
          </w:p>
        </w:tc>
        <w:tc>
          <w:tcPr>
            <w:tcW w:w="1267" w:type="dxa"/>
            <w:vAlign w:val="center"/>
          </w:tcPr>
          <w:p w:rsidR="00177BC1" w:rsidRDefault="00C361E7">
            <w:pPr>
              <w:jc w:val="center"/>
            </w:pPr>
            <w:r>
              <w:rPr>
                <w:color w:val="000000"/>
                <w:sz w:val="24"/>
              </w:rPr>
              <w:t>0.03%</w:t>
            </w:r>
          </w:p>
        </w:tc>
      </w:tr>
    </w:tbl>
    <w:p w:rsidR="009238DB" w:rsidRPr="007F52FA" w:rsidRDefault="009238DB" w:rsidP="00761982">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61982">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BF57BE" w:rsidRPr="007F52FA">
        <w:rPr>
          <w:b/>
          <w:color w:val="000000"/>
          <w:sz w:val="24"/>
        </w:rPr>
        <w:t>自基金合同生效以来基金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61982">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61982">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61982">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2014</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61982">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C32DFB" w:rsidRDefault="0042785F" w:rsidP="00C32DFB">
      <w:pPr>
        <w:spacing w:before="29" w:line="288" w:lineRule="auto"/>
        <w:rPr>
          <w:color w:val="000000"/>
          <w:sz w:val="24"/>
        </w:rPr>
      </w:pPr>
      <w:r w:rsidRPr="007F52FA">
        <w:rPr>
          <w:color w:val="000000"/>
          <w:sz w:val="24"/>
        </w:rPr>
        <w:lastRenderedPageBreak/>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61982">
      <w:pPr>
        <w:pStyle w:val="20"/>
        <w:spacing w:before="29" w:line="288" w:lineRule="auto"/>
        <w:ind w:firstLineChars="0" w:firstLine="0"/>
        <w:rPr>
          <w:rFonts w:ascii="Times New Roman" w:hAnsi="Times New Roman"/>
          <w:color w:val="000000"/>
        </w:rPr>
      </w:pPr>
    </w:p>
    <w:p w:rsidR="009238DB" w:rsidRPr="007F52FA" w:rsidRDefault="009238DB" w:rsidP="00761982">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61982">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C32DFB" w:rsidRDefault="00FE7FBD" w:rsidP="00C32DFB">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61982">
      <w:pPr>
        <w:tabs>
          <w:tab w:val="left" w:pos="1800"/>
        </w:tabs>
        <w:spacing w:before="29" w:line="288" w:lineRule="auto"/>
        <w:rPr>
          <w:rFonts w:eastAsiaTheme="minorEastAsia"/>
          <w:color w:val="000000"/>
          <w:sz w:val="24"/>
        </w:rPr>
      </w:pPr>
    </w:p>
    <w:p w:rsidR="009238DB" w:rsidRPr="007F52FA" w:rsidRDefault="009238DB" w:rsidP="00F83EE8">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85"/>
        <w:gridCol w:w="963"/>
        <w:gridCol w:w="1253"/>
        <w:gridCol w:w="1355"/>
        <w:gridCol w:w="1298"/>
        <w:gridCol w:w="3388"/>
      </w:tblGrid>
      <w:tr w:rsidR="00C41617" w:rsidRPr="007F52FA" w:rsidTr="00F87E5F">
        <w:trPr>
          <w:jc w:val="center"/>
        </w:trPr>
        <w:tc>
          <w:tcPr>
            <w:tcW w:w="533" w:type="pct"/>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521" w:type="pct"/>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1411" w:type="pct"/>
            <w:gridSpan w:val="2"/>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702" w:type="pct"/>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1833" w:type="pct"/>
            <w:vMerge w:val="restar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F87E5F">
        <w:trPr>
          <w:jc w:val="center"/>
        </w:trPr>
        <w:tc>
          <w:tcPr>
            <w:tcW w:w="533" w:type="pct"/>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521" w:type="pct"/>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678" w:type="pc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733" w:type="pct"/>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702" w:type="pct"/>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c>
          <w:tcPr>
            <w:tcW w:w="1833" w:type="pct"/>
            <w:vMerge/>
            <w:vAlign w:val="center"/>
          </w:tcPr>
          <w:p w:rsidR="00C41617" w:rsidRPr="007F52FA" w:rsidRDefault="00C41617" w:rsidP="00761982">
            <w:pPr>
              <w:autoSpaceDE w:val="0"/>
              <w:autoSpaceDN w:val="0"/>
              <w:adjustRightInd w:val="0"/>
              <w:spacing w:before="29" w:line="288" w:lineRule="auto"/>
              <w:ind w:left="15"/>
              <w:jc w:val="center"/>
              <w:rPr>
                <w:color w:val="000000"/>
                <w:kern w:val="0"/>
                <w:sz w:val="24"/>
              </w:rPr>
            </w:pPr>
          </w:p>
        </w:tc>
      </w:tr>
      <w:tr w:rsidR="00177BC1" w:rsidTr="00F87E5F">
        <w:trPr>
          <w:jc w:val="center"/>
        </w:trPr>
        <w:tc>
          <w:tcPr>
            <w:tcW w:w="533" w:type="pct"/>
            <w:vAlign w:val="center"/>
          </w:tcPr>
          <w:p w:rsidR="00177BC1" w:rsidRDefault="00C361E7">
            <w:pPr>
              <w:jc w:val="center"/>
            </w:pPr>
            <w:r>
              <w:rPr>
                <w:color w:val="000000"/>
                <w:sz w:val="24"/>
              </w:rPr>
              <w:t>胡军华</w:t>
            </w:r>
          </w:p>
        </w:tc>
        <w:tc>
          <w:tcPr>
            <w:tcW w:w="521" w:type="pct"/>
            <w:vAlign w:val="center"/>
          </w:tcPr>
          <w:p w:rsidR="00177BC1" w:rsidRDefault="00C32DFB" w:rsidP="003A1241">
            <w:pPr>
              <w:jc w:val="center"/>
            </w:pPr>
            <w:r w:rsidRPr="00C32DFB">
              <w:rPr>
                <w:rFonts w:hint="eastAsia"/>
                <w:color w:val="000000"/>
                <w:sz w:val="24"/>
              </w:rPr>
              <w:t>本基金、交银理财</w:t>
            </w:r>
            <w:r w:rsidRPr="00C32DFB">
              <w:rPr>
                <w:color w:val="000000"/>
                <w:sz w:val="24"/>
              </w:rPr>
              <w:t>60</w:t>
            </w:r>
            <w:r w:rsidRPr="00C32DFB">
              <w:rPr>
                <w:rFonts w:hint="eastAsia"/>
                <w:color w:val="000000"/>
                <w:sz w:val="24"/>
              </w:rPr>
              <w:t>天债券、交银双轮动债券的基金经</w:t>
            </w:r>
            <w:r w:rsidRPr="00C32DFB">
              <w:rPr>
                <w:rFonts w:hint="eastAsia"/>
                <w:color w:val="000000"/>
                <w:sz w:val="24"/>
              </w:rPr>
              <w:lastRenderedPageBreak/>
              <w:t>理</w:t>
            </w:r>
            <w:r w:rsidR="00C361E7">
              <w:rPr>
                <w:color w:val="000000"/>
                <w:sz w:val="24"/>
              </w:rPr>
              <w:t>，公司固定收益部总经理</w:t>
            </w:r>
          </w:p>
        </w:tc>
        <w:tc>
          <w:tcPr>
            <w:tcW w:w="678" w:type="pct"/>
            <w:vAlign w:val="center"/>
          </w:tcPr>
          <w:p w:rsidR="00177BC1" w:rsidRDefault="00C361E7">
            <w:pPr>
              <w:jc w:val="center"/>
            </w:pPr>
            <w:r>
              <w:rPr>
                <w:color w:val="000000"/>
                <w:sz w:val="24"/>
              </w:rPr>
              <w:lastRenderedPageBreak/>
              <w:t>2012-12-19</w:t>
            </w:r>
          </w:p>
        </w:tc>
        <w:tc>
          <w:tcPr>
            <w:tcW w:w="733" w:type="pct"/>
            <w:vAlign w:val="center"/>
          </w:tcPr>
          <w:p w:rsidR="00177BC1" w:rsidRDefault="00C361E7">
            <w:pPr>
              <w:jc w:val="center"/>
            </w:pPr>
            <w:r>
              <w:rPr>
                <w:color w:val="000000"/>
                <w:sz w:val="24"/>
              </w:rPr>
              <w:t>2014-03-31</w:t>
            </w:r>
          </w:p>
        </w:tc>
        <w:tc>
          <w:tcPr>
            <w:tcW w:w="702" w:type="pct"/>
            <w:vAlign w:val="center"/>
          </w:tcPr>
          <w:p w:rsidR="00177BC1" w:rsidRDefault="00C361E7">
            <w:pPr>
              <w:jc w:val="center"/>
            </w:pPr>
            <w:r>
              <w:rPr>
                <w:color w:val="000000"/>
                <w:sz w:val="24"/>
              </w:rPr>
              <w:t>22</w:t>
            </w:r>
            <w:r>
              <w:rPr>
                <w:color w:val="000000"/>
                <w:sz w:val="24"/>
              </w:rPr>
              <w:t>年</w:t>
            </w:r>
          </w:p>
        </w:tc>
        <w:tc>
          <w:tcPr>
            <w:tcW w:w="1833" w:type="pct"/>
            <w:vAlign w:val="center"/>
          </w:tcPr>
          <w:p w:rsidR="00177BC1" w:rsidRDefault="00C361E7">
            <w:r>
              <w:rPr>
                <w:color w:val="000000"/>
                <w:sz w:val="24"/>
              </w:rPr>
              <w:t>胡军华女士，中国人民大学经济学硕士。历任中国经济开发信托投资公司证券业务总部研究部副总经理，华鑫证券有限公司深圳营业部副总经理，原南方证券有限公司债券业务总部投资经理，招商基金管理有限公司固定收益部总监、基金经理，瑞银证券资产管理部</w:t>
            </w:r>
            <w:r>
              <w:rPr>
                <w:color w:val="000000"/>
                <w:sz w:val="24"/>
              </w:rPr>
              <w:t>/</w:t>
            </w:r>
            <w:r>
              <w:rPr>
                <w:color w:val="000000"/>
                <w:sz w:val="24"/>
              </w:rPr>
              <w:t>财</w:t>
            </w:r>
            <w:r>
              <w:rPr>
                <w:color w:val="000000"/>
                <w:sz w:val="24"/>
              </w:rPr>
              <w:lastRenderedPageBreak/>
              <w:t>富管理部董事、高级投资组合经理。其中</w:t>
            </w:r>
            <w:r>
              <w:rPr>
                <w:color w:val="000000"/>
                <w:sz w:val="24"/>
              </w:rPr>
              <w:t>2005</w:t>
            </w:r>
            <w:r>
              <w:rPr>
                <w:color w:val="000000"/>
                <w:sz w:val="24"/>
              </w:rPr>
              <w:t>年</w:t>
            </w:r>
            <w:r>
              <w:rPr>
                <w:color w:val="000000"/>
                <w:sz w:val="24"/>
              </w:rPr>
              <w:t>5</w:t>
            </w:r>
            <w:r>
              <w:rPr>
                <w:color w:val="000000"/>
                <w:sz w:val="24"/>
              </w:rPr>
              <w:t>月至</w:t>
            </w:r>
            <w:r>
              <w:rPr>
                <w:color w:val="000000"/>
                <w:sz w:val="24"/>
              </w:rPr>
              <w:t>2006</w:t>
            </w:r>
            <w:r>
              <w:rPr>
                <w:color w:val="000000"/>
                <w:sz w:val="24"/>
              </w:rPr>
              <w:t>年</w:t>
            </w:r>
            <w:r>
              <w:rPr>
                <w:color w:val="000000"/>
                <w:sz w:val="24"/>
              </w:rPr>
              <w:t>5</w:t>
            </w:r>
            <w:r>
              <w:rPr>
                <w:color w:val="000000"/>
                <w:sz w:val="24"/>
              </w:rPr>
              <w:t>月担任招商现金增值开放式证券投资基金基金经理，</w:t>
            </w:r>
            <w:r>
              <w:rPr>
                <w:color w:val="000000"/>
                <w:sz w:val="24"/>
              </w:rPr>
              <w:t>2005</w:t>
            </w:r>
            <w:r>
              <w:rPr>
                <w:color w:val="000000"/>
                <w:sz w:val="24"/>
              </w:rPr>
              <w:t>年</w:t>
            </w:r>
            <w:r>
              <w:rPr>
                <w:color w:val="000000"/>
                <w:sz w:val="24"/>
              </w:rPr>
              <w:t>8</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月担任招商安泰系列证券投资基金基金经理，</w:t>
            </w:r>
            <w:r>
              <w:rPr>
                <w:color w:val="000000"/>
                <w:sz w:val="24"/>
              </w:rPr>
              <w:t>2006</w:t>
            </w:r>
            <w:r>
              <w:rPr>
                <w:color w:val="000000"/>
                <w:sz w:val="24"/>
              </w:rPr>
              <w:t>年</w:t>
            </w:r>
            <w:r>
              <w:rPr>
                <w:color w:val="000000"/>
                <w:sz w:val="24"/>
              </w:rPr>
              <w:t>7</w:t>
            </w:r>
            <w:r>
              <w:rPr>
                <w:color w:val="000000"/>
                <w:sz w:val="24"/>
              </w:rPr>
              <w:t>月至</w:t>
            </w:r>
            <w:r>
              <w:rPr>
                <w:color w:val="000000"/>
                <w:sz w:val="24"/>
              </w:rPr>
              <w:t>2008</w:t>
            </w:r>
            <w:r>
              <w:rPr>
                <w:color w:val="000000"/>
                <w:sz w:val="24"/>
              </w:rPr>
              <w:t>年</w:t>
            </w:r>
            <w:r>
              <w:rPr>
                <w:color w:val="000000"/>
                <w:sz w:val="24"/>
              </w:rPr>
              <w:t>12</w:t>
            </w:r>
            <w:r>
              <w:rPr>
                <w:color w:val="000000"/>
                <w:sz w:val="24"/>
              </w:rPr>
              <w:t>月担任招商安本增利债券型证券投资基金基金经理。</w:t>
            </w:r>
            <w:r>
              <w:rPr>
                <w:color w:val="000000"/>
                <w:sz w:val="24"/>
              </w:rPr>
              <w:t>2012</w:t>
            </w:r>
            <w:r>
              <w:rPr>
                <w:color w:val="000000"/>
                <w:sz w:val="24"/>
              </w:rPr>
              <w:t>年加入交银施罗德基金管理有限公司，</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日担任交银施罗德理财</w:t>
            </w:r>
            <w:r>
              <w:rPr>
                <w:color w:val="000000"/>
                <w:sz w:val="24"/>
              </w:rPr>
              <w:t>60</w:t>
            </w:r>
            <w:r>
              <w:rPr>
                <w:color w:val="000000"/>
                <w:sz w:val="24"/>
              </w:rPr>
              <w:t>天债券型证券投资基金基金经理，</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日担任交银施罗德双轮动债券型证券投资基金基金经理。</w:t>
            </w:r>
          </w:p>
        </w:tc>
      </w:tr>
      <w:tr w:rsidR="00177BC1" w:rsidTr="00F87E5F">
        <w:trPr>
          <w:jc w:val="center"/>
        </w:trPr>
        <w:tc>
          <w:tcPr>
            <w:tcW w:w="533" w:type="pct"/>
            <w:vAlign w:val="center"/>
          </w:tcPr>
          <w:p w:rsidR="00177BC1" w:rsidRDefault="00C361E7">
            <w:pPr>
              <w:jc w:val="center"/>
            </w:pPr>
            <w:r>
              <w:rPr>
                <w:color w:val="000000"/>
                <w:sz w:val="24"/>
              </w:rPr>
              <w:lastRenderedPageBreak/>
              <w:t>林洪钧</w:t>
            </w:r>
          </w:p>
        </w:tc>
        <w:tc>
          <w:tcPr>
            <w:tcW w:w="521" w:type="pct"/>
            <w:vAlign w:val="center"/>
          </w:tcPr>
          <w:p w:rsidR="00CB763B" w:rsidRPr="00CB763B" w:rsidRDefault="00C32DFB" w:rsidP="00F83EE8">
            <w:pPr>
              <w:spacing w:line="560" w:lineRule="exact"/>
              <w:ind w:firstLineChars="200" w:firstLine="480"/>
              <w:jc w:val="center"/>
              <w:rPr>
                <w:color w:val="000000"/>
                <w:sz w:val="24"/>
              </w:rPr>
            </w:pPr>
            <w:r w:rsidRPr="00C32DFB">
              <w:rPr>
                <w:rFonts w:hint="eastAsia"/>
                <w:color w:val="000000"/>
                <w:sz w:val="24"/>
              </w:rPr>
              <w:t>本基金、交银货币、交银信用添利债券</w:t>
            </w:r>
            <w:r w:rsidR="003F589D">
              <w:rPr>
                <w:rFonts w:hint="eastAsia"/>
                <w:color w:val="000000"/>
                <w:sz w:val="24"/>
              </w:rPr>
              <w:t>（</w:t>
            </w:r>
            <w:r w:rsidR="003F589D">
              <w:rPr>
                <w:rFonts w:hint="eastAsia"/>
                <w:color w:val="000000"/>
                <w:sz w:val="24"/>
              </w:rPr>
              <w:t>LOF</w:t>
            </w:r>
            <w:r w:rsidR="003F589D">
              <w:rPr>
                <w:rFonts w:hint="eastAsia"/>
                <w:color w:val="000000"/>
                <w:sz w:val="24"/>
              </w:rPr>
              <w:t>）</w:t>
            </w:r>
            <w:r w:rsidRPr="00C32DFB">
              <w:rPr>
                <w:rFonts w:hint="eastAsia"/>
                <w:color w:val="000000"/>
                <w:sz w:val="24"/>
              </w:rPr>
              <w:t>、交银理财</w:t>
            </w:r>
            <w:r w:rsidRPr="00C32DFB">
              <w:rPr>
                <w:color w:val="000000"/>
                <w:sz w:val="24"/>
              </w:rPr>
              <w:t>21</w:t>
            </w:r>
            <w:r w:rsidRPr="00C32DFB">
              <w:rPr>
                <w:rFonts w:hint="eastAsia"/>
                <w:color w:val="000000"/>
                <w:sz w:val="24"/>
              </w:rPr>
              <w:t>天债券的基金经理，交</w:t>
            </w:r>
            <w:r w:rsidRPr="00C32DFB">
              <w:rPr>
                <w:rFonts w:hint="eastAsia"/>
                <w:color w:val="000000"/>
                <w:sz w:val="24"/>
              </w:rPr>
              <w:lastRenderedPageBreak/>
              <w:t>银荣安保本混合、交银荣祥保本混合的基金经理助理，公司固定收益部助理总经理</w:t>
            </w:r>
          </w:p>
        </w:tc>
        <w:tc>
          <w:tcPr>
            <w:tcW w:w="678" w:type="pct"/>
            <w:vAlign w:val="center"/>
          </w:tcPr>
          <w:p w:rsidR="00177BC1" w:rsidRDefault="00C361E7">
            <w:pPr>
              <w:jc w:val="center"/>
            </w:pPr>
            <w:r>
              <w:rPr>
                <w:color w:val="000000"/>
                <w:sz w:val="24"/>
              </w:rPr>
              <w:lastRenderedPageBreak/>
              <w:t>2014-03-31</w:t>
            </w:r>
          </w:p>
        </w:tc>
        <w:tc>
          <w:tcPr>
            <w:tcW w:w="733" w:type="pct"/>
            <w:vAlign w:val="center"/>
          </w:tcPr>
          <w:p w:rsidR="00177BC1" w:rsidRDefault="00C361E7">
            <w:pPr>
              <w:jc w:val="center"/>
            </w:pPr>
            <w:r>
              <w:rPr>
                <w:color w:val="000000"/>
                <w:sz w:val="24"/>
              </w:rPr>
              <w:t>-</w:t>
            </w:r>
          </w:p>
        </w:tc>
        <w:tc>
          <w:tcPr>
            <w:tcW w:w="702" w:type="pct"/>
            <w:vAlign w:val="center"/>
          </w:tcPr>
          <w:p w:rsidR="00177BC1" w:rsidRDefault="00C361E7">
            <w:pPr>
              <w:jc w:val="center"/>
            </w:pPr>
            <w:r>
              <w:rPr>
                <w:color w:val="000000"/>
                <w:sz w:val="24"/>
              </w:rPr>
              <w:t>10</w:t>
            </w:r>
            <w:r>
              <w:rPr>
                <w:color w:val="000000"/>
                <w:sz w:val="24"/>
              </w:rPr>
              <w:t>年</w:t>
            </w:r>
          </w:p>
        </w:tc>
        <w:tc>
          <w:tcPr>
            <w:tcW w:w="1833" w:type="pct"/>
            <w:vAlign w:val="center"/>
          </w:tcPr>
          <w:p w:rsidR="00177BC1" w:rsidRDefault="00C361E7">
            <w:r>
              <w:rPr>
                <w:color w:val="000000"/>
                <w:sz w:val="24"/>
              </w:rPr>
              <w:t>林洪钧先生，复旦大学学士。历任国泰君安证券股份有限公司上海分公司机构客户部客户经理，华安基金管理有限公司债券交易员，加拿大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w:t>
            </w:r>
          </w:p>
        </w:tc>
      </w:tr>
    </w:tbl>
    <w:p w:rsidR="005C7D00" w:rsidRPr="007F52FA" w:rsidRDefault="005C7D00" w:rsidP="00761982">
      <w:pPr>
        <w:pStyle w:val="20"/>
        <w:spacing w:before="29" w:line="288" w:lineRule="auto"/>
        <w:ind w:firstLineChars="0" w:firstLine="0"/>
        <w:rPr>
          <w:rFonts w:ascii="Times New Roman" w:eastAsiaTheme="minorEastAsia" w:hAnsi="Times New Roman"/>
          <w:color w:val="auto"/>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61982">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61982">
      <w:pPr>
        <w:autoSpaceDE w:val="0"/>
        <w:autoSpaceDN w:val="0"/>
        <w:adjustRightInd w:val="0"/>
        <w:spacing w:before="29" w:line="288" w:lineRule="auto"/>
        <w:jc w:val="left"/>
        <w:rPr>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61982">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77BC1" w:rsidRDefault="00C361E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77BC1" w:rsidRDefault="00C361E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7BC1" w:rsidRDefault="00C361E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61982">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61982">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61982">
      <w:pPr>
        <w:spacing w:before="29" w:line="288" w:lineRule="auto"/>
        <w:ind w:firstLineChars="200" w:firstLine="480"/>
        <w:rPr>
          <w:color w:val="000000"/>
          <w:sz w:val="24"/>
        </w:rPr>
      </w:pPr>
      <w:r w:rsidRPr="007F52FA">
        <w:rPr>
          <w:color w:val="000000"/>
          <w:sz w:val="24"/>
        </w:rPr>
        <w:t>本报告期内，本公司管理的所有投资组合未发生参与的交易所公开竞价同日反向交易成交较少的单边交易量超过该证券当日总成交量</w:t>
      </w:r>
      <w:r w:rsidRPr="007F52FA">
        <w:rPr>
          <w:color w:val="000000"/>
          <w:sz w:val="24"/>
        </w:rPr>
        <w:t>5%</w:t>
      </w:r>
      <w:r w:rsidRPr="007F52FA">
        <w:rPr>
          <w:color w:val="000000"/>
          <w:sz w:val="24"/>
        </w:rPr>
        <w:t>的情形。本基金于本报告期内未出现异常交易行为。</w:t>
      </w:r>
    </w:p>
    <w:p w:rsidR="009238DB" w:rsidRPr="007F52FA" w:rsidRDefault="009238DB" w:rsidP="00761982">
      <w:pPr>
        <w:autoSpaceDE w:val="0"/>
        <w:autoSpaceDN w:val="0"/>
        <w:adjustRightInd w:val="0"/>
        <w:spacing w:before="29" w:line="288" w:lineRule="auto"/>
        <w:jc w:val="left"/>
        <w:rPr>
          <w:color w:val="000000"/>
          <w:kern w:val="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177BC1" w:rsidRDefault="00C361E7">
      <w:pPr>
        <w:spacing w:before="29" w:line="288" w:lineRule="auto"/>
        <w:ind w:firstLineChars="200" w:firstLine="480"/>
        <w:rPr>
          <w:color w:val="000000"/>
          <w:sz w:val="24"/>
        </w:rPr>
      </w:pPr>
      <w:r>
        <w:rPr>
          <w:color w:val="000000"/>
          <w:sz w:val="24"/>
        </w:rPr>
        <w:t>2014</w:t>
      </w:r>
      <w:r>
        <w:rPr>
          <w:color w:val="000000"/>
          <w:sz w:val="24"/>
        </w:rPr>
        <w:t>年伊始，去年孱弱的债券市场似乎慢慢出现了些许变化：紧绷的流动性神经开始舒缓，银行间</w:t>
      </w:r>
      <w:r>
        <w:rPr>
          <w:color w:val="000000"/>
          <w:sz w:val="24"/>
        </w:rPr>
        <w:t>7</w:t>
      </w:r>
      <w:r>
        <w:rPr>
          <w:color w:val="000000"/>
          <w:sz w:val="24"/>
        </w:rPr>
        <w:t>天质押式回购利率在春节后逐步降低，</w:t>
      </w:r>
      <w:r>
        <w:rPr>
          <w:color w:val="000000"/>
          <w:sz w:val="24"/>
        </w:rPr>
        <w:t>3</w:t>
      </w:r>
      <w:r>
        <w:rPr>
          <w:color w:val="000000"/>
          <w:sz w:val="24"/>
        </w:rPr>
        <w:t>月上旬基本平稳在</w:t>
      </w:r>
      <w:r>
        <w:rPr>
          <w:color w:val="000000"/>
          <w:sz w:val="24"/>
        </w:rPr>
        <w:t>2.5%</w:t>
      </w:r>
      <w:r>
        <w:rPr>
          <w:color w:val="000000"/>
          <w:sz w:val="24"/>
        </w:rPr>
        <w:t>水平；通胀低于预期，经济复苏动能同样低于预期；债券市场在</w:t>
      </w:r>
      <w:r>
        <w:rPr>
          <w:color w:val="000000"/>
          <w:sz w:val="24"/>
        </w:rPr>
        <w:t>2</w:t>
      </w:r>
      <w:r>
        <w:rPr>
          <w:color w:val="000000"/>
          <w:sz w:val="24"/>
        </w:rPr>
        <w:t>月份、</w:t>
      </w:r>
      <w:r>
        <w:rPr>
          <w:color w:val="000000"/>
          <w:sz w:val="24"/>
        </w:rPr>
        <w:t>3</w:t>
      </w:r>
      <w:r>
        <w:rPr>
          <w:color w:val="000000"/>
          <w:sz w:val="24"/>
        </w:rPr>
        <w:t>月初经历了一波小阳春行情。在这种背景下，</w:t>
      </w:r>
      <w:r>
        <w:rPr>
          <w:color w:val="000000"/>
          <w:sz w:val="24"/>
        </w:rPr>
        <w:t>2</w:t>
      </w:r>
      <w:r>
        <w:rPr>
          <w:color w:val="000000"/>
          <w:sz w:val="24"/>
        </w:rPr>
        <w:t>月份债券市场表现相当养眼，中、高评级的企业债收益率一路下行，城投债重新受到投资者青睐，部分城投债收益率下行</w:t>
      </w:r>
      <w:r>
        <w:rPr>
          <w:color w:val="000000"/>
          <w:sz w:val="24"/>
        </w:rPr>
        <w:t>100—150BP</w:t>
      </w:r>
      <w:r>
        <w:rPr>
          <w:color w:val="000000"/>
          <w:sz w:val="24"/>
        </w:rPr>
        <w:t>。然而，正当市场对债市的憧憬升温之际，</w:t>
      </w:r>
      <w:r>
        <w:rPr>
          <w:color w:val="000000"/>
          <w:sz w:val="24"/>
        </w:rPr>
        <w:t>3</w:t>
      </w:r>
      <w:r>
        <w:rPr>
          <w:color w:val="000000"/>
          <w:sz w:val="24"/>
        </w:rPr>
        <w:t>月份市场似乎又悄然发生了一些变化：汇率波动改革造成人民币贬值预期，贬值预期影响了外汇占款流入预期，随之影响的是债券市场对流动性的预期；于此同时，保经济的可能性在不断挑战债券投资者原先乐观的预期。在此情况下，整个</w:t>
      </w:r>
      <w:r>
        <w:rPr>
          <w:color w:val="000000"/>
          <w:sz w:val="24"/>
        </w:rPr>
        <w:t>3</w:t>
      </w:r>
      <w:r>
        <w:rPr>
          <w:color w:val="000000"/>
          <w:sz w:val="24"/>
        </w:rPr>
        <w:t>月份，债市表现平平，收益率出现了小幅上升。</w:t>
      </w:r>
    </w:p>
    <w:p w:rsidR="00177BC1" w:rsidRDefault="00C361E7">
      <w:pPr>
        <w:spacing w:before="29" w:line="288" w:lineRule="auto"/>
        <w:ind w:firstLineChars="200" w:firstLine="480"/>
        <w:rPr>
          <w:color w:val="000000"/>
          <w:sz w:val="24"/>
        </w:rPr>
      </w:pPr>
      <w:r>
        <w:rPr>
          <w:color w:val="000000"/>
          <w:sz w:val="24"/>
        </w:rPr>
        <w:t>宏观方面，</w:t>
      </w:r>
      <w:r>
        <w:rPr>
          <w:color w:val="000000"/>
          <w:sz w:val="24"/>
        </w:rPr>
        <w:t>1</w:t>
      </w:r>
      <w:r>
        <w:rPr>
          <w:color w:val="000000"/>
          <w:sz w:val="24"/>
        </w:rPr>
        <w:t>、</w:t>
      </w:r>
      <w:r>
        <w:rPr>
          <w:color w:val="000000"/>
          <w:sz w:val="24"/>
        </w:rPr>
        <w:t>2</w:t>
      </w:r>
      <w:r>
        <w:rPr>
          <w:color w:val="000000"/>
          <w:sz w:val="24"/>
        </w:rPr>
        <w:t>月份数据相对较少，</w:t>
      </w:r>
      <w:r>
        <w:rPr>
          <w:color w:val="000000"/>
          <w:sz w:val="24"/>
        </w:rPr>
        <w:t>1</w:t>
      </w:r>
      <w:r>
        <w:rPr>
          <w:color w:val="000000"/>
          <w:sz w:val="24"/>
        </w:rPr>
        <w:t>、</w:t>
      </w:r>
      <w:r>
        <w:rPr>
          <w:color w:val="000000"/>
          <w:sz w:val="24"/>
        </w:rPr>
        <w:t>2</w:t>
      </w:r>
      <w:r>
        <w:rPr>
          <w:color w:val="000000"/>
          <w:sz w:val="24"/>
        </w:rPr>
        <w:t>月累计工业增加值</w:t>
      </w:r>
      <w:r>
        <w:rPr>
          <w:color w:val="000000"/>
          <w:sz w:val="24"/>
        </w:rPr>
        <w:t>8.6%</w:t>
      </w:r>
      <w:r>
        <w:rPr>
          <w:color w:val="000000"/>
          <w:sz w:val="24"/>
        </w:rPr>
        <w:t>，远低此前预期；</w:t>
      </w:r>
      <w:r>
        <w:rPr>
          <w:color w:val="000000"/>
          <w:sz w:val="24"/>
        </w:rPr>
        <w:t>1</w:t>
      </w:r>
      <w:r>
        <w:rPr>
          <w:color w:val="000000"/>
          <w:sz w:val="24"/>
        </w:rPr>
        <w:t>月通胀</w:t>
      </w:r>
      <w:r>
        <w:rPr>
          <w:color w:val="000000"/>
          <w:sz w:val="24"/>
        </w:rPr>
        <w:t>2.5%</w:t>
      </w:r>
      <w:r>
        <w:rPr>
          <w:color w:val="000000"/>
          <w:sz w:val="24"/>
        </w:rPr>
        <w:t>，</w:t>
      </w:r>
      <w:r>
        <w:rPr>
          <w:color w:val="000000"/>
          <w:sz w:val="24"/>
        </w:rPr>
        <w:t>2</w:t>
      </w:r>
      <w:r>
        <w:rPr>
          <w:color w:val="000000"/>
          <w:sz w:val="24"/>
        </w:rPr>
        <w:t>月通胀</w:t>
      </w:r>
      <w:r>
        <w:rPr>
          <w:color w:val="000000"/>
          <w:sz w:val="24"/>
        </w:rPr>
        <w:t>2.0%</w:t>
      </w:r>
      <w:r>
        <w:rPr>
          <w:color w:val="000000"/>
          <w:sz w:val="24"/>
        </w:rPr>
        <w:t>，都处较低水平；同时</w:t>
      </w:r>
      <w:r>
        <w:rPr>
          <w:color w:val="000000"/>
          <w:sz w:val="24"/>
        </w:rPr>
        <w:t>2</w:t>
      </w:r>
      <w:r>
        <w:rPr>
          <w:color w:val="000000"/>
          <w:sz w:val="24"/>
        </w:rPr>
        <w:t>月</w:t>
      </w:r>
      <w:r>
        <w:rPr>
          <w:color w:val="000000"/>
          <w:sz w:val="24"/>
        </w:rPr>
        <w:t>PPI</w:t>
      </w:r>
      <w:r>
        <w:rPr>
          <w:color w:val="000000"/>
          <w:sz w:val="24"/>
        </w:rPr>
        <w:t>继续下降达到</w:t>
      </w:r>
      <w:r>
        <w:rPr>
          <w:color w:val="000000"/>
          <w:sz w:val="24"/>
        </w:rPr>
        <w:t>-2.0%</w:t>
      </w:r>
      <w:r>
        <w:rPr>
          <w:color w:val="000000"/>
          <w:sz w:val="24"/>
        </w:rPr>
        <w:t>也反映了市场需求仍比较疲弱。在疲弱的基本面下，债券市场风向标的</w:t>
      </w:r>
      <w:r>
        <w:rPr>
          <w:color w:val="000000"/>
          <w:sz w:val="24"/>
        </w:rPr>
        <w:t>10</w:t>
      </w:r>
      <w:r>
        <w:rPr>
          <w:color w:val="000000"/>
          <w:sz w:val="24"/>
        </w:rPr>
        <w:t>年国债收益率却一直维持在</w:t>
      </w:r>
      <w:r>
        <w:rPr>
          <w:color w:val="000000"/>
          <w:sz w:val="24"/>
        </w:rPr>
        <w:t>4.5%</w:t>
      </w:r>
      <w:r>
        <w:rPr>
          <w:color w:val="000000"/>
          <w:sz w:val="24"/>
        </w:rPr>
        <w:t>水平，这反映了今年债券市场较为纠结的情绪。利率未动而信用先行的局面可能显示出：一季度债券的小阳春可能更多的仅仅是流动性改善因素导致。</w:t>
      </w:r>
    </w:p>
    <w:p w:rsidR="00177BC1" w:rsidRDefault="00C361E7">
      <w:pPr>
        <w:spacing w:before="29" w:line="288" w:lineRule="auto"/>
        <w:ind w:firstLineChars="200" w:firstLine="480"/>
        <w:rPr>
          <w:color w:val="000000"/>
          <w:sz w:val="24"/>
        </w:rPr>
      </w:pPr>
      <w:r>
        <w:rPr>
          <w:color w:val="000000"/>
          <w:sz w:val="24"/>
        </w:rPr>
        <w:t>本基金持有的高等级中票在</w:t>
      </w:r>
      <w:r>
        <w:rPr>
          <w:color w:val="000000"/>
          <w:sz w:val="24"/>
        </w:rPr>
        <w:t>2</w:t>
      </w:r>
      <w:r>
        <w:rPr>
          <w:color w:val="000000"/>
          <w:sz w:val="24"/>
        </w:rPr>
        <w:t>月份表现较好。</w:t>
      </w:r>
    </w:p>
    <w:p w:rsidR="00952A72" w:rsidRPr="007F52FA" w:rsidRDefault="00323F25" w:rsidP="00761982">
      <w:pPr>
        <w:spacing w:before="29" w:line="288" w:lineRule="auto"/>
        <w:ind w:firstLineChars="200" w:firstLine="480"/>
        <w:rPr>
          <w:color w:val="000000"/>
          <w:sz w:val="24"/>
        </w:rPr>
      </w:pPr>
      <w:r w:rsidRPr="007F52FA">
        <w:rPr>
          <w:color w:val="000000"/>
          <w:sz w:val="24"/>
        </w:rPr>
        <w:t>展望二季度，受汇率影响，流动性预期发生变化；保增长财政措施导致经济预期的变化及供给可能出现的变化，债券市场面临不确定性因素增加；因此，二季度，本基金保持较谨慎态度，计划将降低组合内债券持仓及久期，以持有票息为主。</w:t>
      </w:r>
    </w:p>
    <w:p w:rsidR="00EC41BC" w:rsidRPr="007F52FA" w:rsidRDefault="00EC41BC" w:rsidP="00761982">
      <w:pPr>
        <w:spacing w:before="29" w:line="288" w:lineRule="auto"/>
        <w:ind w:firstLineChars="200" w:firstLine="480"/>
        <w:rPr>
          <w:color w:val="000000"/>
          <w:sz w:val="24"/>
        </w:rPr>
      </w:pPr>
    </w:p>
    <w:p w:rsidR="00130395" w:rsidRPr="007F52FA" w:rsidRDefault="00130395" w:rsidP="00761982">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61982">
      <w:pPr>
        <w:spacing w:before="29" w:line="288" w:lineRule="auto"/>
        <w:ind w:firstLineChars="200" w:firstLine="480"/>
        <w:rPr>
          <w:color w:val="000000"/>
          <w:sz w:val="24"/>
        </w:rPr>
      </w:pPr>
      <w:r w:rsidRPr="007F52FA">
        <w:rPr>
          <w:color w:val="000000"/>
          <w:sz w:val="24"/>
        </w:rPr>
        <w:t>截至</w:t>
      </w:r>
      <w:r w:rsidRPr="007F52FA">
        <w:rPr>
          <w:color w:val="000000"/>
          <w:sz w:val="24"/>
        </w:rPr>
        <w:t>2014</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1.009</w:t>
      </w:r>
      <w:r w:rsidRPr="007F52FA">
        <w:rPr>
          <w:color w:val="000000"/>
          <w:sz w:val="24"/>
        </w:rPr>
        <w:t>元，本报告期份额净值增长率为</w:t>
      </w:r>
      <w:r w:rsidRPr="007F52FA">
        <w:rPr>
          <w:color w:val="000000"/>
          <w:sz w:val="24"/>
        </w:rPr>
        <w:t>2.02%</w:t>
      </w:r>
      <w:r w:rsidRPr="007F52FA">
        <w:rPr>
          <w:color w:val="000000"/>
          <w:sz w:val="24"/>
        </w:rPr>
        <w:t>，同期业绩比较基准增长率为</w:t>
      </w:r>
      <w:r w:rsidRPr="007F52FA">
        <w:rPr>
          <w:color w:val="000000"/>
          <w:sz w:val="24"/>
        </w:rPr>
        <w:t>1.61%</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1.002</w:t>
      </w:r>
      <w:r w:rsidRPr="007F52FA">
        <w:rPr>
          <w:color w:val="000000"/>
          <w:sz w:val="24"/>
        </w:rPr>
        <w:t>元，本报告期份额净值增长率为</w:t>
      </w:r>
      <w:r w:rsidRPr="007F52FA">
        <w:rPr>
          <w:color w:val="000000"/>
          <w:sz w:val="24"/>
        </w:rPr>
        <w:t>1.83%</w:t>
      </w:r>
      <w:r w:rsidRPr="007F52FA">
        <w:rPr>
          <w:color w:val="000000"/>
          <w:sz w:val="24"/>
        </w:rPr>
        <w:t>，同期业绩比较基准增长率为</w:t>
      </w:r>
      <w:r w:rsidRPr="007F52FA">
        <w:rPr>
          <w:color w:val="000000"/>
          <w:sz w:val="24"/>
        </w:rPr>
        <w:t>1.61%</w:t>
      </w:r>
      <w:r w:rsidRPr="007F52FA">
        <w:rPr>
          <w:color w:val="000000"/>
          <w:sz w:val="24"/>
        </w:rPr>
        <w:t>。</w:t>
      </w:r>
    </w:p>
    <w:p w:rsidR="00400FA6" w:rsidRPr="007F52FA" w:rsidRDefault="00400FA6" w:rsidP="00761982">
      <w:pPr>
        <w:spacing w:before="29" w:line="288" w:lineRule="auto"/>
        <w:ind w:firstLineChars="200" w:firstLine="480"/>
        <w:rPr>
          <w:color w:val="000000"/>
          <w:sz w:val="24"/>
        </w:rPr>
      </w:pPr>
    </w:p>
    <w:p w:rsidR="009238DB" w:rsidRPr="007F52FA" w:rsidRDefault="00FF5FC7" w:rsidP="00F83EE8">
      <w:pPr>
        <w:pStyle w:val="1"/>
        <w:tabs>
          <w:tab w:val="center" w:pos="4410"/>
        </w:tabs>
        <w:spacing w:beforeLines="100" w:afterLines="100"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212,949,000.00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93.47</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212,949,000.00</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93.47</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000000" w:rsidRDefault="00323F25">
            <w:pPr>
              <w:autoSpaceDE w:val="0"/>
              <w:autoSpaceDN w:val="0"/>
              <w:adjustRightInd w:val="0"/>
              <w:spacing w:before="29" w:line="288" w:lineRule="auto"/>
              <w:ind w:leftChars="8" w:left="17" w:firstLineChars="300" w:firstLine="720"/>
              <w:jc w:val="left"/>
              <w:rPr>
                <w:rFonts w:ascii="宋体" w:hAnsi="宋体"/>
                <w:color w:val="000000"/>
                <w:sz w:val="24"/>
              </w:rPr>
            </w:pPr>
            <w:r w:rsidRPr="007F52FA">
              <w:rPr>
                <w:color w:val="000000"/>
                <w:sz w:val="24"/>
              </w:rPr>
              <w:t>资产支持证券</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61982">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61982">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61982">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61982">
            <w:pPr>
              <w:spacing w:before="29" w:line="288" w:lineRule="auto"/>
              <w:ind w:left="17"/>
              <w:jc w:val="center"/>
              <w:rPr>
                <w:color w:val="000000"/>
                <w:sz w:val="24"/>
              </w:rPr>
            </w:pP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61982">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61982">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517,998.03</w:t>
            </w:r>
          </w:p>
        </w:tc>
        <w:tc>
          <w:tcPr>
            <w:tcW w:w="1757" w:type="dxa"/>
            <w:vAlign w:val="center"/>
          </w:tcPr>
          <w:p w:rsidR="00323F25" w:rsidRPr="007F52FA" w:rsidRDefault="00323F25" w:rsidP="00761982">
            <w:pPr>
              <w:spacing w:before="29" w:line="288" w:lineRule="auto"/>
              <w:ind w:left="17"/>
              <w:jc w:val="right"/>
              <w:rPr>
                <w:color w:val="000000"/>
                <w:sz w:val="24"/>
              </w:rPr>
            </w:pPr>
            <w:r w:rsidRPr="007F52FA">
              <w:rPr>
                <w:color w:val="000000"/>
                <w:sz w:val="24"/>
              </w:rPr>
              <w:t>0.23</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61982">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14,355,922.23</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6.30</w:t>
            </w:r>
          </w:p>
        </w:tc>
      </w:tr>
      <w:tr w:rsidR="00323F25" w:rsidRPr="007F52FA" w:rsidTr="005A677E">
        <w:trPr>
          <w:jc w:val="center"/>
        </w:trPr>
        <w:tc>
          <w:tcPr>
            <w:tcW w:w="720" w:type="dxa"/>
            <w:vAlign w:val="center"/>
          </w:tcPr>
          <w:p w:rsidR="00323F25" w:rsidRPr="007F52FA" w:rsidRDefault="00323F25" w:rsidP="004170FA">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61982">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61982">
            <w:pPr>
              <w:spacing w:before="29" w:line="288" w:lineRule="auto"/>
              <w:jc w:val="right"/>
              <w:rPr>
                <w:color w:val="000000"/>
                <w:sz w:val="24"/>
              </w:rPr>
            </w:pPr>
            <w:r w:rsidRPr="007F52FA">
              <w:rPr>
                <w:color w:val="000000"/>
                <w:sz w:val="24"/>
              </w:rPr>
              <w:t>227,822,920.26</w:t>
            </w:r>
          </w:p>
        </w:tc>
        <w:tc>
          <w:tcPr>
            <w:tcW w:w="1757" w:type="dxa"/>
            <w:vAlign w:val="center"/>
          </w:tcPr>
          <w:p w:rsidR="00323F25" w:rsidRPr="007F52FA" w:rsidRDefault="00323F25" w:rsidP="00761982">
            <w:pPr>
              <w:spacing w:before="29" w:line="288" w:lineRule="auto"/>
              <w:jc w:val="right"/>
              <w:rPr>
                <w:color w:val="000000"/>
                <w:sz w:val="24"/>
              </w:rPr>
            </w:pPr>
            <w:r w:rsidRPr="007F52FA">
              <w:rPr>
                <w:color w:val="000000"/>
                <w:sz w:val="24"/>
              </w:rPr>
              <w:t>100.00</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61982">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61982">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79,114,000.00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43.23</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79,114,000.00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43.23</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54,836,000.00</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29.96</w:t>
            </w:r>
          </w:p>
        </w:tc>
      </w:tr>
      <w:tr w:rsidR="00296E4A" w:rsidRPr="007F52FA" w:rsidTr="000F7468">
        <w:trPr>
          <w:jc w:val="center"/>
        </w:trPr>
        <w:tc>
          <w:tcPr>
            <w:tcW w:w="817" w:type="dxa"/>
            <w:vAlign w:val="center"/>
          </w:tcPr>
          <w:p w:rsidR="00296E4A" w:rsidRPr="007F52FA" w:rsidRDefault="00296E4A" w:rsidP="00761982">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61982">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lastRenderedPageBreak/>
              <w:t>6</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78,999,000.00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43.16</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61982">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61982">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212,949,000.00</w:t>
            </w:r>
          </w:p>
        </w:tc>
        <w:tc>
          <w:tcPr>
            <w:tcW w:w="1616" w:type="dxa"/>
            <w:vAlign w:val="center"/>
          </w:tcPr>
          <w:p w:rsidR="00686943" w:rsidRPr="007F52FA" w:rsidRDefault="00686943" w:rsidP="00761982">
            <w:pPr>
              <w:spacing w:before="29" w:line="288" w:lineRule="auto"/>
              <w:ind w:left="17"/>
              <w:jc w:val="right"/>
              <w:rPr>
                <w:color w:val="000000"/>
                <w:sz w:val="24"/>
              </w:rPr>
            </w:pPr>
            <w:r w:rsidRPr="007F52FA">
              <w:rPr>
                <w:color w:val="000000"/>
                <w:sz w:val="24"/>
              </w:rPr>
              <w:t>116.35</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Ind w:w="15" w:type="dxa"/>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61982">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77BC1">
        <w:trPr>
          <w:jc w:val="center"/>
        </w:trPr>
        <w:tc>
          <w:tcPr>
            <w:tcW w:w="1075" w:type="dxa"/>
            <w:vAlign w:val="center"/>
          </w:tcPr>
          <w:p w:rsidR="00177BC1" w:rsidRDefault="00C361E7">
            <w:pPr>
              <w:jc w:val="center"/>
            </w:pPr>
            <w:r>
              <w:rPr>
                <w:color w:val="000000"/>
                <w:sz w:val="24"/>
              </w:rPr>
              <w:t>1</w:t>
            </w:r>
          </w:p>
        </w:tc>
        <w:tc>
          <w:tcPr>
            <w:tcW w:w="1533" w:type="dxa"/>
            <w:vAlign w:val="center"/>
          </w:tcPr>
          <w:p w:rsidR="00177BC1" w:rsidRDefault="00C361E7">
            <w:pPr>
              <w:jc w:val="center"/>
            </w:pPr>
            <w:r>
              <w:rPr>
                <w:color w:val="000000"/>
                <w:sz w:val="24"/>
              </w:rPr>
              <w:t>140203</w:t>
            </w:r>
          </w:p>
        </w:tc>
        <w:tc>
          <w:tcPr>
            <w:tcW w:w="1533" w:type="dxa"/>
            <w:vAlign w:val="center"/>
          </w:tcPr>
          <w:p w:rsidR="00177BC1" w:rsidRDefault="00C361E7">
            <w:pPr>
              <w:jc w:val="center"/>
            </w:pPr>
            <w:r>
              <w:rPr>
                <w:color w:val="000000"/>
                <w:sz w:val="24"/>
              </w:rPr>
              <w:t>14</w:t>
            </w:r>
            <w:r>
              <w:rPr>
                <w:color w:val="000000"/>
                <w:sz w:val="24"/>
              </w:rPr>
              <w:t>国开</w:t>
            </w:r>
            <w:r>
              <w:rPr>
                <w:color w:val="000000"/>
                <w:sz w:val="24"/>
              </w:rPr>
              <w:t>03</w:t>
            </w:r>
          </w:p>
        </w:tc>
        <w:tc>
          <w:tcPr>
            <w:tcW w:w="1394" w:type="dxa"/>
            <w:vAlign w:val="center"/>
          </w:tcPr>
          <w:p w:rsidR="00177BC1" w:rsidRDefault="00C361E7">
            <w:pPr>
              <w:jc w:val="right"/>
            </w:pPr>
            <w:r>
              <w:rPr>
                <w:color w:val="000000"/>
                <w:sz w:val="24"/>
              </w:rPr>
              <w:t>300,000</w:t>
            </w:r>
          </w:p>
        </w:tc>
        <w:tc>
          <w:tcPr>
            <w:tcW w:w="1944" w:type="dxa"/>
            <w:vAlign w:val="center"/>
          </w:tcPr>
          <w:p w:rsidR="00177BC1" w:rsidRDefault="00C361E7">
            <w:pPr>
              <w:jc w:val="right"/>
            </w:pPr>
            <w:r>
              <w:rPr>
                <w:color w:val="000000"/>
                <w:sz w:val="24"/>
              </w:rPr>
              <w:t>30,273,000.00</w:t>
            </w:r>
          </w:p>
        </w:tc>
        <w:tc>
          <w:tcPr>
            <w:tcW w:w="1389" w:type="dxa"/>
            <w:vAlign w:val="center"/>
          </w:tcPr>
          <w:p w:rsidR="00177BC1" w:rsidRDefault="00C361E7">
            <w:pPr>
              <w:jc w:val="right"/>
            </w:pPr>
            <w:r>
              <w:rPr>
                <w:color w:val="000000"/>
                <w:sz w:val="24"/>
              </w:rPr>
              <w:t>16.54</w:t>
            </w:r>
          </w:p>
        </w:tc>
      </w:tr>
      <w:tr w:rsidR="00177BC1">
        <w:trPr>
          <w:jc w:val="center"/>
        </w:trPr>
        <w:tc>
          <w:tcPr>
            <w:tcW w:w="1075" w:type="dxa"/>
            <w:vAlign w:val="center"/>
          </w:tcPr>
          <w:p w:rsidR="00177BC1" w:rsidRDefault="00C361E7">
            <w:pPr>
              <w:jc w:val="center"/>
            </w:pPr>
            <w:r>
              <w:rPr>
                <w:color w:val="000000"/>
                <w:sz w:val="24"/>
              </w:rPr>
              <w:t>2</w:t>
            </w:r>
          </w:p>
        </w:tc>
        <w:tc>
          <w:tcPr>
            <w:tcW w:w="1533" w:type="dxa"/>
            <w:vAlign w:val="center"/>
          </w:tcPr>
          <w:p w:rsidR="00177BC1" w:rsidRDefault="00C361E7">
            <w:pPr>
              <w:jc w:val="center"/>
            </w:pPr>
            <w:r>
              <w:rPr>
                <w:color w:val="000000"/>
                <w:sz w:val="24"/>
              </w:rPr>
              <w:t>130236</w:t>
            </w:r>
          </w:p>
        </w:tc>
        <w:tc>
          <w:tcPr>
            <w:tcW w:w="1533" w:type="dxa"/>
            <w:vAlign w:val="center"/>
          </w:tcPr>
          <w:p w:rsidR="00177BC1" w:rsidRDefault="00C361E7">
            <w:pPr>
              <w:jc w:val="center"/>
            </w:pPr>
            <w:r>
              <w:rPr>
                <w:color w:val="000000"/>
                <w:sz w:val="24"/>
              </w:rPr>
              <w:t>13</w:t>
            </w:r>
            <w:r>
              <w:rPr>
                <w:color w:val="000000"/>
                <w:sz w:val="24"/>
              </w:rPr>
              <w:t>国开</w:t>
            </w:r>
            <w:r>
              <w:rPr>
                <w:color w:val="000000"/>
                <w:sz w:val="24"/>
              </w:rPr>
              <w:t>36</w:t>
            </w:r>
          </w:p>
        </w:tc>
        <w:tc>
          <w:tcPr>
            <w:tcW w:w="1394" w:type="dxa"/>
            <w:vAlign w:val="center"/>
          </w:tcPr>
          <w:p w:rsidR="00177BC1" w:rsidRDefault="00C361E7">
            <w:pPr>
              <w:jc w:val="right"/>
            </w:pPr>
            <w:r>
              <w:rPr>
                <w:color w:val="000000"/>
                <w:sz w:val="24"/>
              </w:rPr>
              <w:t>200,000</w:t>
            </w:r>
          </w:p>
        </w:tc>
        <w:tc>
          <w:tcPr>
            <w:tcW w:w="1944" w:type="dxa"/>
            <w:vAlign w:val="center"/>
          </w:tcPr>
          <w:p w:rsidR="00177BC1" w:rsidRDefault="00C361E7">
            <w:pPr>
              <w:jc w:val="right"/>
            </w:pPr>
            <w:r>
              <w:rPr>
                <w:color w:val="000000"/>
                <w:sz w:val="24"/>
              </w:rPr>
              <w:t>19,978,000.00</w:t>
            </w:r>
          </w:p>
        </w:tc>
        <w:tc>
          <w:tcPr>
            <w:tcW w:w="1389" w:type="dxa"/>
            <w:vAlign w:val="center"/>
          </w:tcPr>
          <w:p w:rsidR="00177BC1" w:rsidRDefault="00C361E7">
            <w:pPr>
              <w:jc w:val="right"/>
            </w:pPr>
            <w:r>
              <w:rPr>
                <w:color w:val="000000"/>
                <w:sz w:val="24"/>
              </w:rPr>
              <w:t>10.92</w:t>
            </w:r>
          </w:p>
        </w:tc>
      </w:tr>
      <w:tr w:rsidR="00177BC1">
        <w:trPr>
          <w:jc w:val="center"/>
        </w:trPr>
        <w:tc>
          <w:tcPr>
            <w:tcW w:w="1075" w:type="dxa"/>
            <w:vAlign w:val="center"/>
          </w:tcPr>
          <w:p w:rsidR="00177BC1" w:rsidRDefault="00C361E7">
            <w:pPr>
              <w:jc w:val="center"/>
            </w:pPr>
            <w:r>
              <w:rPr>
                <w:color w:val="000000"/>
                <w:sz w:val="24"/>
              </w:rPr>
              <w:t>3</w:t>
            </w:r>
          </w:p>
        </w:tc>
        <w:tc>
          <w:tcPr>
            <w:tcW w:w="1533" w:type="dxa"/>
            <w:vAlign w:val="center"/>
          </w:tcPr>
          <w:p w:rsidR="00177BC1" w:rsidRDefault="00C361E7">
            <w:pPr>
              <w:jc w:val="center"/>
            </w:pPr>
            <w:r>
              <w:rPr>
                <w:color w:val="000000"/>
                <w:sz w:val="24"/>
              </w:rPr>
              <w:t>101354022</w:t>
            </w:r>
          </w:p>
        </w:tc>
        <w:tc>
          <w:tcPr>
            <w:tcW w:w="1533" w:type="dxa"/>
            <w:vAlign w:val="center"/>
          </w:tcPr>
          <w:p w:rsidR="00177BC1" w:rsidRDefault="00C361E7">
            <w:pPr>
              <w:jc w:val="center"/>
            </w:pPr>
            <w:r>
              <w:rPr>
                <w:color w:val="000000"/>
                <w:sz w:val="24"/>
              </w:rPr>
              <w:t>13</w:t>
            </w:r>
            <w:r>
              <w:rPr>
                <w:color w:val="000000"/>
                <w:sz w:val="24"/>
              </w:rPr>
              <w:t>兴泸</w:t>
            </w:r>
            <w:r>
              <w:rPr>
                <w:color w:val="000000"/>
                <w:sz w:val="24"/>
              </w:rPr>
              <w:t>MTN001</w:t>
            </w:r>
          </w:p>
        </w:tc>
        <w:tc>
          <w:tcPr>
            <w:tcW w:w="1394" w:type="dxa"/>
            <w:vAlign w:val="center"/>
          </w:tcPr>
          <w:p w:rsidR="00177BC1" w:rsidRDefault="00C361E7">
            <w:pPr>
              <w:jc w:val="right"/>
            </w:pPr>
            <w:r>
              <w:rPr>
                <w:color w:val="000000"/>
                <w:sz w:val="24"/>
              </w:rPr>
              <w:t>200,000</w:t>
            </w:r>
          </w:p>
        </w:tc>
        <w:tc>
          <w:tcPr>
            <w:tcW w:w="1944" w:type="dxa"/>
            <w:vAlign w:val="center"/>
          </w:tcPr>
          <w:p w:rsidR="00177BC1" w:rsidRDefault="00C361E7">
            <w:pPr>
              <w:jc w:val="right"/>
            </w:pPr>
            <w:r>
              <w:rPr>
                <w:color w:val="000000"/>
                <w:sz w:val="24"/>
              </w:rPr>
              <w:t>19,900,000.00</w:t>
            </w:r>
          </w:p>
        </w:tc>
        <w:tc>
          <w:tcPr>
            <w:tcW w:w="1389" w:type="dxa"/>
            <w:vAlign w:val="center"/>
          </w:tcPr>
          <w:p w:rsidR="00177BC1" w:rsidRDefault="00C361E7">
            <w:pPr>
              <w:jc w:val="right"/>
            </w:pPr>
            <w:r>
              <w:rPr>
                <w:color w:val="000000"/>
                <w:sz w:val="24"/>
              </w:rPr>
              <w:t>10.87</w:t>
            </w:r>
          </w:p>
        </w:tc>
      </w:tr>
      <w:tr w:rsidR="00177BC1">
        <w:trPr>
          <w:jc w:val="center"/>
        </w:trPr>
        <w:tc>
          <w:tcPr>
            <w:tcW w:w="1075" w:type="dxa"/>
            <w:vAlign w:val="center"/>
          </w:tcPr>
          <w:p w:rsidR="00177BC1" w:rsidRDefault="00C361E7">
            <w:pPr>
              <w:jc w:val="center"/>
            </w:pPr>
            <w:r>
              <w:rPr>
                <w:color w:val="000000"/>
                <w:sz w:val="24"/>
              </w:rPr>
              <w:t>4</w:t>
            </w:r>
          </w:p>
        </w:tc>
        <w:tc>
          <w:tcPr>
            <w:tcW w:w="1533" w:type="dxa"/>
            <w:vAlign w:val="center"/>
          </w:tcPr>
          <w:p w:rsidR="00177BC1" w:rsidRDefault="00C361E7">
            <w:pPr>
              <w:jc w:val="center"/>
            </w:pPr>
            <w:r>
              <w:rPr>
                <w:color w:val="000000"/>
                <w:sz w:val="24"/>
              </w:rPr>
              <w:t>1382028</w:t>
            </w:r>
          </w:p>
        </w:tc>
        <w:tc>
          <w:tcPr>
            <w:tcW w:w="1533" w:type="dxa"/>
            <w:vAlign w:val="center"/>
          </w:tcPr>
          <w:p w:rsidR="00177BC1" w:rsidRDefault="00C361E7">
            <w:pPr>
              <w:jc w:val="center"/>
            </w:pPr>
            <w:r>
              <w:rPr>
                <w:color w:val="000000"/>
                <w:sz w:val="24"/>
              </w:rPr>
              <w:t>13</w:t>
            </w:r>
            <w:r>
              <w:rPr>
                <w:color w:val="000000"/>
                <w:sz w:val="24"/>
              </w:rPr>
              <w:t>山水</w:t>
            </w:r>
            <w:r>
              <w:rPr>
                <w:color w:val="000000"/>
                <w:sz w:val="24"/>
              </w:rPr>
              <w:t>MTN1</w:t>
            </w:r>
          </w:p>
        </w:tc>
        <w:tc>
          <w:tcPr>
            <w:tcW w:w="1394" w:type="dxa"/>
            <w:vAlign w:val="center"/>
          </w:tcPr>
          <w:p w:rsidR="00177BC1" w:rsidRDefault="00C361E7">
            <w:pPr>
              <w:jc w:val="right"/>
            </w:pPr>
            <w:r>
              <w:rPr>
                <w:color w:val="000000"/>
                <w:sz w:val="24"/>
              </w:rPr>
              <w:t>200,000</w:t>
            </w:r>
          </w:p>
        </w:tc>
        <w:tc>
          <w:tcPr>
            <w:tcW w:w="1944" w:type="dxa"/>
            <w:vAlign w:val="center"/>
          </w:tcPr>
          <w:p w:rsidR="00177BC1" w:rsidRDefault="00C361E7">
            <w:pPr>
              <w:jc w:val="right"/>
            </w:pPr>
            <w:r>
              <w:rPr>
                <w:color w:val="000000"/>
                <w:sz w:val="24"/>
              </w:rPr>
              <w:t>19,722,000.00</w:t>
            </w:r>
          </w:p>
        </w:tc>
        <w:tc>
          <w:tcPr>
            <w:tcW w:w="1389" w:type="dxa"/>
            <w:vAlign w:val="center"/>
          </w:tcPr>
          <w:p w:rsidR="00177BC1" w:rsidRDefault="00C361E7">
            <w:pPr>
              <w:jc w:val="right"/>
            </w:pPr>
            <w:r>
              <w:rPr>
                <w:color w:val="000000"/>
                <w:sz w:val="24"/>
              </w:rPr>
              <w:t>10.78</w:t>
            </w:r>
          </w:p>
        </w:tc>
      </w:tr>
      <w:tr w:rsidR="00177BC1">
        <w:trPr>
          <w:jc w:val="center"/>
        </w:trPr>
        <w:tc>
          <w:tcPr>
            <w:tcW w:w="1075" w:type="dxa"/>
            <w:vAlign w:val="center"/>
          </w:tcPr>
          <w:p w:rsidR="00177BC1" w:rsidRDefault="00C361E7">
            <w:pPr>
              <w:jc w:val="center"/>
            </w:pPr>
            <w:r>
              <w:rPr>
                <w:color w:val="000000"/>
                <w:sz w:val="24"/>
              </w:rPr>
              <w:t>5</w:t>
            </w:r>
          </w:p>
        </w:tc>
        <w:tc>
          <w:tcPr>
            <w:tcW w:w="1533" w:type="dxa"/>
            <w:vAlign w:val="center"/>
          </w:tcPr>
          <w:p w:rsidR="00177BC1" w:rsidRDefault="00C361E7">
            <w:pPr>
              <w:jc w:val="center"/>
            </w:pPr>
            <w:r>
              <w:rPr>
                <w:color w:val="000000"/>
                <w:sz w:val="24"/>
              </w:rPr>
              <w:t>130246</w:t>
            </w:r>
          </w:p>
        </w:tc>
        <w:tc>
          <w:tcPr>
            <w:tcW w:w="1533" w:type="dxa"/>
            <w:vAlign w:val="center"/>
          </w:tcPr>
          <w:p w:rsidR="00177BC1" w:rsidRDefault="00C361E7">
            <w:pPr>
              <w:jc w:val="center"/>
            </w:pPr>
            <w:r>
              <w:rPr>
                <w:color w:val="000000"/>
                <w:sz w:val="24"/>
              </w:rPr>
              <w:t>13</w:t>
            </w:r>
            <w:r>
              <w:rPr>
                <w:color w:val="000000"/>
                <w:sz w:val="24"/>
              </w:rPr>
              <w:t>国开</w:t>
            </w:r>
            <w:r>
              <w:rPr>
                <w:color w:val="000000"/>
                <w:sz w:val="24"/>
              </w:rPr>
              <w:t>46</w:t>
            </w:r>
          </w:p>
        </w:tc>
        <w:tc>
          <w:tcPr>
            <w:tcW w:w="1394" w:type="dxa"/>
            <w:vAlign w:val="center"/>
          </w:tcPr>
          <w:p w:rsidR="00177BC1" w:rsidRDefault="00C361E7">
            <w:pPr>
              <w:jc w:val="right"/>
            </w:pPr>
            <w:r>
              <w:rPr>
                <w:color w:val="000000"/>
                <w:sz w:val="24"/>
              </w:rPr>
              <w:t>200,000</w:t>
            </w:r>
          </w:p>
        </w:tc>
        <w:tc>
          <w:tcPr>
            <w:tcW w:w="1944" w:type="dxa"/>
            <w:vAlign w:val="center"/>
          </w:tcPr>
          <w:p w:rsidR="00177BC1" w:rsidRDefault="00C361E7">
            <w:pPr>
              <w:jc w:val="right"/>
            </w:pPr>
            <w:r>
              <w:rPr>
                <w:color w:val="000000"/>
                <w:sz w:val="24"/>
              </w:rPr>
              <w:t>19,348,000.00</w:t>
            </w:r>
          </w:p>
        </w:tc>
        <w:tc>
          <w:tcPr>
            <w:tcW w:w="1389" w:type="dxa"/>
            <w:vAlign w:val="center"/>
          </w:tcPr>
          <w:p w:rsidR="00177BC1" w:rsidRDefault="00C361E7">
            <w:pPr>
              <w:jc w:val="right"/>
            </w:pPr>
            <w:r>
              <w:rPr>
                <w:color w:val="000000"/>
                <w:sz w:val="24"/>
              </w:rPr>
              <w:t>10.57</w:t>
            </w:r>
          </w:p>
        </w:tc>
      </w:tr>
    </w:tbl>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61982">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61982">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6232DA">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61982">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61982">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61982">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61982">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61982">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61982">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61982">
      <w:pPr>
        <w:autoSpaceDE w:val="0"/>
        <w:autoSpaceDN w:val="0"/>
        <w:adjustRightInd w:val="0"/>
        <w:spacing w:before="29" w:line="288" w:lineRule="auto"/>
        <w:jc w:val="left"/>
        <w:rPr>
          <w:b/>
          <w:sz w:val="24"/>
        </w:rPr>
      </w:pPr>
    </w:p>
    <w:p w:rsidR="00A7062E" w:rsidRPr="007F52FA" w:rsidRDefault="001D5CD0" w:rsidP="00761982">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lastRenderedPageBreak/>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384E65">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61982">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Ind w:w="15" w:type="dxa"/>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61982">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376.06</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10,231,971.81</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4,122,676.27</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898.09</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61982">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61982">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61982">
            <w:pPr>
              <w:autoSpaceDE w:val="0"/>
              <w:autoSpaceDN w:val="0"/>
              <w:adjustRightInd w:val="0"/>
              <w:spacing w:before="29" w:line="288" w:lineRule="auto"/>
              <w:ind w:left="15"/>
              <w:jc w:val="right"/>
              <w:rPr>
                <w:color w:val="000000"/>
                <w:kern w:val="0"/>
                <w:sz w:val="24"/>
              </w:rPr>
            </w:pPr>
            <w:r w:rsidRPr="007F52FA">
              <w:rPr>
                <w:color w:val="000000"/>
                <w:kern w:val="0"/>
                <w:sz w:val="24"/>
              </w:rPr>
              <w:t>14,355,922.23</w:t>
            </w:r>
          </w:p>
        </w:tc>
      </w:tr>
    </w:tbl>
    <w:p w:rsidR="001D5CD0" w:rsidRPr="007F52FA" w:rsidRDefault="001D5CD0" w:rsidP="00761982">
      <w:pPr>
        <w:autoSpaceDE w:val="0"/>
        <w:autoSpaceDN w:val="0"/>
        <w:adjustRightInd w:val="0"/>
        <w:spacing w:before="29" w:line="288" w:lineRule="auto"/>
        <w:jc w:val="left"/>
        <w:rPr>
          <w:sz w:val="24"/>
        </w:rPr>
      </w:pPr>
    </w:p>
    <w:p w:rsidR="001D5CD0" w:rsidRPr="007F52FA" w:rsidRDefault="001D5CD0" w:rsidP="00761982">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61982">
      <w:pPr>
        <w:autoSpaceDE w:val="0"/>
        <w:autoSpaceDN w:val="0"/>
        <w:adjustRightInd w:val="0"/>
        <w:spacing w:before="29" w:line="288" w:lineRule="auto"/>
        <w:jc w:val="left"/>
        <w:rPr>
          <w:rFonts w:eastAsiaTheme="minorEastAsia"/>
          <w:sz w:val="24"/>
        </w:rPr>
      </w:pPr>
    </w:p>
    <w:p w:rsidR="001D5CD0" w:rsidRPr="007F52FA" w:rsidRDefault="001D5CD0" w:rsidP="00761982">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61982">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61982">
      <w:pPr>
        <w:spacing w:before="29" w:line="288" w:lineRule="auto"/>
        <w:rPr>
          <w:rFonts w:eastAsiaTheme="minorEastAsia"/>
          <w:sz w:val="24"/>
        </w:rPr>
      </w:pPr>
    </w:p>
    <w:p w:rsidR="001D5CD0" w:rsidRPr="007F52FA" w:rsidRDefault="001D5CD0" w:rsidP="00761982">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691393">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DA27AC">
      <w:pPr>
        <w:spacing w:before="29" w:line="288" w:lineRule="auto"/>
        <w:rPr>
          <w:rFonts w:eastAsiaTheme="minorEastAsia"/>
          <w:color w:val="000000"/>
          <w:sz w:val="24"/>
        </w:rPr>
      </w:pPr>
    </w:p>
    <w:p w:rsidR="009238DB" w:rsidRPr="007F52FA" w:rsidRDefault="009238DB" w:rsidP="00F83EE8">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61982">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5000" w:type="pct"/>
        <w:jc w:val="center"/>
        <w:tblLayout w:type="fixed"/>
        <w:tblLook w:val="0000"/>
      </w:tblPr>
      <w:tblGrid>
        <w:gridCol w:w="3795"/>
        <w:gridCol w:w="2917"/>
        <w:gridCol w:w="2530"/>
      </w:tblGrid>
      <w:tr w:rsidR="00936D40" w:rsidRPr="007F52FA" w:rsidTr="00CC3274">
        <w:trPr>
          <w:jc w:val="center"/>
        </w:trPr>
        <w:tc>
          <w:tcPr>
            <w:tcW w:w="205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1578" w:type="pct"/>
            <w:tcBorders>
              <w:top w:val="single" w:sz="8" w:space="0" w:color="000000"/>
              <w:left w:val="single" w:sz="8" w:space="0" w:color="000000"/>
              <w:bottom w:val="single" w:sz="8" w:space="0" w:color="000000"/>
              <w:right w:val="single" w:sz="8" w:space="0" w:color="000000"/>
            </w:tcBorders>
            <w:vAlign w:val="center"/>
          </w:tcPr>
          <w:p w:rsidR="00936D40" w:rsidRPr="00CC3274" w:rsidRDefault="0042785F" w:rsidP="00CC3274">
            <w:pPr>
              <w:autoSpaceDE w:val="0"/>
              <w:autoSpaceDN w:val="0"/>
              <w:adjustRightInd w:val="0"/>
              <w:spacing w:before="29" w:line="288" w:lineRule="auto"/>
              <w:ind w:left="17"/>
              <w:jc w:val="right"/>
              <w:rPr>
                <w:rFonts w:eastAsiaTheme="minorEastAsia"/>
                <w:sz w:val="24"/>
              </w:rPr>
            </w:pPr>
            <w:r w:rsidRPr="007F52FA">
              <w:rPr>
                <w:rFonts w:eastAsiaTheme="minorEastAsia"/>
                <w:sz w:val="24"/>
              </w:rPr>
              <w:t>交银纯债债券发起</w:t>
            </w:r>
            <w:r w:rsidRPr="007F52FA">
              <w:rPr>
                <w:rFonts w:eastAsiaTheme="minorEastAsia"/>
                <w:sz w:val="24"/>
              </w:rPr>
              <w:t>A/B</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CC3274">
        <w:trPr>
          <w:jc w:val="center"/>
        </w:trPr>
        <w:tc>
          <w:tcPr>
            <w:tcW w:w="205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本报告期期初基金份额总额</w:t>
            </w:r>
          </w:p>
        </w:tc>
        <w:tc>
          <w:tcPr>
            <w:tcW w:w="157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244,216,310.62</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17,168,323.37</w:t>
            </w:r>
          </w:p>
        </w:tc>
      </w:tr>
      <w:tr w:rsidR="00936D40" w:rsidRPr="007F52FA" w:rsidTr="00CC3274">
        <w:trPr>
          <w:jc w:val="center"/>
        </w:trPr>
        <w:tc>
          <w:tcPr>
            <w:tcW w:w="205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936D40" w:rsidRPr="007F52FA">
              <w:rPr>
                <w:rFonts w:eastAsiaTheme="minorEastAsia"/>
                <w:color w:val="000000"/>
                <w:kern w:val="0"/>
                <w:sz w:val="24"/>
              </w:rPr>
              <w:t>基金总申购份额</w:t>
            </w:r>
          </w:p>
        </w:tc>
        <w:tc>
          <w:tcPr>
            <w:tcW w:w="157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9,055,160.10</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21,475,688.15</w:t>
            </w:r>
          </w:p>
        </w:tc>
      </w:tr>
      <w:tr w:rsidR="00936D40" w:rsidRPr="007F52FA" w:rsidTr="00CC3274">
        <w:trPr>
          <w:jc w:val="center"/>
        </w:trPr>
        <w:tc>
          <w:tcPr>
            <w:tcW w:w="205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Pr="007F52FA">
              <w:rPr>
                <w:rFonts w:eastAsiaTheme="minorEastAsia"/>
                <w:color w:val="000000"/>
                <w:kern w:val="0"/>
                <w:sz w:val="24"/>
              </w:rPr>
              <w:t>基金总赎回份额</w:t>
            </w:r>
          </w:p>
        </w:tc>
        <w:tc>
          <w:tcPr>
            <w:tcW w:w="157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83,262,615.24</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27,252,264.05</w:t>
            </w:r>
          </w:p>
        </w:tc>
      </w:tr>
      <w:tr w:rsidR="00936D40" w:rsidRPr="007F52FA" w:rsidTr="00CC3274">
        <w:trPr>
          <w:jc w:val="center"/>
        </w:trPr>
        <w:tc>
          <w:tcPr>
            <w:tcW w:w="205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936D40" w:rsidRPr="007F52FA">
              <w:rPr>
                <w:rFonts w:eastAsiaTheme="minorEastAsia"/>
                <w:color w:val="000000"/>
                <w:kern w:val="0"/>
                <w:sz w:val="24"/>
              </w:rPr>
              <w:t>基金拆分变动份额</w:t>
            </w:r>
          </w:p>
        </w:tc>
        <w:tc>
          <w:tcPr>
            <w:tcW w:w="157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CC3274">
        <w:trPr>
          <w:jc w:val="center"/>
        </w:trPr>
        <w:tc>
          <w:tcPr>
            <w:tcW w:w="2053"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61982">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本报告期期末基金份额总额</w:t>
            </w:r>
          </w:p>
        </w:tc>
        <w:tc>
          <w:tcPr>
            <w:tcW w:w="1578"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170,008,855.48</w:t>
            </w:r>
          </w:p>
        </w:tc>
        <w:tc>
          <w:tcPr>
            <w:tcW w:w="1370" w:type="pct"/>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61982">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11,391,747.47</w:t>
            </w:r>
          </w:p>
        </w:tc>
      </w:tr>
    </w:tbl>
    <w:p w:rsidR="00177BC1" w:rsidRDefault="00C361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61982">
      <w:pPr>
        <w:autoSpaceDE w:val="0"/>
        <w:autoSpaceDN w:val="0"/>
        <w:adjustRightInd w:val="0"/>
        <w:spacing w:before="29" w:line="288" w:lineRule="auto"/>
        <w:jc w:val="left"/>
        <w:rPr>
          <w:rFonts w:eastAsiaTheme="minorEastAsia"/>
          <w:color w:val="000000"/>
          <w:sz w:val="24"/>
        </w:rPr>
      </w:pPr>
    </w:p>
    <w:p w:rsidR="000673DA" w:rsidRPr="000673DA" w:rsidRDefault="000673DA" w:rsidP="00F83EE8">
      <w:pPr>
        <w:pStyle w:val="1"/>
        <w:tabs>
          <w:tab w:val="center" w:pos="4156"/>
          <w:tab w:val="right" w:pos="8312"/>
        </w:tabs>
        <w:spacing w:beforeLines="100" w:afterLines="100" w:line="360"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0673DA">
      <w:pPr>
        <w:spacing w:line="360" w:lineRule="auto"/>
        <w:jc w:val="left"/>
        <w:rPr>
          <w:sz w:val="24"/>
        </w:rPr>
      </w:pPr>
      <w:r w:rsidRPr="000673DA">
        <w:rPr>
          <w:b/>
          <w:sz w:val="24"/>
        </w:rPr>
        <w:t xml:space="preserve">7.1 </w:t>
      </w:r>
      <w:r w:rsidRPr="000673DA">
        <w:rPr>
          <w:rFonts w:hAnsi="宋体"/>
          <w:b/>
          <w:sz w:val="24"/>
        </w:rPr>
        <w:t>基金管理人持有本基金份额变动情况</w:t>
      </w:r>
    </w:p>
    <w:p w:rsidR="000673DA" w:rsidRPr="000673DA" w:rsidRDefault="000673DA" w:rsidP="000673DA">
      <w:pPr>
        <w:autoSpaceDE w:val="0"/>
        <w:autoSpaceDN w:val="0"/>
        <w:adjustRightInd w:val="0"/>
        <w:spacing w:before="29" w:line="360" w:lineRule="auto"/>
        <w:ind w:left="15"/>
        <w:jc w:val="right"/>
        <w:rPr>
          <w:color w:val="000000"/>
          <w:kern w:val="0"/>
          <w:sz w:val="24"/>
        </w:rPr>
      </w:pPr>
      <w:r w:rsidRPr="000673DA">
        <w:rPr>
          <w:rFonts w:hAnsi="宋体"/>
          <w:color w:val="000000"/>
          <w:kern w:val="0"/>
          <w:sz w:val="24"/>
        </w:rPr>
        <w:t>单位：份</w:t>
      </w:r>
    </w:p>
    <w:tbl>
      <w:tblPr>
        <w:tblW w:w="8868" w:type="dxa"/>
        <w:jc w:val="center"/>
        <w:tblLayout w:type="fixed"/>
        <w:tblLook w:val="0000"/>
      </w:tblPr>
      <w:tblGrid>
        <w:gridCol w:w="5450"/>
        <w:gridCol w:w="3418"/>
      </w:tblGrid>
      <w:tr w:rsidR="000673DA" w:rsidRPr="000673DA" w:rsidTr="00EF6626">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pStyle w:val="ac"/>
              <w:adjustRightInd w:val="0"/>
              <w:snapToGrid w:val="0"/>
              <w:spacing w:line="360" w:lineRule="exact"/>
              <w:rPr>
                <w:color w:val="000000"/>
                <w:szCs w:val="24"/>
              </w:rPr>
            </w:pPr>
            <w:r w:rsidRPr="000673DA">
              <w:rPr>
                <w:rFonts w:hAnsi="宋体"/>
                <w:color w:val="000000"/>
                <w:szCs w:val="24"/>
              </w:rPr>
              <w:t>报告期期初管理人持有的本基金份额</w:t>
            </w:r>
          </w:p>
        </w:tc>
        <w:tc>
          <w:tcPr>
            <w:tcW w:w="3418"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sz w:val="24"/>
              </w:rPr>
            </w:pPr>
            <w:r w:rsidRPr="000673DA">
              <w:rPr>
                <w:color w:val="000000"/>
                <w:sz w:val="24"/>
              </w:rPr>
              <w:t>10,072,734.64</w:t>
            </w:r>
          </w:p>
        </w:tc>
      </w:tr>
      <w:tr w:rsidR="000673DA" w:rsidRPr="000673DA" w:rsidTr="00EF6626">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adjustRightInd w:val="0"/>
              <w:snapToGrid w:val="0"/>
              <w:spacing w:line="360" w:lineRule="exact"/>
              <w:rPr>
                <w:color w:val="000000"/>
                <w:sz w:val="24"/>
              </w:rPr>
            </w:pPr>
            <w:r w:rsidRPr="000673DA">
              <w:rPr>
                <w:color w:val="000000"/>
                <w:kern w:val="0"/>
                <w:sz w:val="24"/>
              </w:rPr>
              <w:t>本报告期</w:t>
            </w:r>
            <w:r w:rsidRPr="000673DA">
              <w:rPr>
                <w:rFonts w:hAnsi="宋体"/>
                <w:color w:val="000000"/>
                <w:sz w:val="24"/>
              </w:rPr>
              <w:t>买入</w:t>
            </w:r>
            <w:r w:rsidRPr="000673DA">
              <w:rPr>
                <w:color w:val="000000"/>
                <w:sz w:val="24"/>
              </w:rPr>
              <w:t>/</w:t>
            </w:r>
            <w:r w:rsidRPr="000673DA">
              <w:rPr>
                <w:rFonts w:hAnsi="宋体"/>
                <w:color w:val="000000"/>
                <w:sz w:val="24"/>
              </w:rPr>
              <w:t>申购总份额</w:t>
            </w:r>
          </w:p>
        </w:tc>
        <w:tc>
          <w:tcPr>
            <w:tcW w:w="3418"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color w:val="000000"/>
                <w:kern w:val="0"/>
                <w:sz w:val="24"/>
              </w:rPr>
            </w:pPr>
            <w:r w:rsidRPr="000673DA">
              <w:rPr>
                <w:color w:val="000000"/>
                <w:sz w:val="24"/>
              </w:rPr>
              <w:t>-</w:t>
            </w:r>
          </w:p>
        </w:tc>
      </w:tr>
      <w:tr w:rsidR="000673DA" w:rsidRPr="000673DA" w:rsidTr="00EF6626">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adjustRightInd w:val="0"/>
              <w:snapToGrid w:val="0"/>
              <w:spacing w:line="360" w:lineRule="exact"/>
              <w:rPr>
                <w:color w:val="000000"/>
                <w:sz w:val="24"/>
              </w:rPr>
            </w:pPr>
            <w:r w:rsidRPr="000673DA">
              <w:rPr>
                <w:color w:val="000000"/>
                <w:kern w:val="0"/>
                <w:sz w:val="24"/>
              </w:rPr>
              <w:t>本报告期</w:t>
            </w:r>
            <w:r w:rsidRPr="000673DA">
              <w:rPr>
                <w:rFonts w:hAnsi="宋体"/>
                <w:color w:val="000000"/>
                <w:sz w:val="24"/>
              </w:rPr>
              <w:t>卖出</w:t>
            </w:r>
            <w:r w:rsidRPr="000673DA">
              <w:rPr>
                <w:color w:val="000000"/>
                <w:sz w:val="24"/>
              </w:rPr>
              <w:t>/</w:t>
            </w:r>
            <w:r w:rsidRPr="000673DA">
              <w:rPr>
                <w:rFonts w:hAnsi="宋体"/>
                <w:color w:val="000000"/>
                <w:sz w:val="24"/>
              </w:rPr>
              <w:t>赎回总份额</w:t>
            </w:r>
          </w:p>
        </w:tc>
        <w:tc>
          <w:tcPr>
            <w:tcW w:w="3418"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color w:val="000000"/>
                <w:kern w:val="0"/>
                <w:sz w:val="24"/>
              </w:rPr>
            </w:pPr>
            <w:r w:rsidRPr="000673DA">
              <w:rPr>
                <w:color w:val="000000"/>
                <w:sz w:val="24"/>
              </w:rPr>
              <w:t>-</w:t>
            </w:r>
          </w:p>
        </w:tc>
      </w:tr>
      <w:tr w:rsidR="000673DA" w:rsidRPr="000673DA" w:rsidTr="00EF6626">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adjustRightInd w:val="0"/>
              <w:snapToGrid w:val="0"/>
              <w:spacing w:line="360" w:lineRule="exact"/>
              <w:rPr>
                <w:color w:val="000000"/>
                <w:sz w:val="24"/>
              </w:rPr>
            </w:pPr>
            <w:r w:rsidRPr="000673DA">
              <w:rPr>
                <w:rFonts w:hAnsi="宋体"/>
                <w:color w:val="000000"/>
                <w:sz w:val="24"/>
              </w:rPr>
              <w:t>报告期期末管理人持有的本基金份额</w:t>
            </w:r>
          </w:p>
        </w:tc>
        <w:tc>
          <w:tcPr>
            <w:tcW w:w="3418"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sz w:val="24"/>
              </w:rPr>
            </w:pPr>
            <w:r w:rsidRPr="000673DA">
              <w:rPr>
                <w:color w:val="000000"/>
                <w:sz w:val="24"/>
              </w:rPr>
              <w:t>10,072,734.64</w:t>
            </w:r>
          </w:p>
        </w:tc>
      </w:tr>
      <w:tr w:rsidR="000673DA" w:rsidRPr="000673DA" w:rsidTr="00EF6626">
        <w:trPr>
          <w:jc w:val="center"/>
        </w:trPr>
        <w:tc>
          <w:tcPr>
            <w:tcW w:w="5450"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adjustRightInd w:val="0"/>
              <w:snapToGrid w:val="0"/>
              <w:spacing w:line="360" w:lineRule="exact"/>
              <w:rPr>
                <w:color w:val="000000"/>
                <w:sz w:val="24"/>
              </w:rPr>
            </w:pPr>
            <w:r w:rsidRPr="000673DA">
              <w:rPr>
                <w:rFonts w:hAnsi="宋体"/>
                <w:color w:val="000000"/>
                <w:sz w:val="24"/>
              </w:rPr>
              <w:t>报告期期末持有的本基金份额占基金总份额比例（</w:t>
            </w:r>
            <w:r w:rsidRPr="000673DA">
              <w:rPr>
                <w:color w:val="000000"/>
                <w:sz w:val="24"/>
              </w:rPr>
              <w:t>%</w:t>
            </w:r>
            <w:r w:rsidRPr="000673DA">
              <w:rPr>
                <w:rFonts w:hAnsi="宋体"/>
                <w:color w:val="000000"/>
                <w:sz w:val="24"/>
              </w:rPr>
              <w:t>）</w:t>
            </w:r>
          </w:p>
        </w:tc>
        <w:tc>
          <w:tcPr>
            <w:tcW w:w="3418" w:type="dxa"/>
            <w:tcBorders>
              <w:top w:val="single" w:sz="8" w:space="0" w:color="000000"/>
              <w:left w:val="single" w:sz="8" w:space="0" w:color="000000"/>
              <w:bottom w:val="single" w:sz="8" w:space="0" w:color="000000"/>
              <w:right w:val="single" w:sz="8" w:space="0" w:color="000000"/>
            </w:tcBorders>
            <w:vAlign w:val="center"/>
          </w:tcPr>
          <w:p w:rsidR="000673DA" w:rsidRPr="000673DA" w:rsidRDefault="000673DA" w:rsidP="00C045B1">
            <w:pPr>
              <w:jc w:val="right"/>
              <w:rPr>
                <w:color w:val="000000"/>
                <w:kern w:val="0"/>
                <w:sz w:val="24"/>
              </w:rPr>
            </w:pPr>
            <w:r w:rsidRPr="000673DA">
              <w:rPr>
                <w:color w:val="000000"/>
                <w:sz w:val="24"/>
              </w:rPr>
              <w:t>5.55</w:t>
            </w:r>
          </w:p>
        </w:tc>
      </w:tr>
    </w:tbl>
    <w:p w:rsidR="00177BC1" w:rsidRDefault="00C361E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Default="000673DA" w:rsidP="008A3BCC">
      <w:pPr>
        <w:autoSpaceDE w:val="0"/>
        <w:autoSpaceDN w:val="0"/>
        <w:adjustRightInd w:val="0"/>
        <w:spacing w:before="29" w:line="288" w:lineRule="auto"/>
        <w:jc w:val="left"/>
        <w:rPr>
          <w:color w:val="000000"/>
          <w:sz w:val="24"/>
        </w:rPr>
      </w:pPr>
      <w:r w:rsidRPr="000673DA">
        <w:rPr>
          <w:color w:val="000000"/>
          <w:sz w:val="24"/>
        </w:rPr>
        <w:t xml:space="preserve">    2</w:t>
      </w:r>
      <w:r w:rsidRPr="000673DA">
        <w:rPr>
          <w:color w:val="000000"/>
          <w:sz w:val="24"/>
        </w:rPr>
        <w:t>、如果本报告期间发生转换出业务，则总赎回份额中包含该业务。</w:t>
      </w:r>
    </w:p>
    <w:p w:rsidR="008A3BCC" w:rsidRDefault="008A3BCC" w:rsidP="008A3BCC">
      <w:pPr>
        <w:autoSpaceDE w:val="0"/>
        <w:autoSpaceDN w:val="0"/>
        <w:adjustRightInd w:val="0"/>
        <w:spacing w:before="29" w:line="288" w:lineRule="auto"/>
        <w:jc w:val="left"/>
        <w:rPr>
          <w:color w:val="000000"/>
          <w:sz w:val="24"/>
        </w:rPr>
      </w:pPr>
    </w:p>
    <w:p w:rsidR="00285618" w:rsidRDefault="000673DA" w:rsidP="008A3BCC">
      <w:pPr>
        <w:autoSpaceDE w:val="0"/>
        <w:autoSpaceDN w:val="0"/>
        <w:adjustRightInd w:val="0"/>
        <w:spacing w:before="29" w:line="288" w:lineRule="auto"/>
        <w:jc w:val="left"/>
        <w:rPr>
          <w:b/>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61982">
      <w:pPr>
        <w:autoSpaceDE w:val="0"/>
        <w:autoSpaceDN w:val="0"/>
        <w:adjustRightInd w:val="0"/>
        <w:spacing w:before="29" w:line="288" w:lineRule="auto"/>
        <w:jc w:val="left"/>
        <w:rPr>
          <w:rFonts w:eastAsiaTheme="minorEastAsia"/>
          <w:color w:val="000000"/>
          <w:sz w:val="24"/>
        </w:rPr>
      </w:pPr>
    </w:p>
    <w:p w:rsidR="00B47574" w:rsidRPr="007F52FA" w:rsidRDefault="00B47574" w:rsidP="00F83EE8">
      <w:pPr>
        <w:pStyle w:val="1"/>
        <w:spacing w:beforeLines="100" w:afterLines="100"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§8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0"/>
        <w:gridCol w:w="1619"/>
        <w:gridCol w:w="1687"/>
        <w:gridCol w:w="1619"/>
        <w:gridCol w:w="1687"/>
        <w:gridCol w:w="1270"/>
      </w:tblGrid>
      <w:tr w:rsidR="00B47574" w:rsidRPr="007F52FA" w:rsidTr="00C361E7">
        <w:trPr>
          <w:trHeight w:val="543"/>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widowControl/>
              <w:spacing w:before="29" w:line="288" w:lineRule="auto"/>
              <w:jc w:val="left"/>
              <w:rPr>
                <w:rFonts w:eastAsiaTheme="minorEastAsia"/>
                <w:color w:val="000000"/>
                <w:sz w:val="24"/>
              </w:rPr>
            </w:pPr>
            <w:r w:rsidRPr="007F52FA">
              <w:rPr>
                <w:rFonts w:eastAsiaTheme="minorEastAsia"/>
                <w:color w:val="000000"/>
                <w:sz w:val="24"/>
              </w:rPr>
              <w:t>项目</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rPr>
                <w:rFonts w:eastAsiaTheme="minorEastAsia"/>
                <w:color w:val="000000"/>
                <w:sz w:val="24"/>
              </w:rPr>
            </w:pPr>
            <w:r w:rsidRPr="007F52FA">
              <w:rPr>
                <w:rFonts w:eastAsiaTheme="minorEastAsia"/>
                <w:color w:val="000000"/>
                <w:sz w:val="24"/>
              </w:rPr>
              <w:t>持有份额总数</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rPr>
                <w:rFonts w:eastAsiaTheme="minorEastAsia"/>
                <w:color w:val="000000"/>
                <w:sz w:val="24"/>
              </w:rPr>
            </w:pPr>
            <w:r w:rsidRPr="007F52FA">
              <w:rPr>
                <w:rFonts w:eastAsiaTheme="minorEastAsia"/>
                <w:color w:val="000000"/>
                <w:sz w:val="24"/>
              </w:rPr>
              <w:t>持有份额占基金总份额比例</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rPr>
                <w:rFonts w:eastAsiaTheme="minorEastAsia"/>
                <w:color w:val="000000"/>
                <w:sz w:val="24"/>
              </w:rPr>
            </w:pPr>
            <w:r w:rsidRPr="007F52FA">
              <w:rPr>
                <w:rFonts w:eastAsiaTheme="minorEastAsia"/>
                <w:color w:val="000000"/>
                <w:sz w:val="24"/>
              </w:rPr>
              <w:t>发起份额总数</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rPr>
                <w:rFonts w:eastAsiaTheme="minorEastAsia"/>
                <w:color w:val="000000"/>
                <w:sz w:val="24"/>
              </w:rPr>
            </w:pPr>
            <w:r w:rsidRPr="007F52FA">
              <w:rPr>
                <w:rFonts w:eastAsiaTheme="minorEastAsia"/>
                <w:color w:val="000000"/>
                <w:sz w:val="24"/>
              </w:rPr>
              <w:t>发起份额占基金总份额比例</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widowControl/>
              <w:spacing w:before="29" w:line="288" w:lineRule="auto"/>
              <w:jc w:val="left"/>
              <w:rPr>
                <w:rFonts w:eastAsiaTheme="minorEastAsia"/>
                <w:color w:val="000000"/>
                <w:sz w:val="24"/>
              </w:rPr>
            </w:pPr>
            <w:r w:rsidRPr="007F52FA">
              <w:rPr>
                <w:rFonts w:eastAsiaTheme="minorEastAsia"/>
                <w:color w:val="000000"/>
                <w:sz w:val="24"/>
              </w:rPr>
              <w:t>发起份额承诺持有期限</w:t>
            </w:r>
          </w:p>
        </w:tc>
      </w:tr>
      <w:tr w:rsidR="00B47574" w:rsidRPr="007F52FA" w:rsidTr="00C361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基金管理人固有资金</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5.55%</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10,003,472.22</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5.51%</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C361E7">
            <w:pPr>
              <w:adjustRightInd w:val="0"/>
              <w:snapToGrid w:val="0"/>
              <w:spacing w:before="29" w:line="288" w:lineRule="auto"/>
              <w:jc w:val="left"/>
              <w:rPr>
                <w:rFonts w:eastAsiaTheme="minorEastAsia"/>
                <w:kern w:val="0"/>
                <w:sz w:val="24"/>
              </w:rPr>
            </w:pPr>
            <w:r w:rsidRPr="007F52FA">
              <w:rPr>
                <w:rFonts w:eastAsiaTheme="minorEastAsia"/>
                <w:kern w:val="0"/>
                <w:sz w:val="24"/>
              </w:rPr>
              <w:t>不低于三年</w:t>
            </w:r>
          </w:p>
        </w:tc>
      </w:tr>
      <w:tr w:rsidR="00B47574" w:rsidRPr="007F52FA" w:rsidTr="00C361E7">
        <w:trPr>
          <w:trHeight w:val="79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rPr>
                <w:rFonts w:eastAsiaTheme="minorEastAsia"/>
                <w:color w:val="000000"/>
                <w:sz w:val="24"/>
              </w:rPr>
            </w:pPr>
            <w:r w:rsidRPr="007F52FA">
              <w:rPr>
                <w:rFonts w:eastAsiaTheme="minorEastAsia"/>
                <w:color w:val="000000"/>
                <w:sz w:val="24"/>
              </w:rPr>
              <w:t>基金管理人高级管理人员</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C361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left"/>
              <w:rPr>
                <w:rFonts w:eastAsiaTheme="minorEastAsia"/>
                <w:color w:val="000000"/>
                <w:sz w:val="24"/>
              </w:rPr>
            </w:pPr>
            <w:r w:rsidRPr="007F52FA">
              <w:rPr>
                <w:rFonts w:eastAsiaTheme="minorEastAsia"/>
                <w:color w:val="000000"/>
                <w:sz w:val="24"/>
              </w:rPr>
              <w:t>基金经理</w:t>
            </w:r>
            <w:r w:rsidRPr="007F52FA">
              <w:rPr>
                <w:rFonts w:eastAsiaTheme="minorEastAsia"/>
                <w:color w:val="000000"/>
                <w:sz w:val="24"/>
              </w:rPr>
              <w:lastRenderedPageBreak/>
              <w:t>等人员</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lastRenderedPageBreak/>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C361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left"/>
              <w:rPr>
                <w:rFonts w:eastAsiaTheme="minorEastAsia"/>
                <w:color w:val="000000"/>
                <w:sz w:val="24"/>
              </w:rPr>
            </w:pPr>
            <w:r w:rsidRPr="007F52FA">
              <w:rPr>
                <w:rFonts w:eastAsiaTheme="minorEastAsia"/>
                <w:color w:val="000000"/>
                <w:sz w:val="24"/>
              </w:rPr>
              <w:lastRenderedPageBreak/>
              <w:t>基金管理人股东</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C361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left"/>
              <w:rPr>
                <w:rFonts w:eastAsiaTheme="minorEastAsia"/>
                <w:color w:val="000000"/>
                <w:sz w:val="24"/>
              </w:rPr>
            </w:pPr>
            <w:r w:rsidRPr="007F52FA">
              <w:rPr>
                <w:rFonts w:eastAsiaTheme="minorEastAsia"/>
                <w:color w:val="000000"/>
                <w:sz w:val="24"/>
              </w:rPr>
              <w:t>其他</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r w:rsidR="00B47574" w:rsidRPr="007F52FA" w:rsidTr="00C361E7">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left"/>
              <w:rPr>
                <w:rFonts w:eastAsiaTheme="minorEastAsia"/>
                <w:color w:val="000000"/>
                <w:sz w:val="24"/>
              </w:rPr>
            </w:pPr>
            <w:r w:rsidRPr="007F52FA">
              <w:rPr>
                <w:rFonts w:eastAsiaTheme="minorEastAsia"/>
                <w:color w:val="000000"/>
                <w:sz w:val="24"/>
              </w:rPr>
              <w:t>合计</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10,072,734.64</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5.55%</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10,003,472.22</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5.51%</w:t>
            </w:r>
          </w:p>
        </w:tc>
        <w:tc>
          <w:tcPr>
            <w:tcW w:w="0" w:type="auto"/>
            <w:tcBorders>
              <w:top w:val="single" w:sz="4" w:space="0" w:color="auto"/>
              <w:left w:val="single" w:sz="4" w:space="0" w:color="auto"/>
              <w:bottom w:val="single" w:sz="4" w:space="0" w:color="auto"/>
              <w:right w:val="single" w:sz="4" w:space="0" w:color="auto"/>
            </w:tcBorders>
            <w:vAlign w:val="center"/>
            <w:hideMark/>
          </w:tcPr>
          <w:p w:rsidR="00B47574" w:rsidRPr="007F52FA" w:rsidRDefault="00B47574" w:rsidP="00761982">
            <w:pPr>
              <w:adjustRightInd w:val="0"/>
              <w:snapToGrid w:val="0"/>
              <w:spacing w:before="29" w:line="288" w:lineRule="auto"/>
              <w:jc w:val="right"/>
              <w:rPr>
                <w:rFonts w:eastAsiaTheme="minorEastAsia"/>
                <w:kern w:val="0"/>
                <w:sz w:val="24"/>
              </w:rPr>
            </w:pPr>
            <w:r w:rsidRPr="007F52FA">
              <w:rPr>
                <w:rFonts w:eastAsiaTheme="minorEastAsia"/>
                <w:kern w:val="0"/>
                <w:sz w:val="24"/>
              </w:rPr>
              <w:t>-</w:t>
            </w:r>
          </w:p>
        </w:tc>
      </w:tr>
    </w:tbl>
    <w:p w:rsidR="00B47574" w:rsidRPr="007F52FA" w:rsidRDefault="00B47574" w:rsidP="00761982">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注：本报告期末持有份额总数为发起份额总数和截至本报告期末红利再投份额数的合计。</w:t>
      </w:r>
    </w:p>
    <w:p w:rsidR="00574FC7" w:rsidRPr="007F52FA" w:rsidRDefault="00574FC7" w:rsidP="00761982">
      <w:pPr>
        <w:autoSpaceDE w:val="0"/>
        <w:autoSpaceDN w:val="0"/>
        <w:adjustRightInd w:val="0"/>
        <w:spacing w:before="29" w:line="288" w:lineRule="auto"/>
        <w:jc w:val="left"/>
        <w:rPr>
          <w:rFonts w:eastAsiaTheme="minorEastAsia"/>
          <w:color w:val="000000"/>
          <w:sz w:val="24"/>
        </w:rPr>
      </w:pPr>
    </w:p>
    <w:p w:rsidR="00000000" w:rsidRDefault="009238DB" w:rsidP="00F83EE8">
      <w:pPr>
        <w:pStyle w:val="1"/>
        <w:spacing w:beforeLines="100" w:afterLines="100" w:line="288" w:lineRule="auto"/>
        <w:jc w:val="cente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61982">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D13A01" w:rsidP="00761982">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61982">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61982">
      <w:pPr>
        <w:spacing w:before="29" w:line="288" w:lineRule="auto"/>
        <w:ind w:firstLineChars="200" w:firstLine="480"/>
        <w:rPr>
          <w:rFonts w:eastAsiaTheme="minorEastAsia"/>
          <w:color w:val="000000"/>
          <w:sz w:val="24"/>
        </w:rPr>
      </w:pPr>
    </w:p>
    <w:p w:rsidR="00FB3C94" w:rsidRPr="007F52FA" w:rsidRDefault="00D13A01" w:rsidP="00761982">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177BC1" w:rsidRDefault="00C361E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4D36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4D36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3C2D" w:rsidRDefault="00653C2D">
      <w:r>
        <w:separator/>
      </w:r>
    </w:p>
  </w:endnote>
  <w:endnote w:type="continuationSeparator" w:id="1">
    <w:p w:rsidR="00653C2D" w:rsidRDefault="00653C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C32DFB">
      <w:rPr>
        <w:kern w:val="0"/>
        <w:szCs w:val="21"/>
      </w:rPr>
      <w:fldChar w:fldCharType="begin"/>
    </w:r>
    <w:r>
      <w:rPr>
        <w:kern w:val="0"/>
        <w:szCs w:val="21"/>
      </w:rPr>
      <w:instrText xml:space="preserve"> PAGE </w:instrText>
    </w:r>
    <w:r w:rsidR="00C32DFB">
      <w:rPr>
        <w:kern w:val="0"/>
        <w:szCs w:val="21"/>
      </w:rPr>
      <w:fldChar w:fldCharType="separate"/>
    </w:r>
    <w:r w:rsidR="00F83EE8">
      <w:rPr>
        <w:noProof/>
        <w:kern w:val="0"/>
        <w:szCs w:val="21"/>
      </w:rPr>
      <w:t>1</w:t>
    </w:r>
    <w:r w:rsidR="00C32DFB">
      <w:rPr>
        <w:kern w:val="0"/>
        <w:szCs w:val="21"/>
      </w:rPr>
      <w:fldChar w:fldCharType="end"/>
    </w:r>
    <w:r>
      <w:rPr>
        <w:rFonts w:hint="eastAsia"/>
        <w:kern w:val="0"/>
        <w:szCs w:val="21"/>
      </w:rPr>
      <w:t>页共</w:t>
    </w:r>
    <w:r w:rsidR="00C32DFB">
      <w:rPr>
        <w:kern w:val="0"/>
        <w:szCs w:val="21"/>
      </w:rPr>
      <w:fldChar w:fldCharType="begin"/>
    </w:r>
    <w:r>
      <w:rPr>
        <w:kern w:val="0"/>
        <w:szCs w:val="21"/>
      </w:rPr>
      <w:instrText xml:space="preserve"> NUMPAGES </w:instrText>
    </w:r>
    <w:r w:rsidR="00C32DFB">
      <w:rPr>
        <w:kern w:val="0"/>
        <w:szCs w:val="21"/>
      </w:rPr>
      <w:fldChar w:fldCharType="separate"/>
    </w:r>
    <w:r w:rsidR="00F83EE8">
      <w:rPr>
        <w:noProof/>
        <w:kern w:val="0"/>
        <w:szCs w:val="21"/>
      </w:rPr>
      <w:t>13</w:t>
    </w:r>
    <w:r w:rsidR="00C32DFB">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C32DFB">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3C2D" w:rsidRDefault="00653C2D">
      <w:r>
        <w:separator/>
      </w:r>
    </w:p>
  </w:footnote>
  <w:footnote w:type="continuationSeparator" w:id="1">
    <w:p w:rsidR="00653C2D" w:rsidRDefault="00653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C32DFB"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F1F"/>
    <w:rsid w:val="00010A83"/>
    <w:rsid w:val="0001164A"/>
    <w:rsid w:val="00012063"/>
    <w:rsid w:val="000137C1"/>
    <w:rsid w:val="0001425B"/>
    <w:rsid w:val="0001579C"/>
    <w:rsid w:val="00015B04"/>
    <w:rsid w:val="00016551"/>
    <w:rsid w:val="00020737"/>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F42"/>
    <w:rsid w:val="00053FFD"/>
    <w:rsid w:val="00054F34"/>
    <w:rsid w:val="00056D5C"/>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A04AA"/>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3E43"/>
    <w:rsid w:val="000B4E99"/>
    <w:rsid w:val="000B648A"/>
    <w:rsid w:val="000C3EEF"/>
    <w:rsid w:val="000C45E7"/>
    <w:rsid w:val="000C5956"/>
    <w:rsid w:val="000C757F"/>
    <w:rsid w:val="000C7DD4"/>
    <w:rsid w:val="000D1164"/>
    <w:rsid w:val="000D1BBE"/>
    <w:rsid w:val="000D2415"/>
    <w:rsid w:val="000D3773"/>
    <w:rsid w:val="000D468D"/>
    <w:rsid w:val="000D4DE9"/>
    <w:rsid w:val="000D6660"/>
    <w:rsid w:val="000D6BA0"/>
    <w:rsid w:val="000D7ECA"/>
    <w:rsid w:val="000E0A54"/>
    <w:rsid w:val="000E2F81"/>
    <w:rsid w:val="000E3726"/>
    <w:rsid w:val="000E39DB"/>
    <w:rsid w:val="000E3A0B"/>
    <w:rsid w:val="000E574B"/>
    <w:rsid w:val="000F0558"/>
    <w:rsid w:val="000F0AC3"/>
    <w:rsid w:val="000F175F"/>
    <w:rsid w:val="000F17D1"/>
    <w:rsid w:val="000F1CC9"/>
    <w:rsid w:val="000F5ABD"/>
    <w:rsid w:val="000F60FF"/>
    <w:rsid w:val="000F6F7C"/>
    <w:rsid w:val="000F7468"/>
    <w:rsid w:val="001005BB"/>
    <w:rsid w:val="00103B0E"/>
    <w:rsid w:val="001040EA"/>
    <w:rsid w:val="00111711"/>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77BC1"/>
    <w:rsid w:val="0018052A"/>
    <w:rsid w:val="00180952"/>
    <w:rsid w:val="0018191A"/>
    <w:rsid w:val="00185B68"/>
    <w:rsid w:val="00186199"/>
    <w:rsid w:val="001874E3"/>
    <w:rsid w:val="00194155"/>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2045"/>
    <w:rsid w:val="001C4168"/>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1740"/>
    <w:rsid w:val="002424E4"/>
    <w:rsid w:val="00242CBE"/>
    <w:rsid w:val="00243122"/>
    <w:rsid w:val="002437F5"/>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3106"/>
    <w:rsid w:val="002642F2"/>
    <w:rsid w:val="00264AE1"/>
    <w:rsid w:val="0026558A"/>
    <w:rsid w:val="00266645"/>
    <w:rsid w:val="00266E94"/>
    <w:rsid w:val="00267386"/>
    <w:rsid w:val="00267C2E"/>
    <w:rsid w:val="00267DA9"/>
    <w:rsid w:val="0027117B"/>
    <w:rsid w:val="00273E5C"/>
    <w:rsid w:val="00275FD0"/>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1704"/>
    <w:rsid w:val="003570C8"/>
    <w:rsid w:val="00367770"/>
    <w:rsid w:val="00370FE2"/>
    <w:rsid w:val="00371424"/>
    <w:rsid w:val="00371FF4"/>
    <w:rsid w:val="00372209"/>
    <w:rsid w:val="003771ED"/>
    <w:rsid w:val="0037768B"/>
    <w:rsid w:val="0038015D"/>
    <w:rsid w:val="00382E6F"/>
    <w:rsid w:val="00384E65"/>
    <w:rsid w:val="00386EBC"/>
    <w:rsid w:val="00387C00"/>
    <w:rsid w:val="00397960"/>
    <w:rsid w:val="00397F75"/>
    <w:rsid w:val="003A1241"/>
    <w:rsid w:val="003A2008"/>
    <w:rsid w:val="003A3BC4"/>
    <w:rsid w:val="003A4AA3"/>
    <w:rsid w:val="003A7DDF"/>
    <w:rsid w:val="003B405E"/>
    <w:rsid w:val="003B4843"/>
    <w:rsid w:val="003B494E"/>
    <w:rsid w:val="003B6C23"/>
    <w:rsid w:val="003C0FD1"/>
    <w:rsid w:val="003C6E9E"/>
    <w:rsid w:val="003C792F"/>
    <w:rsid w:val="003D10D1"/>
    <w:rsid w:val="003D117A"/>
    <w:rsid w:val="003D36B2"/>
    <w:rsid w:val="003D42D5"/>
    <w:rsid w:val="003D656E"/>
    <w:rsid w:val="003D7826"/>
    <w:rsid w:val="003D78B5"/>
    <w:rsid w:val="003E0BD4"/>
    <w:rsid w:val="003E45B9"/>
    <w:rsid w:val="003E654C"/>
    <w:rsid w:val="003E6C5C"/>
    <w:rsid w:val="003F0DE5"/>
    <w:rsid w:val="003F46FC"/>
    <w:rsid w:val="003F4AA5"/>
    <w:rsid w:val="003F589D"/>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DB2"/>
    <w:rsid w:val="00483271"/>
    <w:rsid w:val="0049210E"/>
    <w:rsid w:val="0049297D"/>
    <w:rsid w:val="0049327D"/>
    <w:rsid w:val="00493D04"/>
    <w:rsid w:val="0049405D"/>
    <w:rsid w:val="0049455C"/>
    <w:rsid w:val="00495A03"/>
    <w:rsid w:val="004A1BE1"/>
    <w:rsid w:val="004A63CB"/>
    <w:rsid w:val="004A67B0"/>
    <w:rsid w:val="004A6FB2"/>
    <w:rsid w:val="004B0847"/>
    <w:rsid w:val="004B087F"/>
    <w:rsid w:val="004B0E6D"/>
    <w:rsid w:val="004B16E8"/>
    <w:rsid w:val="004B4FE9"/>
    <w:rsid w:val="004C0541"/>
    <w:rsid w:val="004C241F"/>
    <w:rsid w:val="004C634A"/>
    <w:rsid w:val="004C660B"/>
    <w:rsid w:val="004D050C"/>
    <w:rsid w:val="004D23D9"/>
    <w:rsid w:val="004D3537"/>
    <w:rsid w:val="004D36DF"/>
    <w:rsid w:val="004D4D4E"/>
    <w:rsid w:val="004D614E"/>
    <w:rsid w:val="004D650F"/>
    <w:rsid w:val="004D7E11"/>
    <w:rsid w:val="004E2133"/>
    <w:rsid w:val="004E4E04"/>
    <w:rsid w:val="004F2EB4"/>
    <w:rsid w:val="004F521C"/>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7FA4"/>
    <w:rsid w:val="005536D4"/>
    <w:rsid w:val="00553EC8"/>
    <w:rsid w:val="005547A9"/>
    <w:rsid w:val="005564EE"/>
    <w:rsid w:val="00556718"/>
    <w:rsid w:val="00557D4A"/>
    <w:rsid w:val="0056176B"/>
    <w:rsid w:val="00561889"/>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4BD"/>
    <w:rsid w:val="0058299A"/>
    <w:rsid w:val="0058602F"/>
    <w:rsid w:val="0058694E"/>
    <w:rsid w:val="005875F9"/>
    <w:rsid w:val="00590765"/>
    <w:rsid w:val="00593A35"/>
    <w:rsid w:val="00593C74"/>
    <w:rsid w:val="00597D8B"/>
    <w:rsid w:val="005A46FF"/>
    <w:rsid w:val="005A557E"/>
    <w:rsid w:val="005A63FD"/>
    <w:rsid w:val="005A677E"/>
    <w:rsid w:val="005B0532"/>
    <w:rsid w:val="005B1876"/>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17A7E"/>
    <w:rsid w:val="00620EDB"/>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7ACB"/>
    <w:rsid w:val="00651B78"/>
    <w:rsid w:val="0065237A"/>
    <w:rsid w:val="00652FF5"/>
    <w:rsid w:val="00653246"/>
    <w:rsid w:val="00653C2D"/>
    <w:rsid w:val="00654382"/>
    <w:rsid w:val="00660FD1"/>
    <w:rsid w:val="00661244"/>
    <w:rsid w:val="006626CC"/>
    <w:rsid w:val="00663F76"/>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B58"/>
    <w:rsid w:val="006A4828"/>
    <w:rsid w:val="006A5FE0"/>
    <w:rsid w:val="006A7C09"/>
    <w:rsid w:val="006B046C"/>
    <w:rsid w:val="006B252F"/>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2E8B"/>
    <w:rsid w:val="007541BB"/>
    <w:rsid w:val="00754D62"/>
    <w:rsid w:val="00756CFF"/>
    <w:rsid w:val="00757FD7"/>
    <w:rsid w:val="00761982"/>
    <w:rsid w:val="00761B7A"/>
    <w:rsid w:val="00762626"/>
    <w:rsid w:val="007651E5"/>
    <w:rsid w:val="00765256"/>
    <w:rsid w:val="00766051"/>
    <w:rsid w:val="007661D4"/>
    <w:rsid w:val="007661FD"/>
    <w:rsid w:val="00766A7C"/>
    <w:rsid w:val="00767A27"/>
    <w:rsid w:val="0077111A"/>
    <w:rsid w:val="00774133"/>
    <w:rsid w:val="00775419"/>
    <w:rsid w:val="007763A5"/>
    <w:rsid w:val="0078105B"/>
    <w:rsid w:val="00782B50"/>
    <w:rsid w:val="00784FE0"/>
    <w:rsid w:val="007852D1"/>
    <w:rsid w:val="007858B1"/>
    <w:rsid w:val="0078648E"/>
    <w:rsid w:val="00791A3A"/>
    <w:rsid w:val="00791D9C"/>
    <w:rsid w:val="007936F3"/>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9EC"/>
    <w:rsid w:val="007C364E"/>
    <w:rsid w:val="007C5359"/>
    <w:rsid w:val="007C6701"/>
    <w:rsid w:val="007D16ED"/>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21F9C"/>
    <w:rsid w:val="00825570"/>
    <w:rsid w:val="00826403"/>
    <w:rsid w:val="00827990"/>
    <w:rsid w:val="00834CA6"/>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63CC"/>
    <w:rsid w:val="00950413"/>
    <w:rsid w:val="0095078E"/>
    <w:rsid w:val="009515B0"/>
    <w:rsid w:val="00952404"/>
    <w:rsid w:val="00952A72"/>
    <w:rsid w:val="009550A8"/>
    <w:rsid w:val="00955FF2"/>
    <w:rsid w:val="0095693D"/>
    <w:rsid w:val="00956B0D"/>
    <w:rsid w:val="00962363"/>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3DA2"/>
    <w:rsid w:val="009942F4"/>
    <w:rsid w:val="00995B3C"/>
    <w:rsid w:val="00996BCA"/>
    <w:rsid w:val="009A045B"/>
    <w:rsid w:val="009A0513"/>
    <w:rsid w:val="009A2283"/>
    <w:rsid w:val="009A31AF"/>
    <w:rsid w:val="009A3507"/>
    <w:rsid w:val="009A3DC6"/>
    <w:rsid w:val="009A529F"/>
    <w:rsid w:val="009A5C1D"/>
    <w:rsid w:val="009B4286"/>
    <w:rsid w:val="009B5BF9"/>
    <w:rsid w:val="009B5DAF"/>
    <w:rsid w:val="009B5F83"/>
    <w:rsid w:val="009B61C5"/>
    <w:rsid w:val="009B6A1E"/>
    <w:rsid w:val="009B769E"/>
    <w:rsid w:val="009C03E5"/>
    <w:rsid w:val="009C4D19"/>
    <w:rsid w:val="009C5FDB"/>
    <w:rsid w:val="009C65AF"/>
    <w:rsid w:val="009C70CB"/>
    <w:rsid w:val="009C74DD"/>
    <w:rsid w:val="009D27AA"/>
    <w:rsid w:val="009D2AD9"/>
    <w:rsid w:val="009D2BAC"/>
    <w:rsid w:val="009D514E"/>
    <w:rsid w:val="009D5C39"/>
    <w:rsid w:val="009D6FED"/>
    <w:rsid w:val="009D767D"/>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454D"/>
    <w:rsid w:val="00A26437"/>
    <w:rsid w:val="00A32410"/>
    <w:rsid w:val="00A32B48"/>
    <w:rsid w:val="00A36D00"/>
    <w:rsid w:val="00A43389"/>
    <w:rsid w:val="00A4642E"/>
    <w:rsid w:val="00A47AF8"/>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27"/>
    <w:rsid w:val="00AC4761"/>
    <w:rsid w:val="00AD0611"/>
    <w:rsid w:val="00AD0E4F"/>
    <w:rsid w:val="00AD26D7"/>
    <w:rsid w:val="00AD3905"/>
    <w:rsid w:val="00AD4555"/>
    <w:rsid w:val="00AD4A31"/>
    <w:rsid w:val="00AD5638"/>
    <w:rsid w:val="00AD7214"/>
    <w:rsid w:val="00AE1066"/>
    <w:rsid w:val="00AE12A4"/>
    <w:rsid w:val="00AE2E1B"/>
    <w:rsid w:val="00AE38DE"/>
    <w:rsid w:val="00AE5129"/>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2AE1"/>
    <w:rsid w:val="00B343C2"/>
    <w:rsid w:val="00B37780"/>
    <w:rsid w:val="00B37813"/>
    <w:rsid w:val="00B37EEF"/>
    <w:rsid w:val="00B40553"/>
    <w:rsid w:val="00B4167B"/>
    <w:rsid w:val="00B41C1D"/>
    <w:rsid w:val="00B43917"/>
    <w:rsid w:val="00B44260"/>
    <w:rsid w:val="00B4515C"/>
    <w:rsid w:val="00B46220"/>
    <w:rsid w:val="00B464EA"/>
    <w:rsid w:val="00B47574"/>
    <w:rsid w:val="00B5430C"/>
    <w:rsid w:val="00B56A90"/>
    <w:rsid w:val="00B5711C"/>
    <w:rsid w:val="00B57BCF"/>
    <w:rsid w:val="00B57E36"/>
    <w:rsid w:val="00B60209"/>
    <w:rsid w:val="00B606A3"/>
    <w:rsid w:val="00B60C22"/>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1A02"/>
    <w:rsid w:val="00BD43BB"/>
    <w:rsid w:val="00BD7ADE"/>
    <w:rsid w:val="00BD7B4A"/>
    <w:rsid w:val="00BE1A85"/>
    <w:rsid w:val="00BE46ED"/>
    <w:rsid w:val="00BE4FD1"/>
    <w:rsid w:val="00BE642D"/>
    <w:rsid w:val="00BE6D7A"/>
    <w:rsid w:val="00BF2080"/>
    <w:rsid w:val="00BF2511"/>
    <w:rsid w:val="00BF377F"/>
    <w:rsid w:val="00BF3F88"/>
    <w:rsid w:val="00BF57BE"/>
    <w:rsid w:val="00C0042B"/>
    <w:rsid w:val="00C02E58"/>
    <w:rsid w:val="00C030B6"/>
    <w:rsid w:val="00C04B38"/>
    <w:rsid w:val="00C067B7"/>
    <w:rsid w:val="00C10A09"/>
    <w:rsid w:val="00C121BC"/>
    <w:rsid w:val="00C14D92"/>
    <w:rsid w:val="00C158BC"/>
    <w:rsid w:val="00C16739"/>
    <w:rsid w:val="00C17F3F"/>
    <w:rsid w:val="00C23BA2"/>
    <w:rsid w:val="00C260A2"/>
    <w:rsid w:val="00C30DEC"/>
    <w:rsid w:val="00C31142"/>
    <w:rsid w:val="00C312FA"/>
    <w:rsid w:val="00C31DEF"/>
    <w:rsid w:val="00C32DFB"/>
    <w:rsid w:val="00C338EB"/>
    <w:rsid w:val="00C34790"/>
    <w:rsid w:val="00C35BB7"/>
    <w:rsid w:val="00C361E7"/>
    <w:rsid w:val="00C36B35"/>
    <w:rsid w:val="00C400CD"/>
    <w:rsid w:val="00C41617"/>
    <w:rsid w:val="00C41DA8"/>
    <w:rsid w:val="00C4309A"/>
    <w:rsid w:val="00C43F23"/>
    <w:rsid w:val="00C43FF1"/>
    <w:rsid w:val="00C44F1F"/>
    <w:rsid w:val="00C45494"/>
    <w:rsid w:val="00C50D87"/>
    <w:rsid w:val="00C52D18"/>
    <w:rsid w:val="00C559CE"/>
    <w:rsid w:val="00C55E19"/>
    <w:rsid w:val="00C563BF"/>
    <w:rsid w:val="00C56EF8"/>
    <w:rsid w:val="00C57512"/>
    <w:rsid w:val="00C57607"/>
    <w:rsid w:val="00C61133"/>
    <w:rsid w:val="00C64009"/>
    <w:rsid w:val="00C7016D"/>
    <w:rsid w:val="00C74ABE"/>
    <w:rsid w:val="00C767B3"/>
    <w:rsid w:val="00C76C07"/>
    <w:rsid w:val="00C80F23"/>
    <w:rsid w:val="00C850A3"/>
    <w:rsid w:val="00C87568"/>
    <w:rsid w:val="00C92451"/>
    <w:rsid w:val="00C9272C"/>
    <w:rsid w:val="00C97764"/>
    <w:rsid w:val="00C97C9B"/>
    <w:rsid w:val="00CA344C"/>
    <w:rsid w:val="00CA46CE"/>
    <w:rsid w:val="00CA59F6"/>
    <w:rsid w:val="00CB046E"/>
    <w:rsid w:val="00CB142D"/>
    <w:rsid w:val="00CB29F6"/>
    <w:rsid w:val="00CB2BBF"/>
    <w:rsid w:val="00CB481C"/>
    <w:rsid w:val="00CB4C8C"/>
    <w:rsid w:val="00CB5F73"/>
    <w:rsid w:val="00CB62E1"/>
    <w:rsid w:val="00CB6EFE"/>
    <w:rsid w:val="00CB763B"/>
    <w:rsid w:val="00CB7A3B"/>
    <w:rsid w:val="00CC15D7"/>
    <w:rsid w:val="00CC1636"/>
    <w:rsid w:val="00CC16F9"/>
    <w:rsid w:val="00CC28A9"/>
    <w:rsid w:val="00CC3274"/>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AC7"/>
    <w:rsid w:val="00DB3588"/>
    <w:rsid w:val="00DB56EC"/>
    <w:rsid w:val="00DB704C"/>
    <w:rsid w:val="00DC693B"/>
    <w:rsid w:val="00DC7C77"/>
    <w:rsid w:val="00DD0F5D"/>
    <w:rsid w:val="00DD2C55"/>
    <w:rsid w:val="00DD32D6"/>
    <w:rsid w:val="00DD426D"/>
    <w:rsid w:val="00DD6DD4"/>
    <w:rsid w:val="00DD74FC"/>
    <w:rsid w:val="00DE117F"/>
    <w:rsid w:val="00DE1769"/>
    <w:rsid w:val="00DE1A17"/>
    <w:rsid w:val="00DE44C8"/>
    <w:rsid w:val="00DE64CC"/>
    <w:rsid w:val="00DE6AA9"/>
    <w:rsid w:val="00DE6E5C"/>
    <w:rsid w:val="00DE778B"/>
    <w:rsid w:val="00DE7B30"/>
    <w:rsid w:val="00DF0A34"/>
    <w:rsid w:val="00DF20C7"/>
    <w:rsid w:val="00DF4D0C"/>
    <w:rsid w:val="00DF53FA"/>
    <w:rsid w:val="00DF5C20"/>
    <w:rsid w:val="00DF7D81"/>
    <w:rsid w:val="00E02DEB"/>
    <w:rsid w:val="00E042A1"/>
    <w:rsid w:val="00E0476C"/>
    <w:rsid w:val="00E0576B"/>
    <w:rsid w:val="00E067EA"/>
    <w:rsid w:val="00E06D18"/>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6626"/>
    <w:rsid w:val="00EF7D07"/>
    <w:rsid w:val="00EF7DB6"/>
    <w:rsid w:val="00F0161E"/>
    <w:rsid w:val="00F0181C"/>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40055"/>
    <w:rsid w:val="00F40868"/>
    <w:rsid w:val="00F40E14"/>
    <w:rsid w:val="00F44FDE"/>
    <w:rsid w:val="00F46467"/>
    <w:rsid w:val="00F4715C"/>
    <w:rsid w:val="00F47BA9"/>
    <w:rsid w:val="00F47FF8"/>
    <w:rsid w:val="00F517B6"/>
    <w:rsid w:val="00F529B5"/>
    <w:rsid w:val="00F52AA4"/>
    <w:rsid w:val="00F56162"/>
    <w:rsid w:val="00F56B7E"/>
    <w:rsid w:val="00F56E5B"/>
    <w:rsid w:val="00F6052F"/>
    <w:rsid w:val="00F62FDE"/>
    <w:rsid w:val="00F654E6"/>
    <w:rsid w:val="00F662CD"/>
    <w:rsid w:val="00F67E39"/>
    <w:rsid w:val="00F703A8"/>
    <w:rsid w:val="00F707F1"/>
    <w:rsid w:val="00F7094A"/>
    <w:rsid w:val="00F710BE"/>
    <w:rsid w:val="00F71432"/>
    <w:rsid w:val="00F72579"/>
    <w:rsid w:val="00F804B9"/>
    <w:rsid w:val="00F80AE2"/>
    <w:rsid w:val="00F83EE8"/>
    <w:rsid w:val="00F83FF9"/>
    <w:rsid w:val="00F870C3"/>
    <w:rsid w:val="00F87E5F"/>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10">
    <w:name w:val="已访问的超链接"/>
    <w:basedOn w:val="a1"/>
    <w:rPr>
      <w:color w:val="800080"/>
      <w:u w:val="single"/>
    </w:rPr>
  </w:style>
  <w:style w:type="paragraph" w:styleId="aa">
    <w:name w:val="List"/>
    <w:basedOn w:val="ab"/>
    <w:pPr>
      <w:spacing w:after="220" w:line="220" w:lineRule="atLeast"/>
      <w:ind w:left="1440" w:hanging="360"/>
    </w:pPr>
    <w:rPr>
      <w:szCs w:val="20"/>
    </w:rPr>
  </w:style>
  <w:style w:type="paragraph" w:styleId="ab">
    <w:name w:val="Body Text"/>
    <w:basedOn w:val="a"/>
    <w:pPr>
      <w:spacing w:after="120"/>
    </w:pPr>
  </w:style>
  <w:style w:type="paragraph" w:styleId="ac">
    <w:name w:val="Date"/>
    <w:basedOn w:val="a"/>
    <w:next w:val="a"/>
    <w:link w:val="Char1"/>
    <w:rPr>
      <w:sz w:val="24"/>
      <w:szCs w:val="20"/>
    </w:rPr>
  </w:style>
  <w:style w:type="character" w:customStyle="1" w:styleId="c1">
    <w:name w:val="c1"/>
    <w:basedOn w:val="a1"/>
    <w:rPr>
      <w:color w:val="000000"/>
      <w:sz w:val="18"/>
      <w:szCs w:val="18"/>
    </w:rPr>
  </w:style>
  <w:style w:type="paragraph" w:styleId="11">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Pr>
      <w:sz w:val="18"/>
      <w:szCs w:val="18"/>
    </w:rPr>
  </w:style>
  <w:style w:type="character" w:styleId="ae">
    <w:name w:val="annotation reference"/>
    <w:basedOn w:val="a1"/>
    <w:semiHidden/>
    <w:rPr>
      <w:sz w:val="21"/>
      <w:szCs w:val="21"/>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Char2">
    <w:name w:val="Char"/>
    <w:basedOn w:val="a"/>
  </w:style>
  <w:style w:type="paragraph" w:styleId="af1">
    <w:name w:val="Document Map"/>
    <w:basedOn w:val="a"/>
    <w:semiHidden/>
    <w:rsid w:val="000A549A"/>
    <w:pPr>
      <w:shd w:val="clear" w:color="auto" w:fill="000080"/>
    </w:pPr>
  </w:style>
  <w:style w:type="table" w:styleId="af2">
    <w:name w:val="Table Grid"/>
    <w:basedOn w:val="a2"/>
    <w:uiPriority w:val="99"/>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5E242-784D-49A9-A617-05D0E7A0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143</TotalTime>
  <Pages>13</Pages>
  <Words>1118</Words>
  <Characters>6377</Characters>
  <Application>Microsoft Office Word</Application>
  <DocSecurity>0</DocSecurity>
  <Lines>53</Lines>
  <Paragraphs>14</Paragraphs>
  <ScaleCrop>false</ScaleCrop>
  <Company>TRT. Ltd. Co.</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280</cp:revision>
  <cp:lastPrinted>2007-07-19T00:46:00Z</cp:lastPrinted>
  <dcterms:created xsi:type="dcterms:W3CDTF">2014-01-17T06:19:00Z</dcterms:created>
  <dcterms:modified xsi:type="dcterms:W3CDTF">2014-04-16T12:48:00Z</dcterms:modified>
</cp:coreProperties>
</file>