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2D2A00" w:rsidP="00761982">
      <w:pPr>
        <w:spacing w:before="29" w:line="288" w:lineRule="auto"/>
        <w:jc w:val="center"/>
        <w:rPr>
          <w:rFonts w:eastAsiaTheme="minorEastAsia"/>
          <w:b/>
          <w:sz w:val="24"/>
        </w:rPr>
      </w:pPr>
      <w:r w:rsidRPr="007F52FA">
        <w:rPr>
          <w:rFonts w:eastAsiaTheme="minorEastAsia"/>
          <w:b/>
          <w:sz w:val="24"/>
        </w:rPr>
        <w:t>交银施罗德双利债券证券投资基金</w:t>
      </w:r>
    </w:p>
    <w:p w:rsidR="002D2A00" w:rsidRPr="007F52FA" w:rsidRDefault="002D2A00" w:rsidP="00761982">
      <w:pPr>
        <w:spacing w:before="29" w:line="288" w:lineRule="auto"/>
        <w:jc w:val="center"/>
        <w:rPr>
          <w:rFonts w:eastAsiaTheme="minorEastAsia"/>
          <w:b/>
          <w:sz w:val="24"/>
        </w:rPr>
      </w:pPr>
      <w:r w:rsidRPr="007F52FA">
        <w:rPr>
          <w:rFonts w:eastAsiaTheme="minorEastAsia"/>
          <w:b/>
          <w:sz w:val="24"/>
        </w:rPr>
        <w:t>2014</w:t>
      </w:r>
      <w:r w:rsidRPr="007F52FA">
        <w:rPr>
          <w:rFonts w:eastAsiaTheme="minorEastAsia"/>
          <w:b/>
          <w:sz w:val="24"/>
        </w:rPr>
        <w:t>年第</w:t>
      </w:r>
      <w:r w:rsidRPr="007F52FA">
        <w:rPr>
          <w:rFonts w:eastAsiaTheme="minorEastAsia"/>
          <w:b/>
          <w:sz w:val="24"/>
        </w:rPr>
        <w:t>1</w:t>
      </w:r>
      <w:r w:rsidRPr="007F52FA">
        <w:rPr>
          <w:rFonts w:eastAsiaTheme="minorEastAsia"/>
          <w:b/>
          <w:sz w:val="24"/>
        </w:rPr>
        <w:t>季度报告</w:t>
      </w:r>
    </w:p>
    <w:p w:rsidR="009A2283" w:rsidRPr="007F52FA" w:rsidRDefault="00121533" w:rsidP="00761982">
      <w:pPr>
        <w:spacing w:before="29" w:line="288" w:lineRule="auto"/>
        <w:jc w:val="center"/>
        <w:rPr>
          <w:sz w:val="24"/>
        </w:rPr>
      </w:pPr>
      <w:r w:rsidRPr="007F52FA">
        <w:rPr>
          <w:sz w:val="24"/>
        </w:rPr>
        <w:t>2014</w:t>
      </w:r>
      <w:r w:rsidRPr="007F52FA">
        <w:rPr>
          <w:sz w:val="24"/>
        </w:rPr>
        <w:t>年</w:t>
      </w:r>
      <w:r w:rsidRPr="007F52FA">
        <w:rPr>
          <w:sz w:val="24"/>
        </w:rPr>
        <w:t>3</w:t>
      </w:r>
      <w:r w:rsidRPr="007F52FA">
        <w:rPr>
          <w:sz w:val="24"/>
        </w:rPr>
        <w:t>月</w:t>
      </w:r>
      <w:r w:rsidRPr="007F52FA">
        <w:rPr>
          <w:sz w:val="24"/>
        </w:rPr>
        <w:t>31</w:t>
      </w:r>
      <w:r w:rsidRPr="007F52FA">
        <w:rPr>
          <w:sz w:val="24"/>
        </w:rPr>
        <w:t>日</w:t>
      </w: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E27360" w:rsidRPr="007F52FA" w:rsidRDefault="00E27360"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基金管理人：</w:t>
      </w:r>
      <w:r w:rsidR="00BF377F" w:rsidRPr="007F52FA">
        <w:rPr>
          <w:color w:val="000000"/>
          <w:sz w:val="24"/>
        </w:rPr>
        <w:t>交银施罗德基金管理有限公司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基金托管人：</w:t>
      </w:r>
      <w:r w:rsidR="00BF377F" w:rsidRPr="007F52FA">
        <w:rPr>
          <w:color w:val="000000"/>
          <w:sz w:val="24"/>
        </w:rPr>
        <w:t>中国建设银行股份有限公司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sz w:val="24"/>
        </w:rPr>
        <w:sectPr w:rsidR="009A2283" w:rsidRPr="007F52FA" w:rsidSect="007A5233">
          <w:headerReference w:type="default" r:id="rId8"/>
          <w:footerReference w:type="default" r:id="rId9"/>
          <w:pgSz w:w="11926" w:h="15840"/>
          <w:pgMar w:top="1418" w:right="1440" w:bottom="851" w:left="1440" w:header="851" w:footer="992" w:gutter="0"/>
          <w:cols w:space="720"/>
          <w:noEndnote/>
        </w:sectPr>
      </w:pPr>
      <w:r w:rsidRPr="007F52FA">
        <w:rPr>
          <w:color w:val="000000"/>
          <w:sz w:val="24"/>
        </w:rPr>
        <w:t>报告送出日期：</w:t>
      </w:r>
      <w:r w:rsidR="00D04410" w:rsidRPr="007F52FA">
        <w:rPr>
          <w:color w:val="000000"/>
          <w:sz w:val="24"/>
        </w:rPr>
        <w:t>二〇一四年四月二十二日</w:t>
      </w:r>
    </w:p>
    <w:p w:rsidR="009238DB" w:rsidRPr="007F52FA" w:rsidRDefault="009238DB" w:rsidP="00B3342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61982">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61982">
      <w:pPr>
        <w:spacing w:before="29" w:line="288" w:lineRule="auto"/>
        <w:ind w:firstLineChars="200" w:firstLine="480"/>
        <w:rPr>
          <w:rFonts w:eastAsiaTheme="minorEastAsia"/>
          <w:color w:val="000000"/>
          <w:sz w:val="24"/>
        </w:rPr>
      </w:pPr>
    </w:p>
    <w:p w:rsidR="009238DB" w:rsidRPr="007F52FA" w:rsidRDefault="009238DB" w:rsidP="00B3342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6200E" w:rsidRPr="007F52FA" w:rsidTr="00F32579">
        <w:trPr>
          <w:jc w:val="center"/>
        </w:trPr>
        <w:tc>
          <w:tcPr>
            <w:tcW w:w="2835" w:type="dxa"/>
            <w:vAlign w:val="center"/>
          </w:tcPr>
          <w:p w:rsidR="00A6200E" w:rsidRPr="007F52FA" w:rsidRDefault="00A6200E" w:rsidP="00761982">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61982">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F32579">
        <w:trPr>
          <w:jc w:val="center"/>
        </w:trPr>
        <w:tc>
          <w:tcPr>
            <w:tcW w:w="2835" w:type="dxa"/>
            <w:vAlign w:val="center"/>
          </w:tcPr>
          <w:p w:rsidR="00B95753" w:rsidRPr="007F52FA" w:rsidRDefault="00B95753" w:rsidP="00761982">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61982">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61982">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283,362,185.11</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w:t>
            </w:r>
            <w:r w:rsidRPr="007F52FA">
              <w:rPr>
                <w:color w:val="000000"/>
                <w:kern w:val="0"/>
                <w:sz w:val="24"/>
              </w:rPr>
              <w:lastRenderedPageBreak/>
              <w:t>和二级市场的运行状况与相应风险收益特征，在严格控制基金资产运作风险的基础上，把握投资机会，力争为投资者提供高于业绩比较基准的长期稳定投资回报。</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lastRenderedPageBreak/>
              <w:t>业绩比较基准</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61982">
            <w:pPr>
              <w:spacing w:before="29" w:line="288" w:lineRule="auto"/>
              <w:jc w:val="left"/>
              <w:rPr>
                <w:sz w:val="24"/>
              </w:rPr>
            </w:pPr>
            <w:r w:rsidRPr="007F52FA">
              <w:rPr>
                <w:sz w:val="24"/>
              </w:rPr>
              <w:t>交银双利债券</w:t>
            </w:r>
            <w:r w:rsidRPr="007F52FA">
              <w:rPr>
                <w:sz w:val="24"/>
              </w:rPr>
              <w:t>A/B</w:t>
            </w:r>
          </w:p>
        </w:tc>
        <w:tc>
          <w:tcPr>
            <w:tcW w:w="2740" w:type="dxa"/>
            <w:vAlign w:val="center"/>
          </w:tcPr>
          <w:p w:rsidR="008532F3" w:rsidRPr="007F52FA" w:rsidRDefault="008532F3" w:rsidP="00761982">
            <w:pPr>
              <w:spacing w:before="29" w:line="288" w:lineRule="auto"/>
              <w:jc w:val="left"/>
              <w:rPr>
                <w:sz w:val="24"/>
              </w:rPr>
            </w:pPr>
            <w:r w:rsidRPr="007F52FA">
              <w:rPr>
                <w:sz w:val="24"/>
              </w:rPr>
              <w:t>交银双利债券</w:t>
            </w:r>
            <w:r w:rsidRPr="007F52FA">
              <w:rPr>
                <w:sz w:val="24"/>
              </w:rPr>
              <w:t>C</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61982">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2740" w:type="dxa"/>
            <w:vAlign w:val="center"/>
          </w:tcPr>
          <w:p w:rsidR="00FD45FA" w:rsidRPr="007F52FA" w:rsidRDefault="00FD45FA" w:rsidP="00761982">
            <w:pPr>
              <w:spacing w:before="29" w:line="288" w:lineRule="auto"/>
              <w:jc w:val="left"/>
              <w:rPr>
                <w:color w:val="000000" w:themeColor="text1"/>
                <w:sz w:val="24"/>
              </w:rPr>
            </w:pPr>
            <w:r w:rsidRPr="007F52FA">
              <w:rPr>
                <w:color w:val="000000" w:themeColor="text1"/>
                <w:sz w:val="24"/>
              </w:rPr>
              <w:t>519685</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61982">
            <w:pPr>
              <w:spacing w:before="29" w:line="288" w:lineRule="auto"/>
              <w:jc w:val="left"/>
              <w:rPr>
                <w:sz w:val="24"/>
              </w:rPr>
            </w:pPr>
            <w:r w:rsidRPr="007F52FA">
              <w:rPr>
                <w:sz w:val="24"/>
              </w:rPr>
              <w:t>222,066,361.01</w:t>
            </w:r>
            <w:r w:rsidRPr="007F52FA">
              <w:rPr>
                <w:color w:val="000000"/>
                <w:kern w:val="0"/>
                <w:sz w:val="24"/>
              </w:rPr>
              <w:t>份</w:t>
            </w:r>
          </w:p>
        </w:tc>
        <w:tc>
          <w:tcPr>
            <w:tcW w:w="2740" w:type="dxa"/>
            <w:vAlign w:val="center"/>
          </w:tcPr>
          <w:p w:rsidR="00FD45FA" w:rsidRPr="007F52FA" w:rsidRDefault="00FD45FA" w:rsidP="00761982">
            <w:pPr>
              <w:spacing w:before="29" w:line="288" w:lineRule="auto"/>
              <w:jc w:val="left"/>
              <w:rPr>
                <w:sz w:val="24"/>
              </w:rPr>
            </w:pPr>
            <w:r w:rsidRPr="007F52FA">
              <w:rPr>
                <w:sz w:val="24"/>
              </w:rPr>
              <w:t>61,295,824.10</w:t>
            </w:r>
            <w:r w:rsidRPr="007F52FA">
              <w:rPr>
                <w:color w:val="000000"/>
                <w:kern w:val="0"/>
                <w:sz w:val="24"/>
              </w:rPr>
              <w:t>份</w:t>
            </w:r>
          </w:p>
        </w:tc>
      </w:tr>
    </w:tbl>
    <w:p w:rsidR="009238DB" w:rsidRPr="007F52FA" w:rsidRDefault="00A6200E"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61982">
      <w:pPr>
        <w:autoSpaceDE w:val="0"/>
        <w:autoSpaceDN w:val="0"/>
        <w:adjustRightInd w:val="0"/>
        <w:spacing w:before="29" w:line="288" w:lineRule="auto"/>
        <w:jc w:val="left"/>
        <w:rPr>
          <w:rFonts w:eastAsiaTheme="minorEastAsia"/>
          <w:color w:val="000000"/>
          <w:sz w:val="24"/>
        </w:rPr>
      </w:pPr>
    </w:p>
    <w:p w:rsidR="009238DB" w:rsidRPr="007F52FA" w:rsidRDefault="009238DB" w:rsidP="00B3342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61982">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61982">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61982">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61982">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61982">
            <w:pPr>
              <w:adjustRightInd w:val="0"/>
              <w:spacing w:before="29" w:line="288" w:lineRule="auto"/>
              <w:ind w:left="17"/>
              <w:jc w:val="center"/>
              <w:rPr>
                <w:kern w:val="0"/>
                <w:sz w:val="24"/>
              </w:rPr>
            </w:pPr>
          </w:p>
        </w:tc>
        <w:tc>
          <w:tcPr>
            <w:tcW w:w="2481" w:type="dxa"/>
            <w:vAlign w:val="center"/>
          </w:tcPr>
          <w:p w:rsidR="009E549D" w:rsidRPr="007F52FA" w:rsidRDefault="009E549D" w:rsidP="00761982">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61982">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-4,729,591.58</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-1,330,194.85</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-5,115,892.34</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-1,459,435.42</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-0.0187</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-0.0208</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226,537,146.61</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61,935,646.90</w:t>
            </w:r>
          </w:p>
        </w:tc>
      </w:tr>
      <w:tr w:rsidR="005F293E" w:rsidRPr="007F52FA" w:rsidTr="007A5233">
        <w:trPr>
          <w:trHeight w:val="158"/>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1.020</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1.010</w:t>
            </w:r>
          </w:p>
        </w:tc>
      </w:tr>
    </w:tbl>
    <w:p w:rsidR="002E18E7" w:rsidRDefault="001A6E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w:t>
      </w:r>
      <w:r w:rsidRPr="007F52FA">
        <w:rPr>
          <w:rFonts w:eastAsiaTheme="minorEastAsia"/>
          <w:color w:val="000000"/>
          <w:sz w:val="24"/>
        </w:rPr>
        <w:lastRenderedPageBreak/>
        <w:t>动收益）扣除相关费用后的余额，本期利润为本期已实现收益加上本期公允价值变动收益。</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61982">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61982">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E18E7">
        <w:trPr>
          <w:jc w:val="center"/>
        </w:trPr>
        <w:tc>
          <w:tcPr>
            <w:tcW w:w="1266" w:type="dxa"/>
            <w:vAlign w:val="center"/>
          </w:tcPr>
          <w:p w:rsidR="002E18E7" w:rsidRDefault="001A6E9B">
            <w:pPr>
              <w:jc w:val="left"/>
            </w:pPr>
            <w:r>
              <w:rPr>
                <w:color w:val="000000"/>
                <w:sz w:val="24"/>
              </w:rPr>
              <w:t>过去三个月</w:t>
            </w:r>
          </w:p>
        </w:tc>
        <w:tc>
          <w:tcPr>
            <w:tcW w:w="1267" w:type="dxa"/>
            <w:vAlign w:val="center"/>
          </w:tcPr>
          <w:p w:rsidR="002E18E7" w:rsidRDefault="001A6E9B">
            <w:pPr>
              <w:jc w:val="center"/>
            </w:pPr>
            <w:r>
              <w:rPr>
                <w:color w:val="000000"/>
                <w:sz w:val="24"/>
              </w:rPr>
              <w:t>-1.92%</w:t>
            </w:r>
          </w:p>
        </w:tc>
        <w:tc>
          <w:tcPr>
            <w:tcW w:w="1267" w:type="dxa"/>
            <w:vAlign w:val="center"/>
          </w:tcPr>
          <w:p w:rsidR="002E18E7" w:rsidRDefault="001A6E9B">
            <w:pPr>
              <w:jc w:val="center"/>
            </w:pPr>
            <w:r>
              <w:rPr>
                <w:color w:val="000000"/>
                <w:sz w:val="24"/>
              </w:rPr>
              <w:t>0.62%</w:t>
            </w:r>
          </w:p>
        </w:tc>
        <w:tc>
          <w:tcPr>
            <w:tcW w:w="1267" w:type="dxa"/>
            <w:vAlign w:val="center"/>
          </w:tcPr>
          <w:p w:rsidR="002E18E7" w:rsidRDefault="001A6E9B">
            <w:pPr>
              <w:jc w:val="center"/>
            </w:pPr>
            <w:r>
              <w:rPr>
                <w:color w:val="000000"/>
                <w:sz w:val="24"/>
              </w:rPr>
              <w:t>0.66%</w:t>
            </w:r>
          </w:p>
        </w:tc>
        <w:tc>
          <w:tcPr>
            <w:tcW w:w="1267" w:type="dxa"/>
            <w:vAlign w:val="center"/>
          </w:tcPr>
          <w:p w:rsidR="002E18E7" w:rsidRDefault="001A6E9B">
            <w:pPr>
              <w:jc w:val="center"/>
            </w:pPr>
            <w:r>
              <w:rPr>
                <w:color w:val="000000"/>
                <w:sz w:val="24"/>
              </w:rPr>
              <w:t>0.14%</w:t>
            </w:r>
          </w:p>
        </w:tc>
        <w:tc>
          <w:tcPr>
            <w:tcW w:w="1267" w:type="dxa"/>
            <w:vAlign w:val="center"/>
          </w:tcPr>
          <w:p w:rsidR="002E18E7" w:rsidRDefault="001A6E9B">
            <w:pPr>
              <w:jc w:val="center"/>
            </w:pPr>
            <w:r>
              <w:rPr>
                <w:color w:val="000000"/>
                <w:sz w:val="24"/>
              </w:rPr>
              <w:t>-2.58%</w:t>
            </w:r>
          </w:p>
        </w:tc>
        <w:tc>
          <w:tcPr>
            <w:tcW w:w="1267" w:type="dxa"/>
            <w:vAlign w:val="center"/>
          </w:tcPr>
          <w:p w:rsidR="002E18E7" w:rsidRDefault="001A6E9B">
            <w:pPr>
              <w:jc w:val="center"/>
            </w:pPr>
            <w:r>
              <w:rPr>
                <w:color w:val="000000"/>
                <w:sz w:val="24"/>
              </w:rPr>
              <w:t>0.48%</w:t>
            </w:r>
          </w:p>
        </w:tc>
      </w:tr>
    </w:tbl>
    <w:p w:rsidR="004425E8" w:rsidRPr="007F52FA" w:rsidRDefault="004425E8" w:rsidP="00761982">
      <w:pPr>
        <w:pStyle w:val="20"/>
        <w:spacing w:before="29" w:line="288" w:lineRule="auto"/>
        <w:ind w:firstLineChars="0" w:firstLine="0"/>
        <w:rPr>
          <w:rFonts w:ascii="Times New Roman" w:eastAsiaTheme="minorEastAsia" w:hAnsi="Times New Roman"/>
          <w:color w:val="000000"/>
        </w:rPr>
      </w:pPr>
    </w:p>
    <w:p w:rsidR="009238DB" w:rsidRPr="007F52FA" w:rsidRDefault="009238DB" w:rsidP="00761982">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E18E7">
        <w:trPr>
          <w:jc w:val="center"/>
        </w:trPr>
        <w:tc>
          <w:tcPr>
            <w:tcW w:w="1266" w:type="dxa"/>
            <w:vAlign w:val="center"/>
          </w:tcPr>
          <w:p w:rsidR="002E18E7" w:rsidRDefault="001A6E9B">
            <w:pPr>
              <w:jc w:val="left"/>
            </w:pPr>
            <w:r>
              <w:rPr>
                <w:color w:val="000000"/>
                <w:sz w:val="24"/>
              </w:rPr>
              <w:t>过去三个月</w:t>
            </w:r>
          </w:p>
        </w:tc>
        <w:tc>
          <w:tcPr>
            <w:tcW w:w="1267" w:type="dxa"/>
            <w:vAlign w:val="center"/>
          </w:tcPr>
          <w:p w:rsidR="002E18E7" w:rsidRDefault="001A6E9B">
            <w:pPr>
              <w:jc w:val="center"/>
            </w:pPr>
            <w:r>
              <w:rPr>
                <w:color w:val="000000"/>
                <w:sz w:val="24"/>
              </w:rPr>
              <w:t>-2.04%</w:t>
            </w:r>
          </w:p>
        </w:tc>
        <w:tc>
          <w:tcPr>
            <w:tcW w:w="1267" w:type="dxa"/>
            <w:vAlign w:val="center"/>
          </w:tcPr>
          <w:p w:rsidR="002E18E7" w:rsidRDefault="001A6E9B">
            <w:pPr>
              <w:jc w:val="center"/>
            </w:pPr>
            <w:r>
              <w:rPr>
                <w:color w:val="000000"/>
                <w:sz w:val="24"/>
              </w:rPr>
              <w:t>0.62%</w:t>
            </w:r>
          </w:p>
        </w:tc>
        <w:tc>
          <w:tcPr>
            <w:tcW w:w="1267" w:type="dxa"/>
            <w:vAlign w:val="center"/>
          </w:tcPr>
          <w:p w:rsidR="002E18E7" w:rsidRDefault="001A6E9B">
            <w:pPr>
              <w:jc w:val="center"/>
            </w:pPr>
            <w:r>
              <w:rPr>
                <w:color w:val="000000"/>
                <w:sz w:val="24"/>
              </w:rPr>
              <w:t>0.66%</w:t>
            </w:r>
          </w:p>
        </w:tc>
        <w:tc>
          <w:tcPr>
            <w:tcW w:w="1267" w:type="dxa"/>
            <w:vAlign w:val="center"/>
          </w:tcPr>
          <w:p w:rsidR="002E18E7" w:rsidRDefault="001A6E9B">
            <w:pPr>
              <w:jc w:val="center"/>
            </w:pPr>
            <w:r>
              <w:rPr>
                <w:color w:val="000000"/>
                <w:sz w:val="24"/>
              </w:rPr>
              <w:t>0.14%</w:t>
            </w:r>
          </w:p>
        </w:tc>
        <w:tc>
          <w:tcPr>
            <w:tcW w:w="1267" w:type="dxa"/>
            <w:vAlign w:val="center"/>
          </w:tcPr>
          <w:p w:rsidR="002E18E7" w:rsidRDefault="001A6E9B">
            <w:pPr>
              <w:jc w:val="center"/>
            </w:pPr>
            <w:r>
              <w:rPr>
                <w:color w:val="000000"/>
                <w:sz w:val="24"/>
              </w:rPr>
              <w:t>-2.70%</w:t>
            </w:r>
          </w:p>
        </w:tc>
        <w:tc>
          <w:tcPr>
            <w:tcW w:w="1267" w:type="dxa"/>
            <w:vAlign w:val="center"/>
          </w:tcPr>
          <w:p w:rsidR="002E18E7" w:rsidRDefault="001A6E9B">
            <w:pPr>
              <w:jc w:val="center"/>
            </w:pPr>
            <w:r>
              <w:rPr>
                <w:color w:val="000000"/>
                <w:sz w:val="24"/>
              </w:rPr>
              <w:t>0.48%</w:t>
            </w:r>
          </w:p>
        </w:tc>
      </w:tr>
    </w:tbl>
    <w:p w:rsidR="009238DB" w:rsidRPr="007F52FA" w:rsidRDefault="009238DB" w:rsidP="00761982">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61982">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61982">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61982">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61982">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61982">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61982">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61982">
      <w:pPr>
        <w:pStyle w:val="20"/>
        <w:spacing w:before="29" w:line="288" w:lineRule="auto"/>
        <w:ind w:firstLineChars="0" w:firstLine="0"/>
        <w:rPr>
          <w:rFonts w:ascii="Times New Roman" w:hAnsi="Times New Roman"/>
          <w:color w:val="000000"/>
        </w:rPr>
      </w:pPr>
    </w:p>
    <w:p w:rsidR="009238DB" w:rsidRPr="007F52FA" w:rsidRDefault="009238DB" w:rsidP="00761982">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61982">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61982">
      <w:pPr>
        <w:spacing w:before="29" w:line="288" w:lineRule="auto"/>
        <w:ind w:firstLineChars="200" w:firstLine="480"/>
        <w:rPr>
          <w:color w:val="000000"/>
          <w:sz w:val="24"/>
        </w:rPr>
      </w:pPr>
    </w:p>
    <w:p w:rsidR="00973B57" w:rsidRPr="007F52FA" w:rsidRDefault="00973B57" w:rsidP="00761982">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61982">
      <w:pPr>
        <w:tabs>
          <w:tab w:val="left" w:pos="1800"/>
        </w:tabs>
        <w:spacing w:before="29" w:line="288" w:lineRule="auto"/>
        <w:rPr>
          <w:rFonts w:eastAsiaTheme="minorEastAsia"/>
          <w:color w:val="000000"/>
          <w:sz w:val="24"/>
        </w:rPr>
      </w:pPr>
    </w:p>
    <w:p w:rsidR="009238DB" w:rsidRPr="007F52FA" w:rsidRDefault="009238DB" w:rsidP="00B3342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r>
      <w:tr w:rsidR="002E18E7">
        <w:trPr>
          <w:jc w:val="center"/>
        </w:trPr>
        <w:tc>
          <w:tcPr>
            <w:tcW w:w="946" w:type="dxa"/>
            <w:vAlign w:val="center"/>
          </w:tcPr>
          <w:p w:rsidR="002E18E7" w:rsidRDefault="001A6E9B">
            <w:pPr>
              <w:jc w:val="center"/>
            </w:pPr>
            <w:r>
              <w:rPr>
                <w:color w:val="000000"/>
                <w:sz w:val="24"/>
              </w:rPr>
              <w:t>李家春</w:t>
            </w:r>
          </w:p>
        </w:tc>
        <w:tc>
          <w:tcPr>
            <w:tcW w:w="924" w:type="dxa"/>
            <w:vAlign w:val="center"/>
          </w:tcPr>
          <w:p w:rsidR="002E18E7" w:rsidRDefault="001A6E9B" w:rsidP="00D637E3">
            <w:pPr>
              <w:jc w:val="center"/>
            </w:pPr>
            <w:r>
              <w:rPr>
                <w:color w:val="000000"/>
                <w:sz w:val="24"/>
              </w:rPr>
              <w:t>本基金、交银增利债券、交银定期支付月月丰债券的基金经理，公司固定收益部副总经理</w:t>
            </w:r>
          </w:p>
        </w:tc>
        <w:tc>
          <w:tcPr>
            <w:tcW w:w="1202" w:type="dxa"/>
            <w:vAlign w:val="center"/>
          </w:tcPr>
          <w:p w:rsidR="002E18E7" w:rsidRDefault="001A6E9B">
            <w:pPr>
              <w:jc w:val="center"/>
            </w:pPr>
            <w:r>
              <w:rPr>
                <w:color w:val="000000"/>
                <w:sz w:val="24"/>
              </w:rPr>
              <w:t>2011-09-26</w:t>
            </w:r>
          </w:p>
        </w:tc>
        <w:tc>
          <w:tcPr>
            <w:tcW w:w="1300" w:type="dxa"/>
            <w:vAlign w:val="center"/>
          </w:tcPr>
          <w:p w:rsidR="002E18E7" w:rsidRDefault="001A6E9B">
            <w:pPr>
              <w:jc w:val="center"/>
            </w:pPr>
            <w:r>
              <w:rPr>
                <w:color w:val="000000"/>
                <w:sz w:val="24"/>
              </w:rPr>
              <w:t>-</w:t>
            </w:r>
          </w:p>
        </w:tc>
        <w:tc>
          <w:tcPr>
            <w:tcW w:w="1245" w:type="dxa"/>
            <w:vAlign w:val="center"/>
          </w:tcPr>
          <w:p w:rsidR="002E18E7" w:rsidRDefault="001A6E9B">
            <w:pPr>
              <w:jc w:val="center"/>
            </w:pPr>
            <w:r>
              <w:rPr>
                <w:color w:val="000000"/>
                <w:sz w:val="24"/>
              </w:rPr>
              <w:t>15</w:t>
            </w:r>
            <w:r>
              <w:rPr>
                <w:color w:val="000000"/>
                <w:sz w:val="24"/>
              </w:rPr>
              <w:t>年</w:t>
            </w:r>
          </w:p>
        </w:tc>
        <w:tc>
          <w:tcPr>
            <w:tcW w:w="3251" w:type="dxa"/>
            <w:vAlign w:val="center"/>
          </w:tcPr>
          <w:p w:rsidR="002E18E7" w:rsidRDefault="001A6E9B">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p>
        </w:tc>
      </w:tr>
    </w:tbl>
    <w:p w:rsidR="005C7D00" w:rsidRPr="007F52FA" w:rsidRDefault="005C7D00" w:rsidP="00761982">
      <w:pPr>
        <w:pStyle w:val="20"/>
        <w:spacing w:before="29" w:line="288" w:lineRule="auto"/>
        <w:ind w:firstLineChars="0" w:firstLine="0"/>
        <w:rPr>
          <w:rFonts w:ascii="Times New Roman" w:eastAsiaTheme="minorEastAsia" w:hAnsi="Times New Roman"/>
          <w:color w:val="auto"/>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61982">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61982">
      <w:pPr>
        <w:autoSpaceDE w:val="0"/>
        <w:autoSpaceDN w:val="0"/>
        <w:adjustRightInd w:val="0"/>
        <w:spacing w:before="29" w:line="288" w:lineRule="auto"/>
        <w:jc w:val="left"/>
        <w:rPr>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61982">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E18E7" w:rsidRDefault="001A6E9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E18E7" w:rsidRDefault="001A6E9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E18E7" w:rsidRDefault="001A6E9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61982">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61982">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61982">
      <w:pPr>
        <w:spacing w:before="29" w:line="288" w:lineRule="auto"/>
        <w:ind w:firstLineChars="200" w:firstLine="480"/>
        <w:rPr>
          <w:color w:val="000000"/>
          <w:sz w:val="24"/>
        </w:rPr>
      </w:pPr>
      <w:r w:rsidRPr="007F52FA">
        <w:rPr>
          <w:color w:val="000000"/>
          <w:sz w:val="24"/>
        </w:rPr>
        <w:t>本报告期内，本公司管理的所有投资组合未发生参与的交易所公开竞价同日反向交易成交较少的单边交易量超过该证券当日总成交量</w:t>
      </w:r>
      <w:r w:rsidRPr="007F52FA">
        <w:rPr>
          <w:color w:val="000000"/>
          <w:sz w:val="24"/>
        </w:rPr>
        <w:t>5%</w:t>
      </w:r>
      <w:r w:rsidRPr="007F52FA">
        <w:rPr>
          <w:color w:val="000000"/>
          <w:sz w:val="24"/>
        </w:rPr>
        <w:t>的情形。本基金于本报告期内未出现异常交易行为。</w:t>
      </w:r>
    </w:p>
    <w:p w:rsidR="009238DB" w:rsidRPr="007F52FA" w:rsidRDefault="009238DB" w:rsidP="00761982">
      <w:pPr>
        <w:autoSpaceDE w:val="0"/>
        <w:autoSpaceDN w:val="0"/>
        <w:adjustRightInd w:val="0"/>
        <w:spacing w:before="29" w:line="288" w:lineRule="auto"/>
        <w:jc w:val="left"/>
        <w:rPr>
          <w:color w:val="000000"/>
          <w:kern w:val="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2E18E7" w:rsidRDefault="001A6E9B">
      <w:pPr>
        <w:spacing w:before="29" w:line="288" w:lineRule="auto"/>
        <w:ind w:firstLineChars="200" w:firstLine="480"/>
        <w:rPr>
          <w:color w:val="000000"/>
          <w:sz w:val="24"/>
        </w:rPr>
      </w:pPr>
      <w:r>
        <w:rPr>
          <w:color w:val="000000"/>
          <w:sz w:val="24"/>
        </w:rPr>
        <w:t>2014</w:t>
      </w:r>
      <w:r>
        <w:rPr>
          <w:color w:val="000000"/>
          <w:sz w:val="24"/>
        </w:rPr>
        <w:t>年一季度中国经济总体呈现下行压力，</w:t>
      </w:r>
      <w:r>
        <w:rPr>
          <w:color w:val="000000"/>
          <w:sz w:val="24"/>
        </w:rPr>
        <w:t>1</w:t>
      </w:r>
      <w:r>
        <w:rPr>
          <w:color w:val="000000"/>
          <w:sz w:val="24"/>
        </w:rPr>
        <w:t>、</w:t>
      </w:r>
      <w:r>
        <w:rPr>
          <w:color w:val="000000"/>
          <w:sz w:val="24"/>
        </w:rPr>
        <w:t>2</w:t>
      </w:r>
      <w:r>
        <w:rPr>
          <w:color w:val="000000"/>
          <w:sz w:val="24"/>
        </w:rPr>
        <w:t>月份规模以上工业增加值合并同比实际增长为</w:t>
      </w:r>
      <w:r>
        <w:rPr>
          <w:color w:val="000000"/>
          <w:sz w:val="24"/>
        </w:rPr>
        <w:t>8.6%</w:t>
      </w:r>
      <w:r>
        <w:rPr>
          <w:color w:val="000000"/>
          <w:sz w:val="24"/>
        </w:rPr>
        <w:t>，与</w:t>
      </w:r>
      <w:r>
        <w:rPr>
          <w:color w:val="000000"/>
          <w:sz w:val="24"/>
        </w:rPr>
        <w:t>2013</w:t>
      </w:r>
      <w:r>
        <w:rPr>
          <w:color w:val="000000"/>
          <w:sz w:val="24"/>
        </w:rPr>
        <w:t>年</w:t>
      </w:r>
      <w:r>
        <w:rPr>
          <w:color w:val="000000"/>
          <w:sz w:val="24"/>
        </w:rPr>
        <w:t>12</w:t>
      </w:r>
      <w:r>
        <w:rPr>
          <w:color w:val="000000"/>
          <w:sz w:val="24"/>
        </w:rPr>
        <w:t>月</w:t>
      </w:r>
      <w:r>
        <w:rPr>
          <w:color w:val="000000"/>
          <w:sz w:val="24"/>
        </w:rPr>
        <w:t>9.7%</w:t>
      </w:r>
      <w:r>
        <w:rPr>
          <w:color w:val="000000"/>
          <w:sz w:val="24"/>
        </w:rPr>
        <w:t>的增长数据相比有较大回落。</w:t>
      </w:r>
      <w:r>
        <w:rPr>
          <w:color w:val="000000"/>
          <w:sz w:val="24"/>
        </w:rPr>
        <w:t>1-2</w:t>
      </w:r>
      <w:r>
        <w:rPr>
          <w:color w:val="000000"/>
          <w:sz w:val="24"/>
        </w:rPr>
        <w:t>月份全国固定资产投资同比名义增长</w:t>
      </w:r>
      <w:r>
        <w:rPr>
          <w:color w:val="000000"/>
          <w:sz w:val="24"/>
        </w:rPr>
        <w:t>17.9%</w:t>
      </w:r>
      <w:r>
        <w:rPr>
          <w:color w:val="000000"/>
          <w:sz w:val="24"/>
        </w:rPr>
        <w:t>，自去年</w:t>
      </w:r>
      <w:r>
        <w:rPr>
          <w:color w:val="000000"/>
          <w:sz w:val="24"/>
        </w:rPr>
        <w:t>9</w:t>
      </w:r>
      <w:r>
        <w:rPr>
          <w:color w:val="000000"/>
          <w:sz w:val="24"/>
        </w:rPr>
        <w:t>月起亦呈现逐月下降的趋势。受去年对外贸易的基数影响，</w:t>
      </w:r>
      <w:r>
        <w:rPr>
          <w:color w:val="000000"/>
          <w:sz w:val="24"/>
        </w:rPr>
        <w:t>1</w:t>
      </w:r>
      <w:r>
        <w:rPr>
          <w:color w:val="000000"/>
          <w:sz w:val="24"/>
        </w:rPr>
        <w:t>、</w:t>
      </w:r>
      <w:r>
        <w:rPr>
          <w:color w:val="000000"/>
          <w:sz w:val="24"/>
        </w:rPr>
        <w:t>2</w:t>
      </w:r>
      <w:r>
        <w:rPr>
          <w:color w:val="000000"/>
          <w:sz w:val="24"/>
        </w:rPr>
        <w:t>月出口数据波动较大，合并来看出口较去年四季度有所下降，但进口稳步上升。一季度</w:t>
      </w:r>
      <w:r>
        <w:rPr>
          <w:color w:val="000000"/>
          <w:sz w:val="24"/>
        </w:rPr>
        <w:t>PMI</w:t>
      </w:r>
      <w:r>
        <w:rPr>
          <w:color w:val="000000"/>
          <w:sz w:val="24"/>
        </w:rPr>
        <w:t>指数较去年年底有明显回落且弱于季节性规律，</w:t>
      </w:r>
      <w:r>
        <w:rPr>
          <w:color w:val="000000"/>
          <w:sz w:val="24"/>
        </w:rPr>
        <w:t>1-3</w:t>
      </w:r>
      <w:r>
        <w:rPr>
          <w:color w:val="000000"/>
          <w:sz w:val="24"/>
        </w:rPr>
        <w:t>月</w:t>
      </w:r>
      <w:r>
        <w:rPr>
          <w:color w:val="000000"/>
          <w:sz w:val="24"/>
        </w:rPr>
        <w:t>PMI</w:t>
      </w:r>
      <w:r>
        <w:rPr>
          <w:color w:val="000000"/>
          <w:sz w:val="24"/>
        </w:rPr>
        <w:t>分别为</w:t>
      </w:r>
      <w:r>
        <w:rPr>
          <w:color w:val="000000"/>
          <w:sz w:val="24"/>
        </w:rPr>
        <w:t>50.5</w:t>
      </w:r>
      <w:r>
        <w:rPr>
          <w:color w:val="000000"/>
          <w:sz w:val="24"/>
        </w:rPr>
        <w:t>、</w:t>
      </w:r>
      <w:r>
        <w:rPr>
          <w:color w:val="000000"/>
          <w:sz w:val="24"/>
        </w:rPr>
        <w:t>50.2</w:t>
      </w:r>
      <w:r>
        <w:rPr>
          <w:color w:val="000000"/>
          <w:sz w:val="24"/>
        </w:rPr>
        <w:t>、</w:t>
      </w:r>
      <w:r>
        <w:rPr>
          <w:color w:val="000000"/>
          <w:sz w:val="24"/>
        </w:rPr>
        <w:t>50.3</w:t>
      </w:r>
      <w:r>
        <w:rPr>
          <w:color w:val="000000"/>
          <w:sz w:val="24"/>
        </w:rPr>
        <w:t>。</w:t>
      </w:r>
    </w:p>
    <w:p w:rsidR="002E18E7" w:rsidRDefault="001A6E9B">
      <w:pPr>
        <w:spacing w:before="29" w:line="288" w:lineRule="auto"/>
        <w:ind w:firstLineChars="200" w:firstLine="480"/>
        <w:rPr>
          <w:color w:val="000000"/>
          <w:sz w:val="24"/>
        </w:rPr>
      </w:pPr>
      <w:r>
        <w:rPr>
          <w:color w:val="000000"/>
          <w:sz w:val="24"/>
        </w:rPr>
        <w:t>伴随经济的下行一季度物价水平环比同步回落，</w:t>
      </w:r>
      <w:r>
        <w:rPr>
          <w:color w:val="000000"/>
          <w:sz w:val="24"/>
        </w:rPr>
        <w:t>2</w:t>
      </w:r>
      <w:r>
        <w:rPr>
          <w:color w:val="000000"/>
          <w:sz w:val="24"/>
        </w:rPr>
        <w:t>月</w:t>
      </w:r>
      <w:r>
        <w:rPr>
          <w:color w:val="000000"/>
          <w:sz w:val="24"/>
        </w:rPr>
        <w:t>CPI</w:t>
      </w:r>
      <w:r>
        <w:rPr>
          <w:color w:val="000000"/>
          <w:sz w:val="24"/>
        </w:rPr>
        <w:t>为</w:t>
      </w:r>
      <w:r>
        <w:rPr>
          <w:color w:val="000000"/>
          <w:sz w:val="24"/>
        </w:rPr>
        <w:t>2.0%</w:t>
      </w:r>
      <w:r>
        <w:rPr>
          <w:color w:val="000000"/>
          <w:sz w:val="24"/>
        </w:rPr>
        <w:t>，</w:t>
      </w:r>
      <w:r>
        <w:rPr>
          <w:color w:val="000000"/>
          <w:sz w:val="24"/>
        </w:rPr>
        <w:t>PPI</w:t>
      </w:r>
      <w:r>
        <w:rPr>
          <w:color w:val="000000"/>
          <w:sz w:val="24"/>
        </w:rPr>
        <w:t>则在负值区间继续下滑，</w:t>
      </w:r>
      <w:r>
        <w:rPr>
          <w:color w:val="000000"/>
          <w:sz w:val="24"/>
        </w:rPr>
        <w:t>11</w:t>
      </w:r>
      <w:r>
        <w:rPr>
          <w:color w:val="000000"/>
          <w:sz w:val="24"/>
        </w:rPr>
        <w:t>月</w:t>
      </w:r>
      <w:r>
        <w:rPr>
          <w:color w:val="000000"/>
          <w:sz w:val="24"/>
        </w:rPr>
        <w:t>PPI</w:t>
      </w:r>
      <w:r>
        <w:rPr>
          <w:color w:val="000000"/>
          <w:sz w:val="24"/>
        </w:rPr>
        <w:t>为</w:t>
      </w:r>
      <w:r>
        <w:rPr>
          <w:color w:val="000000"/>
          <w:sz w:val="24"/>
        </w:rPr>
        <w:t>-2.0%</w:t>
      </w:r>
      <w:r>
        <w:rPr>
          <w:color w:val="000000"/>
          <w:sz w:val="24"/>
        </w:rPr>
        <w:t>。货币政策在一季度保持稳健，但货币市场趋于宽松，货币市场收益率维持在较低水平。</w:t>
      </w:r>
      <w:r>
        <w:rPr>
          <w:color w:val="000000"/>
          <w:sz w:val="24"/>
        </w:rPr>
        <w:t>2</w:t>
      </w:r>
      <w:r>
        <w:rPr>
          <w:color w:val="000000"/>
          <w:sz w:val="24"/>
        </w:rPr>
        <w:t>月末，广义货币</w:t>
      </w:r>
      <w:r>
        <w:rPr>
          <w:color w:val="000000"/>
          <w:sz w:val="24"/>
        </w:rPr>
        <w:t>(M2)</w:t>
      </w:r>
      <w:r>
        <w:rPr>
          <w:color w:val="000000"/>
          <w:sz w:val="24"/>
        </w:rPr>
        <w:t>余额</w:t>
      </w:r>
      <w:r>
        <w:rPr>
          <w:color w:val="000000"/>
          <w:sz w:val="24"/>
        </w:rPr>
        <w:t>113.18</w:t>
      </w:r>
      <w:r>
        <w:rPr>
          <w:color w:val="000000"/>
          <w:sz w:val="24"/>
        </w:rPr>
        <w:t>万亿元，同比增长</w:t>
      </w:r>
      <w:r>
        <w:rPr>
          <w:color w:val="000000"/>
          <w:sz w:val="24"/>
        </w:rPr>
        <w:t>13.3%</w:t>
      </w:r>
      <w:r>
        <w:rPr>
          <w:color w:val="000000"/>
          <w:sz w:val="24"/>
        </w:rPr>
        <w:t>，比上月末高</w:t>
      </w:r>
      <w:r>
        <w:rPr>
          <w:color w:val="000000"/>
          <w:sz w:val="24"/>
        </w:rPr>
        <w:t>0.1</w:t>
      </w:r>
      <w:r>
        <w:rPr>
          <w:color w:val="000000"/>
          <w:sz w:val="24"/>
        </w:rPr>
        <w:t>个百分点，比去年同期低</w:t>
      </w:r>
      <w:r>
        <w:rPr>
          <w:color w:val="000000"/>
          <w:sz w:val="24"/>
        </w:rPr>
        <w:t>1.9</w:t>
      </w:r>
      <w:r>
        <w:rPr>
          <w:color w:val="000000"/>
          <w:sz w:val="24"/>
        </w:rPr>
        <w:t>个百分点，处于历史较低水平。</w:t>
      </w:r>
    </w:p>
    <w:p w:rsidR="002E18E7" w:rsidRDefault="001A6E9B">
      <w:pPr>
        <w:spacing w:before="29" w:line="288" w:lineRule="auto"/>
        <w:ind w:firstLineChars="200" w:firstLine="480"/>
        <w:rPr>
          <w:color w:val="000000"/>
          <w:sz w:val="24"/>
        </w:rPr>
      </w:pPr>
      <w:r>
        <w:rPr>
          <w:color w:val="000000"/>
          <w:sz w:val="24"/>
        </w:rPr>
        <w:t>1</w:t>
      </w:r>
      <w:r>
        <w:rPr>
          <w:color w:val="000000"/>
          <w:sz w:val="24"/>
        </w:rPr>
        <w:t>、</w:t>
      </w:r>
      <w:r>
        <w:rPr>
          <w:color w:val="000000"/>
          <w:sz w:val="24"/>
        </w:rPr>
        <w:t>2</w:t>
      </w:r>
      <w:r>
        <w:rPr>
          <w:color w:val="000000"/>
          <w:sz w:val="24"/>
        </w:rPr>
        <w:t>月份较宽松的流动性和悲观的经济数据推动了债券市场的一波小行情，但进入</w:t>
      </w:r>
      <w:r>
        <w:rPr>
          <w:color w:val="000000"/>
          <w:sz w:val="24"/>
        </w:rPr>
        <w:t>3</w:t>
      </w:r>
      <w:r>
        <w:rPr>
          <w:color w:val="000000"/>
          <w:sz w:val="24"/>
        </w:rPr>
        <w:t>月末因季末谨慎的流动性预期和维稳政策的零星出台债券市场活跃度下降，整体收益率走稳，其中利率品种收益率拐头向上，</w:t>
      </w:r>
      <w:r>
        <w:rPr>
          <w:color w:val="000000"/>
          <w:sz w:val="24"/>
        </w:rPr>
        <w:t>1</w:t>
      </w:r>
      <w:r>
        <w:rPr>
          <w:color w:val="000000"/>
          <w:sz w:val="24"/>
        </w:rPr>
        <w:t>、</w:t>
      </w:r>
      <w:r>
        <w:rPr>
          <w:color w:val="000000"/>
          <w:sz w:val="24"/>
        </w:rPr>
        <w:t>2</w:t>
      </w:r>
      <w:r>
        <w:rPr>
          <w:color w:val="000000"/>
          <w:sz w:val="24"/>
        </w:rPr>
        <w:t>、</w:t>
      </w:r>
      <w:r>
        <w:rPr>
          <w:color w:val="000000"/>
          <w:sz w:val="24"/>
        </w:rPr>
        <w:t>3</w:t>
      </w:r>
      <w:r>
        <w:rPr>
          <w:color w:val="000000"/>
          <w:sz w:val="24"/>
        </w:rPr>
        <w:t>月中债全价总指数分别为</w:t>
      </w:r>
      <w:r>
        <w:rPr>
          <w:color w:val="000000"/>
          <w:sz w:val="24"/>
        </w:rPr>
        <w:t>0.9%</w:t>
      </w:r>
      <w:r>
        <w:rPr>
          <w:color w:val="000000"/>
          <w:sz w:val="24"/>
        </w:rPr>
        <w:t>，</w:t>
      </w:r>
      <w:r>
        <w:rPr>
          <w:color w:val="000000"/>
          <w:sz w:val="24"/>
        </w:rPr>
        <w:t>1.12%</w:t>
      </w:r>
      <w:r>
        <w:rPr>
          <w:color w:val="000000"/>
          <w:sz w:val="24"/>
        </w:rPr>
        <w:t>和</w:t>
      </w:r>
      <w:r>
        <w:rPr>
          <w:color w:val="000000"/>
          <w:sz w:val="24"/>
        </w:rPr>
        <w:t>-0.42%</w:t>
      </w:r>
      <w:r>
        <w:rPr>
          <w:color w:val="000000"/>
          <w:sz w:val="24"/>
        </w:rPr>
        <w:t>，整个一季度中债企业债全价指数上涨了</w:t>
      </w:r>
      <w:r>
        <w:rPr>
          <w:color w:val="000000"/>
          <w:sz w:val="24"/>
        </w:rPr>
        <w:t>1.26%</w:t>
      </w:r>
      <w:r>
        <w:rPr>
          <w:color w:val="000000"/>
          <w:sz w:val="24"/>
        </w:rPr>
        <w:t>，中证转债指数下跌了</w:t>
      </w:r>
      <w:r>
        <w:rPr>
          <w:color w:val="000000"/>
          <w:sz w:val="24"/>
        </w:rPr>
        <w:t>1.18%</w:t>
      </w:r>
      <w:r>
        <w:rPr>
          <w:color w:val="000000"/>
          <w:sz w:val="24"/>
        </w:rPr>
        <w:t>。一季度股票市场延续前期自下而上的成长股选股逻辑以及主题投资风格，但是后半期风格溢价有显著回落。</w:t>
      </w:r>
    </w:p>
    <w:p w:rsidR="00952A72" w:rsidRPr="007F52FA" w:rsidRDefault="00323F25" w:rsidP="00761982">
      <w:pPr>
        <w:spacing w:before="29" w:line="288" w:lineRule="auto"/>
        <w:ind w:firstLineChars="200" w:firstLine="480"/>
        <w:rPr>
          <w:color w:val="000000"/>
          <w:sz w:val="24"/>
        </w:rPr>
      </w:pPr>
      <w:r w:rsidRPr="007F52FA">
        <w:rPr>
          <w:color w:val="000000"/>
          <w:sz w:val="24"/>
        </w:rPr>
        <w:t>预计短期内宏观经济仍有回落的压力，但考虑到陆续出台的托底政策，经济下行的空间较为有限，尽管通胀维持在较低区间，但因基数等原因二季度的整体水平将高于一季度，债券市场将区间震荡。二季度股票市场在稳增长的背景下传统行业估值将有所修复，代表未来发展方向的新兴产业估值溢价回落后或仍将具备一定投资价值。</w:t>
      </w:r>
    </w:p>
    <w:p w:rsidR="00EC41BC" w:rsidRPr="007F52FA" w:rsidRDefault="00EC41BC" w:rsidP="00761982">
      <w:pPr>
        <w:spacing w:before="29" w:line="288" w:lineRule="auto"/>
        <w:ind w:firstLineChars="200" w:firstLine="480"/>
        <w:rPr>
          <w:color w:val="00000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61982">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1.020</w:t>
      </w:r>
      <w:r w:rsidRPr="007F52FA">
        <w:rPr>
          <w:color w:val="000000"/>
          <w:sz w:val="24"/>
        </w:rPr>
        <w:t>元，本报告期份额净值增长率为</w:t>
      </w:r>
      <w:r w:rsidRPr="007F52FA">
        <w:rPr>
          <w:color w:val="000000"/>
          <w:sz w:val="24"/>
        </w:rPr>
        <w:t>-1.92%</w:t>
      </w:r>
      <w:r w:rsidRPr="007F52FA">
        <w:rPr>
          <w:color w:val="000000"/>
          <w:sz w:val="24"/>
        </w:rPr>
        <w:t>，同期业绩比较基准增长率为</w:t>
      </w:r>
      <w:r w:rsidRPr="007F52FA">
        <w:rPr>
          <w:color w:val="000000"/>
          <w:sz w:val="24"/>
        </w:rPr>
        <w:t>0.66%</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1.010</w:t>
      </w:r>
      <w:r w:rsidRPr="007F52FA">
        <w:rPr>
          <w:color w:val="000000"/>
          <w:sz w:val="24"/>
        </w:rPr>
        <w:t>元，本报告期份额净值增长率为</w:t>
      </w:r>
      <w:r w:rsidRPr="007F52FA">
        <w:rPr>
          <w:color w:val="000000"/>
          <w:sz w:val="24"/>
        </w:rPr>
        <w:t>-2.04%</w:t>
      </w:r>
      <w:r w:rsidRPr="007F52FA">
        <w:rPr>
          <w:color w:val="000000"/>
          <w:sz w:val="24"/>
        </w:rPr>
        <w:t>，同期业绩比较基准增长率为</w:t>
      </w:r>
      <w:r w:rsidRPr="007F52FA">
        <w:rPr>
          <w:color w:val="000000"/>
          <w:sz w:val="24"/>
        </w:rPr>
        <w:t>0.66%</w:t>
      </w:r>
      <w:r w:rsidRPr="007F52FA">
        <w:rPr>
          <w:color w:val="000000"/>
          <w:sz w:val="24"/>
        </w:rPr>
        <w:t>。</w:t>
      </w:r>
    </w:p>
    <w:p w:rsidR="00400FA6" w:rsidRPr="007F52FA" w:rsidRDefault="00400FA6" w:rsidP="00761982">
      <w:pPr>
        <w:spacing w:before="29" w:line="288" w:lineRule="auto"/>
        <w:ind w:firstLineChars="200" w:firstLine="480"/>
        <w:rPr>
          <w:color w:val="000000"/>
          <w:sz w:val="24"/>
        </w:rPr>
      </w:pPr>
    </w:p>
    <w:p w:rsidR="009238DB" w:rsidRPr="007F52FA" w:rsidRDefault="00FF5FC7" w:rsidP="00B3342E">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52,905,800.00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8.44</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52,905,800.00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8.44</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481,334,944.04</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76.83</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481,334,944.04</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76.83</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8B55DD">
            <w:pPr>
              <w:autoSpaceDE w:val="0"/>
              <w:autoSpaceDN w:val="0"/>
              <w:adjustRightInd w:val="0"/>
              <w:spacing w:before="29" w:line="288" w:lineRule="auto"/>
              <w:ind w:leftChars="8" w:left="17" w:firstLineChars="300" w:firstLine="720"/>
              <w:jc w:val="left"/>
              <w:rPr>
                <w:color w:val="000000"/>
                <w:sz w:val="24"/>
              </w:rPr>
            </w:pPr>
            <w:r w:rsidRPr="007F52FA">
              <w:rPr>
                <w:color w:val="000000"/>
                <w:sz w:val="24"/>
              </w:rPr>
              <w:t>资产支持证券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61982">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61982">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63,053,423.00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10.06</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61982">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29,181,012.59</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4.66</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61982">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626,475,179.63</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100.00</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61982">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1A6E9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1A6E9B">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43,053,500.00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14.92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4,886,800.00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1.69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1,662,500.00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0.58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3,303,000.00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1.14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52,905,800.00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18.34</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61982">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E18E7">
        <w:trPr>
          <w:jc w:val="center"/>
        </w:trPr>
        <w:tc>
          <w:tcPr>
            <w:tcW w:w="850" w:type="dxa"/>
            <w:vAlign w:val="center"/>
          </w:tcPr>
          <w:p w:rsidR="002E18E7" w:rsidRDefault="001A6E9B">
            <w:pPr>
              <w:jc w:val="center"/>
            </w:pPr>
            <w:r>
              <w:rPr>
                <w:color w:val="000000"/>
                <w:sz w:val="24"/>
              </w:rPr>
              <w:t>1</w:t>
            </w:r>
          </w:p>
        </w:tc>
        <w:tc>
          <w:tcPr>
            <w:tcW w:w="1327" w:type="dxa"/>
            <w:vAlign w:val="center"/>
          </w:tcPr>
          <w:p w:rsidR="002E18E7" w:rsidRDefault="001A6E9B">
            <w:pPr>
              <w:jc w:val="center"/>
            </w:pPr>
            <w:r>
              <w:rPr>
                <w:color w:val="000000"/>
                <w:sz w:val="24"/>
              </w:rPr>
              <w:t>002690</w:t>
            </w:r>
          </w:p>
        </w:tc>
        <w:tc>
          <w:tcPr>
            <w:tcW w:w="1769" w:type="dxa"/>
            <w:vAlign w:val="center"/>
          </w:tcPr>
          <w:p w:rsidR="002E18E7" w:rsidRDefault="001A6E9B">
            <w:pPr>
              <w:jc w:val="center"/>
            </w:pPr>
            <w:r>
              <w:rPr>
                <w:color w:val="000000"/>
                <w:sz w:val="24"/>
              </w:rPr>
              <w:t>美亚光电</w:t>
            </w:r>
          </w:p>
        </w:tc>
        <w:tc>
          <w:tcPr>
            <w:tcW w:w="1327" w:type="dxa"/>
            <w:vAlign w:val="center"/>
          </w:tcPr>
          <w:p w:rsidR="002E18E7" w:rsidRDefault="001A6E9B">
            <w:pPr>
              <w:jc w:val="right"/>
            </w:pPr>
            <w:r>
              <w:rPr>
                <w:color w:val="000000"/>
                <w:sz w:val="24"/>
              </w:rPr>
              <w:t>200,000</w:t>
            </w:r>
          </w:p>
        </w:tc>
        <w:tc>
          <w:tcPr>
            <w:tcW w:w="1915" w:type="dxa"/>
            <w:vAlign w:val="center"/>
          </w:tcPr>
          <w:p w:rsidR="002E18E7" w:rsidRDefault="001A6E9B">
            <w:pPr>
              <w:jc w:val="right"/>
            </w:pPr>
            <w:r>
              <w:rPr>
                <w:color w:val="000000"/>
                <w:sz w:val="24"/>
              </w:rPr>
              <w:t>8,080,000.00</w:t>
            </w:r>
          </w:p>
        </w:tc>
        <w:tc>
          <w:tcPr>
            <w:tcW w:w="1680" w:type="dxa"/>
            <w:vAlign w:val="center"/>
          </w:tcPr>
          <w:p w:rsidR="002E18E7" w:rsidRDefault="001A6E9B">
            <w:pPr>
              <w:jc w:val="right"/>
            </w:pPr>
            <w:r>
              <w:rPr>
                <w:color w:val="000000"/>
                <w:sz w:val="24"/>
              </w:rPr>
              <w:t>2.80</w:t>
            </w:r>
          </w:p>
        </w:tc>
      </w:tr>
      <w:tr w:rsidR="002E18E7">
        <w:trPr>
          <w:jc w:val="center"/>
        </w:trPr>
        <w:tc>
          <w:tcPr>
            <w:tcW w:w="850" w:type="dxa"/>
            <w:vAlign w:val="center"/>
          </w:tcPr>
          <w:p w:rsidR="002E18E7" w:rsidRDefault="001A6E9B">
            <w:pPr>
              <w:jc w:val="center"/>
            </w:pPr>
            <w:r>
              <w:rPr>
                <w:color w:val="000000"/>
                <w:sz w:val="24"/>
              </w:rPr>
              <w:t>2</w:t>
            </w:r>
          </w:p>
        </w:tc>
        <w:tc>
          <w:tcPr>
            <w:tcW w:w="1327" w:type="dxa"/>
            <w:vAlign w:val="center"/>
          </w:tcPr>
          <w:p w:rsidR="002E18E7" w:rsidRDefault="001A6E9B">
            <w:pPr>
              <w:jc w:val="center"/>
            </w:pPr>
            <w:r>
              <w:rPr>
                <w:color w:val="000000"/>
                <w:sz w:val="24"/>
              </w:rPr>
              <w:t>600703</w:t>
            </w:r>
          </w:p>
        </w:tc>
        <w:tc>
          <w:tcPr>
            <w:tcW w:w="1769" w:type="dxa"/>
            <w:vAlign w:val="center"/>
          </w:tcPr>
          <w:p w:rsidR="002E18E7" w:rsidRDefault="001A6E9B">
            <w:pPr>
              <w:jc w:val="center"/>
            </w:pPr>
            <w:r>
              <w:rPr>
                <w:color w:val="000000"/>
                <w:sz w:val="24"/>
              </w:rPr>
              <w:t>三安光电</w:t>
            </w:r>
          </w:p>
        </w:tc>
        <w:tc>
          <w:tcPr>
            <w:tcW w:w="1327" w:type="dxa"/>
            <w:vAlign w:val="center"/>
          </w:tcPr>
          <w:p w:rsidR="002E18E7" w:rsidRDefault="001A6E9B">
            <w:pPr>
              <w:jc w:val="right"/>
            </w:pPr>
            <w:r>
              <w:rPr>
                <w:color w:val="000000"/>
                <w:sz w:val="24"/>
              </w:rPr>
              <w:t>320,000</w:t>
            </w:r>
          </w:p>
        </w:tc>
        <w:tc>
          <w:tcPr>
            <w:tcW w:w="1915" w:type="dxa"/>
            <w:vAlign w:val="center"/>
          </w:tcPr>
          <w:p w:rsidR="002E18E7" w:rsidRDefault="001A6E9B">
            <w:pPr>
              <w:jc w:val="right"/>
            </w:pPr>
            <w:r>
              <w:rPr>
                <w:color w:val="000000"/>
                <w:sz w:val="24"/>
              </w:rPr>
              <w:t>7,280,000.00</w:t>
            </w:r>
          </w:p>
        </w:tc>
        <w:tc>
          <w:tcPr>
            <w:tcW w:w="1680" w:type="dxa"/>
            <w:vAlign w:val="center"/>
          </w:tcPr>
          <w:p w:rsidR="002E18E7" w:rsidRDefault="001A6E9B">
            <w:pPr>
              <w:jc w:val="right"/>
            </w:pPr>
            <w:r>
              <w:rPr>
                <w:color w:val="000000"/>
                <w:sz w:val="24"/>
              </w:rPr>
              <w:t>2.52</w:t>
            </w:r>
          </w:p>
        </w:tc>
      </w:tr>
      <w:tr w:rsidR="002E18E7">
        <w:trPr>
          <w:jc w:val="center"/>
        </w:trPr>
        <w:tc>
          <w:tcPr>
            <w:tcW w:w="850" w:type="dxa"/>
            <w:vAlign w:val="center"/>
          </w:tcPr>
          <w:p w:rsidR="002E18E7" w:rsidRDefault="001A6E9B">
            <w:pPr>
              <w:jc w:val="center"/>
            </w:pPr>
            <w:r>
              <w:rPr>
                <w:color w:val="000000"/>
                <w:sz w:val="24"/>
              </w:rPr>
              <w:t>3</w:t>
            </w:r>
          </w:p>
        </w:tc>
        <w:tc>
          <w:tcPr>
            <w:tcW w:w="1327" w:type="dxa"/>
            <w:vAlign w:val="center"/>
          </w:tcPr>
          <w:p w:rsidR="002E18E7" w:rsidRDefault="001A6E9B">
            <w:pPr>
              <w:jc w:val="center"/>
            </w:pPr>
            <w:r>
              <w:rPr>
                <w:color w:val="000000"/>
                <w:sz w:val="24"/>
              </w:rPr>
              <w:t>002008</w:t>
            </w:r>
          </w:p>
        </w:tc>
        <w:tc>
          <w:tcPr>
            <w:tcW w:w="1769" w:type="dxa"/>
            <w:vAlign w:val="center"/>
          </w:tcPr>
          <w:p w:rsidR="002E18E7" w:rsidRDefault="001A6E9B">
            <w:pPr>
              <w:jc w:val="center"/>
            </w:pPr>
            <w:r>
              <w:rPr>
                <w:color w:val="000000"/>
                <w:sz w:val="24"/>
              </w:rPr>
              <w:t>大族激光</w:t>
            </w:r>
          </w:p>
        </w:tc>
        <w:tc>
          <w:tcPr>
            <w:tcW w:w="1327" w:type="dxa"/>
            <w:vAlign w:val="center"/>
          </w:tcPr>
          <w:p w:rsidR="002E18E7" w:rsidRDefault="001A6E9B">
            <w:pPr>
              <w:jc w:val="right"/>
            </w:pPr>
            <w:r>
              <w:rPr>
                <w:color w:val="000000"/>
                <w:sz w:val="24"/>
              </w:rPr>
              <w:t>470,000</w:t>
            </w:r>
          </w:p>
        </w:tc>
        <w:tc>
          <w:tcPr>
            <w:tcW w:w="1915" w:type="dxa"/>
            <w:vAlign w:val="center"/>
          </w:tcPr>
          <w:p w:rsidR="002E18E7" w:rsidRDefault="001A6E9B">
            <w:pPr>
              <w:jc w:val="right"/>
            </w:pPr>
            <w:r>
              <w:rPr>
                <w:color w:val="000000"/>
                <w:sz w:val="24"/>
              </w:rPr>
              <w:t>6,222,800.00</w:t>
            </w:r>
          </w:p>
        </w:tc>
        <w:tc>
          <w:tcPr>
            <w:tcW w:w="1680" w:type="dxa"/>
            <w:vAlign w:val="center"/>
          </w:tcPr>
          <w:p w:rsidR="002E18E7" w:rsidRDefault="001A6E9B">
            <w:pPr>
              <w:jc w:val="right"/>
            </w:pPr>
            <w:r>
              <w:rPr>
                <w:color w:val="000000"/>
                <w:sz w:val="24"/>
              </w:rPr>
              <w:t>2.16</w:t>
            </w:r>
          </w:p>
        </w:tc>
      </w:tr>
      <w:tr w:rsidR="002E18E7">
        <w:trPr>
          <w:jc w:val="center"/>
        </w:trPr>
        <w:tc>
          <w:tcPr>
            <w:tcW w:w="850" w:type="dxa"/>
            <w:vAlign w:val="center"/>
          </w:tcPr>
          <w:p w:rsidR="002E18E7" w:rsidRDefault="001A6E9B">
            <w:pPr>
              <w:jc w:val="center"/>
            </w:pPr>
            <w:r>
              <w:rPr>
                <w:color w:val="000000"/>
                <w:sz w:val="24"/>
              </w:rPr>
              <w:t>4</w:t>
            </w:r>
          </w:p>
        </w:tc>
        <w:tc>
          <w:tcPr>
            <w:tcW w:w="1327" w:type="dxa"/>
            <w:vAlign w:val="center"/>
          </w:tcPr>
          <w:p w:rsidR="002E18E7" w:rsidRDefault="001A6E9B">
            <w:pPr>
              <w:jc w:val="center"/>
            </w:pPr>
            <w:r>
              <w:rPr>
                <w:color w:val="000000"/>
                <w:sz w:val="24"/>
              </w:rPr>
              <w:t>300137</w:t>
            </w:r>
          </w:p>
        </w:tc>
        <w:tc>
          <w:tcPr>
            <w:tcW w:w="1769" w:type="dxa"/>
            <w:vAlign w:val="center"/>
          </w:tcPr>
          <w:p w:rsidR="002E18E7" w:rsidRDefault="001A6E9B">
            <w:pPr>
              <w:jc w:val="center"/>
            </w:pPr>
            <w:r>
              <w:rPr>
                <w:color w:val="000000"/>
                <w:sz w:val="24"/>
              </w:rPr>
              <w:t>先河环保</w:t>
            </w:r>
          </w:p>
        </w:tc>
        <w:tc>
          <w:tcPr>
            <w:tcW w:w="1327" w:type="dxa"/>
            <w:vAlign w:val="center"/>
          </w:tcPr>
          <w:p w:rsidR="002E18E7" w:rsidRDefault="001A6E9B">
            <w:pPr>
              <w:jc w:val="right"/>
            </w:pPr>
            <w:r>
              <w:rPr>
                <w:color w:val="000000"/>
                <w:sz w:val="24"/>
              </w:rPr>
              <w:t>270,000</w:t>
            </w:r>
          </w:p>
        </w:tc>
        <w:tc>
          <w:tcPr>
            <w:tcW w:w="1915" w:type="dxa"/>
            <w:vAlign w:val="center"/>
          </w:tcPr>
          <w:p w:rsidR="002E18E7" w:rsidRDefault="001A6E9B">
            <w:pPr>
              <w:jc w:val="right"/>
            </w:pPr>
            <w:r>
              <w:rPr>
                <w:color w:val="000000"/>
                <w:sz w:val="24"/>
              </w:rPr>
              <w:t>5,664,600.00</w:t>
            </w:r>
          </w:p>
        </w:tc>
        <w:tc>
          <w:tcPr>
            <w:tcW w:w="1680" w:type="dxa"/>
            <w:vAlign w:val="center"/>
          </w:tcPr>
          <w:p w:rsidR="002E18E7" w:rsidRDefault="001A6E9B">
            <w:pPr>
              <w:jc w:val="right"/>
            </w:pPr>
            <w:r>
              <w:rPr>
                <w:color w:val="000000"/>
                <w:sz w:val="24"/>
              </w:rPr>
              <w:t>1.96</w:t>
            </w:r>
          </w:p>
        </w:tc>
      </w:tr>
      <w:tr w:rsidR="002E18E7">
        <w:trPr>
          <w:jc w:val="center"/>
        </w:trPr>
        <w:tc>
          <w:tcPr>
            <w:tcW w:w="850" w:type="dxa"/>
            <w:vAlign w:val="center"/>
          </w:tcPr>
          <w:p w:rsidR="002E18E7" w:rsidRDefault="001A6E9B">
            <w:pPr>
              <w:jc w:val="center"/>
            </w:pPr>
            <w:r>
              <w:rPr>
                <w:color w:val="000000"/>
                <w:sz w:val="24"/>
              </w:rPr>
              <w:t>5</w:t>
            </w:r>
          </w:p>
        </w:tc>
        <w:tc>
          <w:tcPr>
            <w:tcW w:w="1327" w:type="dxa"/>
            <w:vAlign w:val="center"/>
          </w:tcPr>
          <w:p w:rsidR="002E18E7" w:rsidRDefault="001A6E9B">
            <w:pPr>
              <w:jc w:val="center"/>
            </w:pPr>
            <w:r>
              <w:rPr>
                <w:color w:val="000000"/>
                <w:sz w:val="24"/>
              </w:rPr>
              <w:t>600153</w:t>
            </w:r>
          </w:p>
        </w:tc>
        <w:tc>
          <w:tcPr>
            <w:tcW w:w="1769" w:type="dxa"/>
            <w:vAlign w:val="center"/>
          </w:tcPr>
          <w:p w:rsidR="002E18E7" w:rsidRDefault="001A6E9B">
            <w:pPr>
              <w:jc w:val="center"/>
            </w:pPr>
            <w:r>
              <w:rPr>
                <w:color w:val="000000"/>
                <w:sz w:val="24"/>
              </w:rPr>
              <w:t>建发股份</w:t>
            </w:r>
          </w:p>
        </w:tc>
        <w:tc>
          <w:tcPr>
            <w:tcW w:w="1327" w:type="dxa"/>
            <w:vAlign w:val="center"/>
          </w:tcPr>
          <w:p w:rsidR="002E18E7" w:rsidRDefault="001A6E9B">
            <w:pPr>
              <w:jc w:val="right"/>
            </w:pPr>
            <w:r>
              <w:rPr>
                <w:color w:val="000000"/>
                <w:sz w:val="24"/>
              </w:rPr>
              <w:t>760,000</w:t>
            </w:r>
          </w:p>
        </w:tc>
        <w:tc>
          <w:tcPr>
            <w:tcW w:w="1915" w:type="dxa"/>
            <w:vAlign w:val="center"/>
          </w:tcPr>
          <w:p w:rsidR="002E18E7" w:rsidRDefault="001A6E9B">
            <w:pPr>
              <w:jc w:val="right"/>
            </w:pPr>
            <w:r>
              <w:rPr>
                <w:color w:val="000000"/>
                <w:sz w:val="24"/>
              </w:rPr>
              <w:t>4,886,800.00</w:t>
            </w:r>
          </w:p>
        </w:tc>
        <w:tc>
          <w:tcPr>
            <w:tcW w:w="1680" w:type="dxa"/>
            <w:vAlign w:val="center"/>
          </w:tcPr>
          <w:p w:rsidR="002E18E7" w:rsidRDefault="001A6E9B">
            <w:pPr>
              <w:jc w:val="right"/>
            </w:pPr>
            <w:r>
              <w:rPr>
                <w:color w:val="000000"/>
                <w:sz w:val="24"/>
              </w:rPr>
              <w:t>1.69</w:t>
            </w:r>
          </w:p>
        </w:tc>
      </w:tr>
      <w:tr w:rsidR="002E18E7">
        <w:trPr>
          <w:jc w:val="center"/>
        </w:trPr>
        <w:tc>
          <w:tcPr>
            <w:tcW w:w="850" w:type="dxa"/>
            <w:vAlign w:val="center"/>
          </w:tcPr>
          <w:p w:rsidR="002E18E7" w:rsidRDefault="001A6E9B">
            <w:pPr>
              <w:jc w:val="center"/>
            </w:pPr>
            <w:r>
              <w:rPr>
                <w:color w:val="000000"/>
                <w:sz w:val="24"/>
              </w:rPr>
              <w:t>6</w:t>
            </w:r>
          </w:p>
        </w:tc>
        <w:tc>
          <w:tcPr>
            <w:tcW w:w="1327" w:type="dxa"/>
            <w:vAlign w:val="center"/>
          </w:tcPr>
          <w:p w:rsidR="002E18E7" w:rsidRDefault="001A6E9B">
            <w:pPr>
              <w:jc w:val="center"/>
            </w:pPr>
            <w:r>
              <w:rPr>
                <w:color w:val="000000"/>
                <w:sz w:val="24"/>
              </w:rPr>
              <w:t>600066</w:t>
            </w:r>
          </w:p>
        </w:tc>
        <w:tc>
          <w:tcPr>
            <w:tcW w:w="1769" w:type="dxa"/>
            <w:vAlign w:val="center"/>
          </w:tcPr>
          <w:p w:rsidR="002E18E7" w:rsidRDefault="001A6E9B">
            <w:pPr>
              <w:jc w:val="center"/>
            </w:pPr>
            <w:r>
              <w:rPr>
                <w:color w:val="000000"/>
                <w:sz w:val="24"/>
              </w:rPr>
              <w:t>宇通客车</w:t>
            </w:r>
          </w:p>
        </w:tc>
        <w:tc>
          <w:tcPr>
            <w:tcW w:w="1327" w:type="dxa"/>
            <w:vAlign w:val="center"/>
          </w:tcPr>
          <w:p w:rsidR="002E18E7" w:rsidRDefault="001A6E9B">
            <w:pPr>
              <w:jc w:val="right"/>
            </w:pPr>
            <w:r>
              <w:rPr>
                <w:color w:val="000000"/>
                <w:sz w:val="24"/>
              </w:rPr>
              <w:t>220,000</w:t>
            </w:r>
          </w:p>
        </w:tc>
        <w:tc>
          <w:tcPr>
            <w:tcW w:w="1915" w:type="dxa"/>
            <w:vAlign w:val="center"/>
          </w:tcPr>
          <w:p w:rsidR="002E18E7" w:rsidRDefault="001A6E9B">
            <w:pPr>
              <w:jc w:val="right"/>
            </w:pPr>
            <w:r>
              <w:rPr>
                <w:color w:val="000000"/>
                <w:sz w:val="24"/>
              </w:rPr>
              <w:t>3,533,200.00</w:t>
            </w:r>
          </w:p>
        </w:tc>
        <w:tc>
          <w:tcPr>
            <w:tcW w:w="1680" w:type="dxa"/>
            <w:vAlign w:val="center"/>
          </w:tcPr>
          <w:p w:rsidR="002E18E7" w:rsidRDefault="001A6E9B">
            <w:pPr>
              <w:jc w:val="right"/>
            </w:pPr>
            <w:r>
              <w:rPr>
                <w:color w:val="000000"/>
                <w:sz w:val="24"/>
              </w:rPr>
              <w:t>1.22</w:t>
            </w:r>
          </w:p>
        </w:tc>
      </w:tr>
      <w:tr w:rsidR="002E18E7">
        <w:trPr>
          <w:jc w:val="center"/>
        </w:trPr>
        <w:tc>
          <w:tcPr>
            <w:tcW w:w="850" w:type="dxa"/>
            <w:vAlign w:val="center"/>
          </w:tcPr>
          <w:p w:rsidR="002E18E7" w:rsidRDefault="001A6E9B">
            <w:pPr>
              <w:jc w:val="center"/>
            </w:pPr>
            <w:r>
              <w:rPr>
                <w:color w:val="000000"/>
                <w:sz w:val="24"/>
              </w:rPr>
              <w:t>7</w:t>
            </w:r>
          </w:p>
        </w:tc>
        <w:tc>
          <w:tcPr>
            <w:tcW w:w="1327" w:type="dxa"/>
            <w:vAlign w:val="center"/>
          </w:tcPr>
          <w:p w:rsidR="002E18E7" w:rsidRDefault="001A6E9B">
            <w:pPr>
              <w:jc w:val="center"/>
            </w:pPr>
            <w:r>
              <w:rPr>
                <w:color w:val="000000"/>
                <w:sz w:val="24"/>
              </w:rPr>
              <w:t>300070</w:t>
            </w:r>
          </w:p>
        </w:tc>
        <w:tc>
          <w:tcPr>
            <w:tcW w:w="1769" w:type="dxa"/>
            <w:vAlign w:val="center"/>
          </w:tcPr>
          <w:p w:rsidR="002E18E7" w:rsidRDefault="001A6E9B">
            <w:pPr>
              <w:jc w:val="center"/>
            </w:pPr>
            <w:r>
              <w:rPr>
                <w:color w:val="000000"/>
                <w:sz w:val="24"/>
              </w:rPr>
              <w:t>碧水源</w:t>
            </w:r>
          </w:p>
        </w:tc>
        <w:tc>
          <w:tcPr>
            <w:tcW w:w="1327" w:type="dxa"/>
            <w:vAlign w:val="center"/>
          </w:tcPr>
          <w:p w:rsidR="002E18E7" w:rsidRDefault="001A6E9B">
            <w:pPr>
              <w:jc w:val="right"/>
            </w:pPr>
            <w:r>
              <w:rPr>
                <w:color w:val="000000"/>
                <w:sz w:val="24"/>
              </w:rPr>
              <w:t>100,000</w:t>
            </w:r>
          </w:p>
        </w:tc>
        <w:tc>
          <w:tcPr>
            <w:tcW w:w="1915" w:type="dxa"/>
            <w:vAlign w:val="center"/>
          </w:tcPr>
          <w:p w:rsidR="002E18E7" w:rsidRDefault="001A6E9B">
            <w:pPr>
              <w:jc w:val="right"/>
            </w:pPr>
            <w:r>
              <w:rPr>
                <w:color w:val="000000"/>
                <w:sz w:val="24"/>
              </w:rPr>
              <w:t>3,303,000.00</w:t>
            </w:r>
          </w:p>
        </w:tc>
        <w:tc>
          <w:tcPr>
            <w:tcW w:w="1680" w:type="dxa"/>
            <w:vAlign w:val="center"/>
          </w:tcPr>
          <w:p w:rsidR="002E18E7" w:rsidRDefault="001A6E9B">
            <w:pPr>
              <w:jc w:val="right"/>
            </w:pPr>
            <w:r>
              <w:rPr>
                <w:color w:val="000000"/>
                <w:sz w:val="24"/>
              </w:rPr>
              <w:t>1.14</w:t>
            </w:r>
          </w:p>
        </w:tc>
      </w:tr>
      <w:tr w:rsidR="002E18E7">
        <w:trPr>
          <w:jc w:val="center"/>
        </w:trPr>
        <w:tc>
          <w:tcPr>
            <w:tcW w:w="850" w:type="dxa"/>
            <w:vAlign w:val="center"/>
          </w:tcPr>
          <w:p w:rsidR="002E18E7" w:rsidRDefault="001A6E9B">
            <w:pPr>
              <w:jc w:val="center"/>
            </w:pPr>
            <w:r>
              <w:rPr>
                <w:color w:val="000000"/>
                <w:sz w:val="24"/>
              </w:rPr>
              <w:t>8</w:t>
            </w:r>
          </w:p>
        </w:tc>
        <w:tc>
          <w:tcPr>
            <w:tcW w:w="1327" w:type="dxa"/>
            <w:vAlign w:val="center"/>
          </w:tcPr>
          <w:p w:rsidR="002E18E7" w:rsidRDefault="001A6E9B">
            <w:pPr>
              <w:jc w:val="center"/>
            </w:pPr>
            <w:r>
              <w:rPr>
                <w:color w:val="000000"/>
                <w:sz w:val="24"/>
              </w:rPr>
              <w:t>002293</w:t>
            </w:r>
          </w:p>
        </w:tc>
        <w:tc>
          <w:tcPr>
            <w:tcW w:w="1769" w:type="dxa"/>
            <w:vAlign w:val="center"/>
          </w:tcPr>
          <w:p w:rsidR="002E18E7" w:rsidRDefault="001A6E9B">
            <w:pPr>
              <w:jc w:val="center"/>
            </w:pPr>
            <w:r>
              <w:rPr>
                <w:color w:val="000000"/>
                <w:sz w:val="24"/>
              </w:rPr>
              <w:t>罗莱家纺</w:t>
            </w:r>
          </w:p>
        </w:tc>
        <w:tc>
          <w:tcPr>
            <w:tcW w:w="1327" w:type="dxa"/>
            <w:vAlign w:val="center"/>
          </w:tcPr>
          <w:p w:rsidR="002E18E7" w:rsidRDefault="001A6E9B">
            <w:pPr>
              <w:jc w:val="right"/>
            </w:pPr>
            <w:r>
              <w:rPr>
                <w:color w:val="000000"/>
                <w:sz w:val="24"/>
              </w:rPr>
              <w:t>140,000</w:t>
            </w:r>
          </w:p>
        </w:tc>
        <w:tc>
          <w:tcPr>
            <w:tcW w:w="1915" w:type="dxa"/>
            <w:vAlign w:val="center"/>
          </w:tcPr>
          <w:p w:rsidR="002E18E7" w:rsidRDefault="001A6E9B">
            <w:pPr>
              <w:jc w:val="right"/>
            </w:pPr>
            <w:r>
              <w:rPr>
                <w:color w:val="000000"/>
                <w:sz w:val="24"/>
              </w:rPr>
              <w:t>3,080,000.00</w:t>
            </w:r>
          </w:p>
        </w:tc>
        <w:tc>
          <w:tcPr>
            <w:tcW w:w="1680" w:type="dxa"/>
            <w:vAlign w:val="center"/>
          </w:tcPr>
          <w:p w:rsidR="002E18E7" w:rsidRDefault="001A6E9B">
            <w:pPr>
              <w:jc w:val="right"/>
            </w:pPr>
            <w:r>
              <w:rPr>
                <w:color w:val="000000"/>
                <w:sz w:val="24"/>
              </w:rPr>
              <w:t>1.07</w:t>
            </w:r>
          </w:p>
        </w:tc>
      </w:tr>
      <w:tr w:rsidR="002E18E7">
        <w:trPr>
          <w:jc w:val="center"/>
        </w:trPr>
        <w:tc>
          <w:tcPr>
            <w:tcW w:w="850" w:type="dxa"/>
            <w:vAlign w:val="center"/>
          </w:tcPr>
          <w:p w:rsidR="002E18E7" w:rsidRDefault="001A6E9B">
            <w:pPr>
              <w:jc w:val="center"/>
            </w:pPr>
            <w:r>
              <w:rPr>
                <w:color w:val="000000"/>
                <w:sz w:val="24"/>
              </w:rPr>
              <w:t>9</w:t>
            </w:r>
          </w:p>
        </w:tc>
        <w:tc>
          <w:tcPr>
            <w:tcW w:w="1327" w:type="dxa"/>
            <w:vAlign w:val="center"/>
          </w:tcPr>
          <w:p w:rsidR="002E18E7" w:rsidRDefault="001A6E9B">
            <w:pPr>
              <w:jc w:val="center"/>
            </w:pPr>
            <w:r>
              <w:rPr>
                <w:color w:val="000000"/>
                <w:sz w:val="24"/>
              </w:rPr>
              <w:t>600893</w:t>
            </w:r>
          </w:p>
        </w:tc>
        <w:tc>
          <w:tcPr>
            <w:tcW w:w="1769" w:type="dxa"/>
            <w:vAlign w:val="center"/>
          </w:tcPr>
          <w:p w:rsidR="002E18E7" w:rsidRDefault="001A6E9B">
            <w:pPr>
              <w:jc w:val="center"/>
            </w:pPr>
            <w:r>
              <w:rPr>
                <w:color w:val="000000"/>
                <w:sz w:val="24"/>
              </w:rPr>
              <w:t>航空动力</w:t>
            </w:r>
          </w:p>
        </w:tc>
        <w:tc>
          <w:tcPr>
            <w:tcW w:w="1327" w:type="dxa"/>
            <w:vAlign w:val="center"/>
          </w:tcPr>
          <w:p w:rsidR="002E18E7" w:rsidRDefault="001A6E9B">
            <w:pPr>
              <w:jc w:val="right"/>
            </w:pPr>
            <w:r>
              <w:rPr>
                <w:color w:val="000000"/>
                <w:sz w:val="24"/>
              </w:rPr>
              <w:t>130,000</w:t>
            </w:r>
          </w:p>
        </w:tc>
        <w:tc>
          <w:tcPr>
            <w:tcW w:w="1915" w:type="dxa"/>
            <w:vAlign w:val="center"/>
          </w:tcPr>
          <w:p w:rsidR="002E18E7" w:rsidRDefault="001A6E9B">
            <w:pPr>
              <w:jc w:val="right"/>
            </w:pPr>
            <w:r>
              <w:rPr>
                <w:color w:val="000000"/>
                <w:sz w:val="24"/>
              </w:rPr>
              <w:t>2,709,200.00</w:t>
            </w:r>
          </w:p>
        </w:tc>
        <w:tc>
          <w:tcPr>
            <w:tcW w:w="1680" w:type="dxa"/>
            <w:vAlign w:val="center"/>
          </w:tcPr>
          <w:p w:rsidR="002E18E7" w:rsidRDefault="001A6E9B">
            <w:pPr>
              <w:jc w:val="right"/>
            </w:pPr>
            <w:r>
              <w:rPr>
                <w:color w:val="000000"/>
                <w:sz w:val="24"/>
              </w:rPr>
              <w:t>0.94</w:t>
            </w:r>
          </w:p>
        </w:tc>
      </w:tr>
      <w:tr w:rsidR="002E18E7">
        <w:trPr>
          <w:jc w:val="center"/>
        </w:trPr>
        <w:tc>
          <w:tcPr>
            <w:tcW w:w="850" w:type="dxa"/>
            <w:vAlign w:val="center"/>
          </w:tcPr>
          <w:p w:rsidR="002E18E7" w:rsidRDefault="001A6E9B">
            <w:pPr>
              <w:jc w:val="center"/>
            </w:pPr>
            <w:r>
              <w:rPr>
                <w:color w:val="000000"/>
                <w:sz w:val="24"/>
              </w:rPr>
              <w:t>10</w:t>
            </w:r>
          </w:p>
        </w:tc>
        <w:tc>
          <w:tcPr>
            <w:tcW w:w="1327" w:type="dxa"/>
            <w:vAlign w:val="center"/>
          </w:tcPr>
          <w:p w:rsidR="002E18E7" w:rsidRDefault="001A6E9B">
            <w:pPr>
              <w:jc w:val="center"/>
            </w:pPr>
            <w:r>
              <w:rPr>
                <w:color w:val="000000"/>
                <w:sz w:val="24"/>
              </w:rPr>
              <w:t>600596</w:t>
            </w:r>
          </w:p>
        </w:tc>
        <w:tc>
          <w:tcPr>
            <w:tcW w:w="1769" w:type="dxa"/>
            <w:vAlign w:val="center"/>
          </w:tcPr>
          <w:p w:rsidR="002E18E7" w:rsidRDefault="001A6E9B">
            <w:pPr>
              <w:jc w:val="center"/>
            </w:pPr>
            <w:r>
              <w:rPr>
                <w:color w:val="000000"/>
                <w:sz w:val="24"/>
              </w:rPr>
              <w:t>新安股份</w:t>
            </w:r>
          </w:p>
        </w:tc>
        <w:tc>
          <w:tcPr>
            <w:tcW w:w="1327" w:type="dxa"/>
            <w:vAlign w:val="center"/>
          </w:tcPr>
          <w:p w:rsidR="002E18E7" w:rsidRDefault="001A6E9B">
            <w:pPr>
              <w:jc w:val="right"/>
            </w:pPr>
            <w:r>
              <w:rPr>
                <w:color w:val="000000"/>
                <w:sz w:val="24"/>
              </w:rPr>
              <w:t>210,000</w:t>
            </w:r>
          </w:p>
        </w:tc>
        <w:tc>
          <w:tcPr>
            <w:tcW w:w="1915" w:type="dxa"/>
            <w:vAlign w:val="center"/>
          </w:tcPr>
          <w:p w:rsidR="002E18E7" w:rsidRDefault="001A6E9B">
            <w:pPr>
              <w:jc w:val="right"/>
            </w:pPr>
            <w:r>
              <w:rPr>
                <w:color w:val="000000"/>
                <w:sz w:val="24"/>
              </w:rPr>
              <w:t>2,692,200.00</w:t>
            </w:r>
          </w:p>
        </w:tc>
        <w:tc>
          <w:tcPr>
            <w:tcW w:w="1680" w:type="dxa"/>
            <w:vAlign w:val="center"/>
          </w:tcPr>
          <w:p w:rsidR="002E18E7" w:rsidRDefault="001A6E9B">
            <w:pPr>
              <w:jc w:val="right"/>
            </w:pPr>
            <w:r>
              <w:rPr>
                <w:color w:val="000000"/>
                <w:sz w:val="24"/>
              </w:rPr>
              <w:t>0.93</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58,696,000.00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20.35</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58,696,000.00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20.35</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191,492,536.99</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66.38</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29,587,000.00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10.26</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201,559,407.05</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69.87</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481,334,944.04</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166.86</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E18E7">
        <w:trPr>
          <w:jc w:val="center"/>
        </w:trPr>
        <w:tc>
          <w:tcPr>
            <w:tcW w:w="1075" w:type="dxa"/>
            <w:vAlign w:val="center"/>
          </w:tcPr>
          <w:p w:rsidR="002E18E7" w:rsidRDefault="001A6E9B">
            <w:pPr>
              <w:jc w:val="center"/>
            </w:pPr>
            <w:r>
              <w:rPr>
                <w:color w:val="000000"/>
                <w:sz w:val="24"/>
              </w:rPr>
              <w:t>1</w:t>
            </w:r>
          </w:p>
        </w:tc>
        <w:tc>
          <w:tcPr>
            <w:tcW w:w="1533" w:type="dxa"/>
            <w:vAlign w:val="center"/>
          </w:tcPr>
          <w:p w:rsidR="002E18E7" w:rsidRDefault="001A6E9B">
            <w:pPr>
              <w:jc w:val="center"/>
            </w:pPr>
            <w:r>
              <w:rPr>
                <w:color w:val="000000"/>
                <w:sz w:val="24"/>
              </w:rPr>
              <w:t>130246</w:t>
            </w:r>
          </w:p>
        </w:tc>
        <w:tc>
          <w:tcPr>
            <w:tcW w:w="1533" w:type="dxa"/>
            <w:vAlign w:val="center"/>
          </w:tcPr>
          <w:p w:rsidR="002E18E7" w:rsidRDefault="001A6E9B">
            <w:pPr>
              <w:jc w:val="center"/>
            </w:pPr>
            <w:r>
              <w:rPr>
                <w:color w:val="000000"/>
                <w:sz w:val="24"/>
              </w:rPr>
              <w:t>13</w:t>
            </w:r>
            <w:r>
              <w:rPr>
                <w:color w:val="000000"/>
                <w:sz w:val="24"/>
              </w:rPr>
              <w:t>国开</w:t>
            </w:r>
            <w:r>
              <w:rPr>
                <w:color w:val="000000"/>
                <w:sz w:val="24"/>
              </w:rPr>
              <w:t>46</w:t>
            </w:r>
          </w:p>
        </w:tc>
        <w:tc>
          <w:tcPr>
            <w:tcW w:w="1394" w:type="dxa"/>
            <w:vAlign w:val="center"/>
          </w:tcPr>
          <w:p w:rsidR="002E18E7" w:rsidRDefault="001A6E9B">
            <w:pPr>
              <w:jc w:val="right"/>
            </w:pPr>
            <w:r>
              <w:rPr>
                <w:color w:val="000000"/>
                <w:sz w:val="24"/>
              </w:rPr>
              <w:t>400,000</w:t>
            </w:r>
          </w:p>
        </w:tc>
        <w:tc>
          <w:tcPr>
            <w:tcW w:w="1944" w:type="dxa"/>
            <w:vAlign w:val="center"/>
          </w:tcPr>
          <w:p w:rsidR="002E18E7" w:rsidRDefault="001A6E9B">
            <w:pPr>
              <w:jc w:val="right"/>
            </w:pPr>
            <w:r>
              <w:rPr>
                <w:color w:val="000000"/>
                <w:sz w:val="24"/>
              </w:rPr>
              <w:t>38,696,000.00</w:t>
            </w:r>
          </w:p>
        </w:tc>
        <w:tc>
          <w:tcPr>
            <w:tcW w:w="1389" w:type="dxa"/>
            <w:vAlign w:val="center"/>
          </w:tcPr>
          <w:p w:rsidR="002E18E7" w:rsidRDefault="001A6E9B">
            <w:pPr>
              <w:jc w:val="right"/>
            </w:pPr>
            <w:r>
              <w:rPr>
                <w:color w:val="000000"/>
                <w:sz w:val="24"/>
              </w:rPr>
              <w:t>13.41</w:t>
            </w:r>
          </w:p>
        </w:tc>
      </w:tr>
      <w:tr w:rsidR="002E18E7">
        <w:trPr>
          <w:jc w:val="center"/>
        </w:trPr>
        <w:tc>
          <w:tcPr>
            <w:tcW w:w="1075" w:type="dxa"/>
            <w:vAlign w:val="center"/>
          </w:tcPr>
          <w:p w:rsidR="002E18E7" w:rsidRDefault="001A6E9B">
            <w:pPr>
              <w:jc w:val="center"/>
            </w:pPr>
            <w:r>
              <w:rPr>
                <w:color w:val="000000"/>
                <w:sz w:val="24"/>
              </w:rPr>
              <w:t>2</w:t>
            </w:r>
          </w:p>
        </w:tc>
        <w:tc>
          <w:tcPr>
            <w:tcW w:w="1533" w:type="dxa"/>
            <w:vAlign w:val="center"/>
          </w:tcPr>
          <w:p w:rsidR="002E18E7" w:rsidRDefault="001A6E9B">
            <w:pPr>
              <w:jc w:val="center"/>
            </w:pPr>
            <w:r>
              <w:rPr>
                <w:color w:val="000000"/>
                <w:sz w:val="24"/>
              </w:rPr>
              <w:t>122266</w:t>
            </w:r>
          </w:p>
        </w:tc>
        <w:tc>
          <w:tcPr>
            <w:tcW w:w="1533" w:type="dxa"/>
            <w:vAlign w:val="center"/>
          </w:tcPr>
          <w:p w:rsidR="002E18E7" w:rsidRDefault="001A6E9B">
            <w:pPr>
              <w:jc w:val="center"/>
            </w:pPr>
            <w:r>
              <w:rPr>
                <w:color w:val="000000"/>
                <w:sz w:val="24"/>
              </w:rPr>
              <w:t>13</w:t>
            </w:r>
            <w:r>
              <w:rPr>
                <w:color w:val="000000"/>
                <w:sz w:val="24"/>
              </w:rPr>
              <w:t>中信</w:t>
            </w:r>
            <w:r>
              <w:rPr>
                <w:color w:val="000000"/>
                <w:sz w:val="24"/>
              </w:rPr>
              <w:t>03</w:t>
            </w:r>
          </w:p>
        </w:tc>
        <w:tc>
          <w:tcPr>
            <w:tcW w:w="1394" w:type="dxa"/>
            <w:vAlign w:val="center"/>
          </w:tcPr>
          <w:p w:rsidR="002E18E7" w:rsidRDefault="001A6E9B">
            <w:pPr>
              <w:jc w:val="right"/>
            </w:pPr>
            <w:r>
              <w:rPr>
                <w:color w:val="000000"/>
                <w:sz w:val="24"/>
              </w:rPr>
              <w:t>300,000</w:t>
            </w:r>
          </w:p>
        </w:tc>
        <w:tc>
          <w:tcPr>
            <w:tcW w:w="1944" w:type="dxa"/>
            <w:vAlign w:val="center"/>
          </w:tcPr>
          <w:p w:rsidR="002E18E7" w:rsidRDefault="001A6E9B">
            <w:pPr>
              <w:jc w:val="right"/>
            </w:pPr>
            <w:r>
              <w:rPr>
                <w:color w:val="000000"/>
                <w:sz w:val="24"/>
              </w:rPr>
              <w:t>29,460,000.00</w:t>
            </w:r>
          </w:p>
        </w:tc>
        <w:tc>
          <w:tcPr>
            <w:tcW w:w="1389" w:type="dxa"/>
            <w:vAlign w:val="center"/>
          </w:tcPr>
          <w:p w:rsidR="002E18E7" w:rsidRDefault="001A6E9B">
            <w:pPr>
              <w:jc w:val="right"/>
            </w:pPr>
            <w:r>
              <w:rPr>
                <w:color w:val="000000"/>
                <w:sz w:val="24"/>
              </w:rPr>
              <w:t>10.21</w:t>
            </w:r>
          </w:p>
        </w:tc>
      </w:tr>
      <w:tr w:rsidR="002E18E7">
        <w:trPr>
          <w:jc w:val="center"/>
        </w:trPr>
        <w:tc>
          <w:tcPr>
            <w:tcW w:w="1075" w:type="dxa"/>
            <w:vAlign w:val="center"/>
          </w:tcPr>
          <w:p w:rsidR="002E18E7" w:rsidRDefault="001A6E9B">
            <w:pPr>
              <w:jc w:val="center"/>
            </w:pPr>
            <w:r>
              <w:rPr>
                <w:color w:val="000000"/>
                <w:sz w:val="24"/>
              </w:rPr>
              <w:t>3</w:t>
            </w:r>
          </w:p>
        </w:tc>
        <w:tc>
          <w:tcPr>
            <w:tcW w:w="1533" w:type="dxa"/>
            <w:vAlign w:val="center"/>
          </w:tcPr>
          <w:p w:rsidR="002E18E7" w:rsidRDefault="001A6E9B">
            <w:pPr>
              <w:jc w:val="center"/>
            </w:pPr>
            <w:r>
              <w:rPr>
                <w:color w:val="000000"/>
                <w:sz w:val="24"/>
              </w:rPr>
              <w:t>113005</w:t>
            </w:r>
          </w:p>
        </w:tc>
        <w:tc>
          <w:tcPr>
            <w:tcW w:w="1533" w:type="dxa"/>
            <w:vAlign w:val="center"/>
          </w:tcPr>
          <w:p w:rsidR="002E18E7" w:rsidRDefault="001A6E9B">
            <w:pPr>
              <w:jc w:val="center"/>
            </w:pPr>
            <w:r>
              <w:rPr>
                <w:color w:val="000000"/>
                <w:sz w:val="24"/>
              </w:rPr>
              <w:t>平安转债</w:t>
            </w:r>
          </w:p>
        </w:tc>
        <w:tc>
          <w:tcPr>
            <w:tcW w:w="1394" w:type="dxa"/>
            <w:vAlign w:val="center"/>
          </w:tcPr>
          <w:p w:rsidR="002E18E7" w:rsidRDefault="001A6E9B">
            <w:pPr>
              <w:jc w:val="right"/>
            </w:pPr>
            <w:r>
              <w:rPr>
                <w:color w:val="000000"/>
                <w:sz w:val="24"/>
              </w:rPr>
              <w:t>240,000</w:t>
            </w:r>
          </w:p>
        </w:tc>
        <w:tc>
          <w:tcPr>
            <w:tcW w:w="1944" w:type="dxa"/>
            <w:vAlign w:val="center"/>
          </w:tcPr>
          <w:p w:rsidR="002E18E7" w:rsidRDefault="001A6E9B">
            <w:pPr>
              <w:jc w:val="right"/>
            </w:pPr>
            <w:r>
              <w:rPr>
                <w:color w:val="000000"/>
                <w:sz w:val="24"/>
              </w:rPr>
              <w:t>23,724,000.00</w:t>
            </w:r>
          </w:p>
        </w:tc>
        <w:tc>
          <w:tcPr>
            <w:tcW w:w="1389" w:type="dxa"/>
            <w:vAlign w:val="center"/>
          </w:tcPr>
          <w:p w:rsidR="002E18E7" w:rsidRDefault="001A6E9B">
            <w:pPr>
              <w:jc w:val="right"/>
            </w:pPr>
            <w:r>
              <w:rPr>
                <w:color w:val="000000"/>
                <w:sz w:val="24"/>
              </w:rPr>
              <w:t>8.22</w:t>
            </w:r>
          </w:p>
        </w:tc>
      </w:tr>
      <w:tr w:rsidR="002E18E7">
        <w:trPr>
          <w:jc w:val="center"/>
        </w:trPr>
        <w:tc>
          <w:tcPr>
            <w:tcW w:w="1075" w:type="dxa"/>
            <w:vAlign w:val="center"/>
          </w:tcPr>
          <w:p w:rsidR="002E18E7" w:rsidRDefault="001A6E9B">
            <w:pPr>
              <w:jc w:val="center"/>
            </w:pPr>
            <w:r>
              <w:rPr>
                <w:color w:val="000000"/>
                <w:sz w:val="24"/>
              </w:rPr>
              <w:t>4</w:t>
            </w:r>
          </w:p>
        </w:tc>
        <w:tc>
          <w:tcPr>
            <w:tcW w:w="1533" w:type="dxa"/>
            <w:vAlign w:val="center"/>
          </w:tcPr>
          <w:p w:rsidR="002E18E7" w:rsidRDefault="001A6E9B">
            <w:pPr>
              <w:jc w:val="center"/>
            </w:pPr>
            <w:r>
              <w:rPr>
                <w:color w:val="000000"/>
                <w:sz w:val="24"/>
              </w:rPr>
              <w:t>110015</w:t>
            </w:r>
          </w:p>
        </w:tc>
        <w:tc>
          <w:tcPr>
            <w:tcW w:w="1533" w:type="dxa"/>
            <w:vAlign w:val="center"/>
          </w:tcPr>
          <w:p w:rsidR="002E18E7" w:rsidRDefault="001A6E9B">
            <w:pPr>
              <w:jc w:val="center"/>
            </w:pPr>
            <w:r>
              <w:rPr>
                <w:color w:val="000000"/>
                <w:sz w:val="24"/>
              </w:rPr>
              <w:t>石化转债</w:t>
            </w:r>
          </w:p>
        </w:tc>
        <w:tc>
          <w:tcPr>
            <w:tcW w:w="1394" w:type="dxa"/>
            <w:vAlign w:val="center"/>
          </w:tcPr>
          <w:p w:rsidR="002E18E7" w:rsidRDefault="001A6E9B">
            <w:pPr>
              <w:jc w:val="right"/>
            </w:pPr>
            <w:r>
              <w:rPr>
                <w:color w:val="000000"/>
                <w:sz w:val="24"/>
              </w:rPr>
              <w:t>230,000</w:t>
            </w:r>
          </w:p>
        </w:tc>
        <w:tc>
          <w:tcPr>
            <w:tcW w:w="1944" w:type="dxa"/>
            <w:vAlign w:val="center"/>
          </w:tcPr>
          <w:p w:rsidR="002E18E7" w:rsidRDefault="001A6E9B">
            <w:pPr>
              <w:jc w:val="right"/>
            </w:pPr>
            <w:r>
              <w:rPr>
                <w:color w:val="000000"/>
                <w:sz w:val="24"/>
              </w:rPr>
              <w:t>23,545,100.00</w:t>
            </w:r>
          </w:p>
        </w:tc>
        <w:tc>
          <w:tcPr>
            <w:tcW w:w="1389" w:type="dxa"/>
            <w:vAlign w:val="center"/>
          </w:tcPr>
          <w:p w:rsidR="002E18E7" w:rsidRDefault="001A6E9B">
            <w:pPr>
              <w:jc w:val="right"/>
            </w:pPr>
            <w:r>
              <w:rPr>
                <w:color w:val="000000"/>
                <w:sz w:val="24"/>
              </w:rPr>
              <w:t>8.16</w:t>
            </w:r>
          </w:p>
        </w:tc>
      </w:tr>
      <w:tr w:rsidR="002E18E7">
        <w:trPr>
          <w:jc w:val="center"/>
        </w:trPr>
        <w:tc>
          <w:tcPr>
            <w:tcW w:w="1075" w:type="dxa"/>
            <w:vAlign w:val="center"/>
          </w:tcPr>
          <w:p w:rsidR="002E18E7" w:rsidRDefault="001A6E9B">
            <w:pPr>
              <w:jc w:val="center"/>
            </w:pPr>
            <w:r>
              <w:rPr>
                <w:color w:val="000000"/>
                <w:sz w:val="24"/>
              </w:rPr>
              <w:t>5</w:t>
            </w:r>
          </w:p>
        </w:tc>
        <w:tc>
          <w:tcPr>
            <w:tcW w:w="1533" w:type="dxa"/>
            <w:vAlign w:val="center"/>
          </w:tcPr>
          <w:p w:rsidR="002E18E7" w:rsidRDefault="001A6E9B">
            <w:pPr>
              <w:jc w:val="center"/>
            </w:pPr>
            <w:r>
              <w:rPr>
                <w:color w:val="000000"/>
                <w:sz w:val="24"/>
              </w:rPr>
              <w:t>113003</w:t>
            </w:r>
          </w:p>
        </w:tc>
        <w:tc>
          <w:tcPr>
            <w:tcW w:w="1533" w:type="dxa"/>
            <w:vAlign w:val="center"/>
          </w:tcPr>
          <w:p w:rsidR="002E18E7" w:rsidRDefault="001A6E9B">
            <w:pPr>
              <w:jc w:val="center"/>
            </w:pPr>
            <w:r>
              <w:rPr>
                <w:color w:val="000000"/>
                <w:sz w:val="24"/>
              </w:rPr>
              <w:t>重工转债</w:t>
            </w:r>
          </w:p>
        </w:tc>
        <w:tc>
          <w:tcPr>
            <w:tcW w:w="1394" w:type="dxa"/>
            <w:vAlign w:val="center"/>
          </w:tcPr>
          <w:p w:rsidR="002E18E7" w:rsidRDefault="001A6E9B">
            <w:pPr>
              <w:jc w:val="right"/>
            </w:pPr>
            <w:r>
              <w:rPr>
                <w:color w:val="000000"/>
                <w:sz w:val="24"/>
              </w:rPr>
              <w:t>220,000</w:t>
            </w:r>
          </w:p>
        </w:tc>
        <w:tc>
          <w:tcPr>
            <w:tcW w:w="1944" w:type="dxa"/>
            <w:vAlign w:val="center"/>
          </w:tcPr>
          <w:p w:rsidR="002E18E7" w:rsidRDefault="001A6E9B">
            <w:pPr>
              <w:jc w:val="right"/>
            </w:pPr>
            <w:r>
              <w:rPr>
                <w:color w:val="000000"/>
                <w:sz w:val="24"/>
              </w:rPr>
              <w:t>23,025,200.00</w:t>
            </w:r>
          </w:p>
        </w:tc>
        <w:tc>
          <w:tcPr>
            <w:tcW w:w="1389" w:type="dxa"/>
            <w:vAlign w:val="center"/>
          </w:tcPr>
          <w:p w:rsidR="002E18E7" w:rsidRDefault="001A6E9B">
            <w:pPr>
              <w:jc w:val="right"/>
            </w:pPr>
            <w:r>
              <w:rPr>
                <w:color w:val="000000"/>
                <w:sz w:val="24"/>
              </w:rPr>
              <w:t>7.98</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6232DA">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61982">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61982">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61982">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61982">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61982">
      <w:pPr>
        <w:autoSpaceDE w:val="0"/>
        <w:autoSpaceDN w:val="0"/>
        <w:adjustRightInd w:val="0"/>
        <w:spacing w:before="29" w:line="288" w:lineRule="auto"/>
        <w:jc w:val="left"/>
        <w:rPr>
          <w:b/>
          <w:sz w:val="24"/>
        </w:rPr>
      </w:pPr>
    </w:p>
    <w:p w:rsidR="00A7062E" w:rsidRPr="007F52FA" w:rsidRDefault="001D5CD0" w:rsidP="00761982">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61982">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49,013.70</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21,615,405.69</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7,487,356.41</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29,236.79</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29,181,012.59</w:t>
            </w:r>
          </w:p>
        </w:tc>
      </w:tr>
    </w:tbl>
    <w:p w:rsidR="001D5CD0" w:rsidRPr="007F52FA" w:rsidRDefault="001D5CD0" w:rsidP="00761982">
      <w:pPr>
        <w:autoSpaceDE w:val="0"/>
        <w:autoSpaceDN w:val="0"/>
        <w:adjustRightInd w:val="0"/>
        <w:spacing w:before="29" w:line="288" w:lineRule="auto"/>
        <w:jc w:val="left"/>
        <w:rPr>
          <w:sz w:val="24"/>
        </w:rPr>
      </w:pPr>
    </w:p>
    <w:p w:rsidR="001D5CD0" w:rsidRPr="007F52FA" w:rsidRDefault="001D5CD0" w:rsidP="00761982">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2E18E7">
        <w:trPr>
          <w:jc w:val="center"/>
        </w:trPr>
        <w:tc>
          <w:tcPr>
            <w:tcW w:w="0" w:type="auto"/>
            <w:vAlign w:val="center"/>
          </w:tcPr>
          <w:p w:rsidR="002E18E7" w:rsidRDefault="001A6E9B">
            <w:pPr>
              <w:jc w:val="center"/>
            </w:pPr>
            <w:r>
              <w:rPr>
                <w:rFonts w:eastAsiaTheme="minorEastAsia"/>
                <w:color w:val="000000"/>
                <w:sz w:val="24"/>
              </w:rPr>
              <w:t>1</w:t>
            </w:r>
          </w:p>
        </w:tc>
        <w:tc>
          <w:tcPr>
            <w:tcW w:w="0" w:type="auto"/>
            <w:vAlign w:val="center"/>
          </w:tcPr>
          <w:p w:rsidR="002E18E7" w:rsidRDefault="001A6E9B">
            <w:pPr>
              <w:jc w:val="center"/>
            </w:pPr>
            <w:r>
              <w:rPr>
                <w:rFonts w:eastAsiaTheme="minorEastAsia"/>
                <w:color w:val="000000"/>
                <w:sz w:val="24"/>
              </w:rPr>
              <w:t>110015</w:t>
            </w:r>
          </w:p>
        </w:tc>
        <w:tc>
          <w:tcPr>
            <w:tcW w:w="0" w:type="auto"/>
            <w:vAlign w:val="center"/>
          </w:tcPr>
          <w:p w:rsidR="002E18E7" w:rsidRDefault="001A6E9B">
            <w:pPr>
              <w:jc w:val="center"/>
            </w:pPr>
            <w:r>
              <w:rPr>
                <w:rFonts w:eastAsiaTheme="minorEastAsia"/>
                <w:color w:val="000000"/>
                <w:sz w:val="24"/>
              </w:rPr>
              <w:t>石化转债</w:t>
            </w:r>
          </w:p>
        </w:tc>
        <w:tc>
          <w:tcPr>
            <w:tcW w:w="0" w:type="auto"/>
            <w:vAlign w:val="center"/>
          </w:tcPr>
          <w:p w:rsidR="002E18E7" w:rsidRDefault="001A6E9B">
            <w:pPr>
              <w:jc w:val="right"/>
            </w:pPr>
            <w:r>
              <w:rPr>
                <w:rFonts w:eastAsiaTheme="minorEastAsia"/>
                <w:color w:val="000000"/>
                <w:sz w:val="24"/>
              </w:rPr>
              <w:t>23,545,100.00</w:t>
            </w:r>
          </w:p>
        </w:tc>
        <w:tc>
          <w:tcPr>
            <w:tcW w:w="0" w:type="auto"/>
            <w:vAlign w:val="center"/>
          </w:tcPr>
          <w:p w:rsidR="002E18E7" w:rsidRDefault="001A6E9B">
            <w:pPr>
              <w:jc w:val="right"/>
            </w:pPr>
            <w:r>
              <w:rPr>
                <w:rFonts w:eastAsiaTheme="minorEastAsia"/>
                <w:color w:val="000000"/>
                <w:sz w:val="24"/>
              </w:rPr>
              <w:t>8.16</w:t>
            </w:r>
          </w:p>
        </w:tc>
      </w:tr>
      <w:tr w:rsidR="002E18E7">
        <w:trPr>
          <w:jc w:val="center"/>
        </w:trPr>
        <w:tc>
          <w:tcPr>
            <w:tcW w:w="0" w:type="auto"/>
            <w:vAlign w:val="center"/>
          </w:tcPr>
          <w:p w:rsidR="002E18E7" w:rsidRDefault="001A6E9B">
            <w:pPr>
              <w:jc w:val="center"/>
            </w:pPr>
            <w:r>
              <w:rPr>
                <w:rFonts w:eastAsiaTheme="minorEastAsia"/>
                <w:color w:val="000000"/>
                <w:sz w:val="24"/>
              </w:rPr>
              <w:t>2</w:t>
            </w:r>
          </w:p>
        </w:tc>
        <w:tc>
          <w:tcPr>
            <w:tcW w:w="0" w:type="auto"/>
            <w:vAlign w:val="center"/>
          </w:tcPr>
          <w:p w:rsidR="002E18E7" w:rsidRDefault="001A6E9B">
            <w:pPr>
              <w:jc w:val="center"/>
            </w:pPr>
            <w:r>
              <w:rPr>
                <w:rFonts w:eastAsiaTheme="minorEastAsia"/>
                <w:color w:val="000000"/>
                <w:sz w:val="24"/>
              </w:rPr>
              <w:t>113003</w:t>
            </w:r>
          </w:p>
        </w:tc>
        <w:tc>
          <w:tcPr>
            <w:tcW w:w="0" w:type="auto"/>
            <w:vAlign w:val="center"/>
          </w:tcPr>
          <w:p w:rsidR="002E18E7" w:rsidRDefault="001A6E9B">
            <w:pPr>
              <w:jc w:val="center"/>
            </w:pPr>
            <w:r>
              <w:rPr>
                <w:rFonts w:eastAsiaTheme="minorEastAsia"/>
                <w:color w:val="000000"/>
                <w:sz w:val="24"/>
              </w:rPr>
              <w:t>重工转债</w:t>
            </w:r>
          </w:p>
        </w:tc>
        <w:tc>
          <w:tcPr>
            <w:tcW w:w="0" w:type="auto"/>
            <w:vAlign w:val="center"/>
          </w:tcPr>
          <w:p w:rsidR="002E18E7" w:rsidRDefault="001A6E9B">
            <w:pPr>
              <w:jc w:val="right"/>
            </w:pPr>
            <w:r>
              <w:rPr>
                <w:rFonts w:eastAsiaTheme="minorEastAsia"/>
                <w:color w:val="000000"/>
                <w:sz w:val="24"/>
              </w:rPr>
              <w:t>23,025,200.00</w:t>
            </w:r>
          </w:p>
        </w:tc>
        <w:tc>
          <w:tcPr>
            <w:tcW w:w="0" w:type="auto"/>
            <w:vAlign w:val="center"/>
          </w:tcPr>
          <w:p w:rsidR="002E18E7" w:rsidRDefault="001A6E9B">
            <w:pPr>
              <w:jc w:val="right"/>
            </w:pPr>
            <w:r>
              <w:rPr>
                <w:rFonts w:eastAsiaTheme="minorEastAsia"/>
                <w:color w:val="000000"/>
                <w:sz w:val="24"/>
              </w:rPr>
              <w:t>7.98</w:t>
            </w:r>
          </w:p>
        </w:tc>
      </w:tr>
      <w:tr w:rsidR="002E18E7">
        <w:trPr>
          <w:jc w:val="center"/>
        </w:trPr>
        <w:tc>
          <w:tcPr>
            <w:tcW w:w="0" w:type="auto"/>
            <w:vAlign w:val="center"/>
          </w:tcPr>
          <w:p w:rsidR="002E18E7" w:rsidRDefault="001A6E9B">
            <w:pPr>
              <w:jc w:val="center"/>
            </w:pPr>
            <w:r>
              <w:rPr>
                <w:rFonts w:eastAsiaTheme="minorEastAsia"/>
                <w:color w:val="000000"/>
                <w:sz w:val="24"/>
              </w:rPr>
              <w:t>3</w:t>
            </w:r>
          </w:p>
        </w:tc>
        <w:tc>
          <w:tcPr>
            <w:tcW w:w="0" w:type="auto"/>
            <w:vAlign w:val="center"/>
          </w:tcPr>
          <w:p w:rsidR="002E18E7" w:rsidRDefault="001A6E9B">
            <w:pPr>
              <w:jc w:val="center"/>
            </w:pPr>
            <w:r>
              <w:rPr>
                <w:rFonts w:eastAsiaTheme="minorEastAsia"/>
                <w:color w:val="000000"/>
                <w:sz w:val="24"/>
              </w:rPr>
              <w:t>110023</w:t>
            </w:r>
          </w:p>
        </w:tc>
        <w:tc>
          <w:tcPr>
            <w:tcW w:w="0" w:type="auto"/>
            <w:vAlign w:val="center"/>
          </w:tcPr>
          <w:p w:rsidR="002E18E7" w:rsidRDefault="001A6E9B">
            <w:pPr>
              <w:jc w:val="center"/>
            </w:pPr>
            <w:r>
              <w:rPr>
                <w:rFonts w:eastAsiaTheme="minorEastAsia"/>
                <w:color w:val="000000"/>
                <w:sz w:val="24"/>
              </w:rPr>
              <w:t>民生转债</w:t>
            </w:r>
          </w:p>
        </w:tc>
        <w:tc>
          <w:tcPr>
            <w:tcW w:w="0" w:type="auto"/>
            <w:vAlign w:val="center"/>
          </w:tcPr>
          <w:p w:rsidR="002E18E7" w:rsidRDefault="001A6E9B">
            <w:pPr>
              <w:jc w:val="right"/>
            </w:pPr>
            <w:r>
              <w:rPr>
                <w:rFonts w:eastAsiaTheme="minorEastAsia"/>
                <w:color w:val="000000"/>
                <w:sz w:val="24"/>
              </w:rPr>
              <w:t>23,012,600.00</w:t>
            </w:r>
          </w:p>
        </w:tc>
        <w:tc>
          <w:tcPr>
            <w:tcW w:w="0" w:type="auto"/>
            <w:vAlign w:val="center"/>
          </w:tcPr>
          <w:p w:rsidR="002E18E7" w:rsidRDefault="001A6E9B">
            <w:pPr>
              <w:jc w:val="right"/>
            </w:pPr>
            <w:r>
              <w:rPr>
                <w:rFonts w:eastAsiaTheme="minorEastAsia"/>
                <w:color w:val="000000"/>
                <w:sz w:val="24"/>
              </w:rPr>
              <w:t>7.98</w:t>
            </w:r>
          </w:p>
        </w:tc>
      </w:tr>
      <w:tr w:rsidR="002E18E7">
        <w:trPr>
          <w:jc w:val="center"/>
        </w:trPr>
        <w:tc>
          <w:tcPr>
            <w:tcW w:w="0" w:type="auto"/>
            <w:vAlign w:val="center"/>
          </w:tcPr>
          <w:p w:rsidR="002E18E7" w:rsidRDefault="001A6E9B">
            <w:pPr>
              <w:jc w:val="center"/>
            </w:pPr>
            <w:r>
              <w:rPr>
                <w:rFonts w:eastAsiaTheme="minorEastAsia"/>
                <w:color w:val="000000"/>
                <w:sz w:val="24"/>
              </w:rPr>
              <w:t>4</w:t>
            </w:r>
          </w:p>
        </w:tc>
        <w:tc>
          <w:tcPr>
            <w:tcW w:w="0" w:type="auto"/>
            <w:vAlign w:val="center"/>
          </w:tcPr>
          <w:p w:rsidR="002E18E7" w:rsidRDefault="001A6E9B">
            <w:pPr>
              <w:jc w:val="center"/>
            </w:pPr>
            <w:r>
              <w:rPr>
                <w:rFonts w:eastAsiaTheme="minorEastAsia"/>
                <w:color w:val="000000"/>
                <w:sz w:val="24"/>
              </w:rPr>
              <w:t>110018</w:t>
            </w:r>
          </w:p>
        </w:tc>
        <w:tc>
          <w:tcPr>
            <w:tcW w:w="0" w:type="auto"/>
            <w:vAlign w:val="center"/>
          </w:tcPr>
          <w:p w:rsidR="002E18E7" w:rsidRDefault="001A6E9B">
            <w:pPr>
              <w:jc w:val="center"/>
            </w:pPr>
            <w:r>
              <w:rPr>
                <w:rFonts w:eastAsiaTheme="minorEastAsia"/>
                <w:color w:val="000000"/>
                <w:sz w:val="24"/>
              </w:rPr>
              <w:t>国电转债</w:t>
            </w:r>
          </w:p>
        </w:tc>
        <w:tc>
          <w:tcPr>
            <w:tcW w:w="0" w:type="auto"/>
            <w:vAlign w:val="center"/>
          </w:tcPr>
          <w:p w:rsidR="002E18E7" w:rsidRDefault="001A6E9B">
            <w:pPr>
              <w:jc w:val="right"/>
            </w:pPr>
            <w:r>
              <w:rPr>
                <w:rFonts w:eastAsiaTheme="minorEastAsia"/>
                <w:color w:val="000000"/>
                <w:sz w:val="24"/>
              </w:rPr>
              <w:t>21,031,880.00</w:t>
            </w:r>
          </w:p>
        </w:tc>
        <w:tc>
          <w:tcPr>
            <w:tcW w:w="0" w:type="auto"/>
            <w:vAlign w:val="center"/>
          </w:tcPr>
          <w:p w:rsidR="002E18E7" w:rsidRDefault="001A6E9B">
            <w:pPr>
              <w:jc w:val="right"/>
            </w:pPr>
            <w:r>
              <w:rPr>
                <w:rFonts w:eastAsiaTheme="minorEastAsia"/>
                <w:color w:val="000000"/>
                <w:sz w:val="24"/>
              </w:rPr>
              <w:t>7.29</w:t>
            </w:r>
          </w:p>
        </w:tc>
      </w:tr>
      <w:tr w:rsidR="002E18E7">
        <w:trPr>
          <w:jc w:val="center"/>
        </w:trPr>
        <w:tc>
          <w:tcPr>
            <w:tcW w:w="0" w:type="auto"/>
            <w:vAlign w:val="center"/>
          </w:tcPr>
          <w:p w:rsidR="002E18E7" w:rsidRDefault="001A6E9B">
            <w:pPr>
              <w:jc w:val="center"/>
            </w:pPr>
            <w:r>
              <w:rPr>
                <w:rFonts w:eastAsiaTheme="minorEastAsia"/>
                <w:color w:val="000000"/>
                <w:sz w:val="24"/>
              </w:rPr>
              <w:t>5</w:t>
            </w:r>
          </w:p>
        </w:tc>
        <w:tc>
          <w:tcPr>
            <w:tcW w:w="0" w:type="auto"/>
            <w:vAlign w:val="center"/>
          </w:tcPr>
          <w:p w:rsidR="002E18E7" w:rsidRDefault="001A6E9B">
            <w:pPr>
              <w:jc w:val="center"/>
            </w:pPr>
            <w:r>
              <w:rPr>
                <w:rFonts w:eastAsiaTheme="minorEastAsia"/>
                <w:color w:val="000000"/>
                <w:sz w:val="24"/>
              </w:rPr>
              <w:t>113002</w:t>
            </w:r>
          </w:p>
        </w:tc>
        <w:tc>
          <w:tcPr>
            <w:tcW w:w="0" w:type="auto"/>
            <w:vAlign w:val="center"/>
          </w:tcPr>
          <w:p w:rsidR="002E18E7" w:rsidRDefault="001A6E9B">
            <w:pPr>
              <w:jc w:val="center"/>
            </w:pPr>
            <w:r>
              <w:rPr>
                <w:rFonts w:eastAsiaTheme="minorEastAsia"/>
                <w:color w:val="000000"/>
                <w:sz w:val="24"/>
              </w:rPr>
              <w:t>工行转债</w:t>
            </w:r>
          </w:p>
        </w:tc>
        <w:tc>
          <w:tcPr>
            <w:tcW w:w="0" w:type="auto"/>
            <w:vAlign w:val="center"/>
          </w:tcPr>
          <w:p w:rsidR="002E18E7" w:rsidRDefault="001A6E9B">
            <w:pPr>
              <w:jc w:val="right"/>
            </w:pPr>
            <w:r>
              <w:rPr>
                <w:rFonts w:eastAsiaTheme="minorEastAsia"/>
                <w:color w:val="000000"/>
                <w:sz w:val="24"/>
              </w:rPr>
              <w:t>20,846,942.60</w:t>
            </w:r>
          </w:p>
        </w:tc>
        <w:tc>
          <w:tcPr>
            <w:tcW w:w="0" w:type="auto"/>
            <w:vAlign w:val="center"/>
          </w:tcPr>
          <w:p w:rsidR="002E18E7" w:rsidRDefault="001A6E9B">
            <w:pPr>
              <w:jc w:val="right"/>
            </w:pPr>
            <w:r>
              <w:rPr>
                <w:rFonts w:eastAsiaTheme="minorEastAsia"/>
                <w:color w:val="000000"/>
                <w:sz w:val="24"/>
              </w:rPr>
              <w:t>7.23</w:t>
            </w:r>
          </w:p>
        </w:tc>
      </w:tr>
      <w:tr w:rsidR="002E18E7">
        <w:trPr>
          <w:jc w:val="center"/>
        </w:trPr>
        <w:tc>
          <w:tcPr>
            <w:tcW w:w="0" w:type="auto"/>
            <w:vAlign w:val="center"/>
          </w:tcPr>
          <w:p w:rsidR="002E18E7" w:rsidRDefault="001A6E9B">
            <w:pPr>
              <w:jc w:val="center"/>
            </w:pPr>
            <w:r>
              <w:rPr>
                <w:rFonts w:eastAsiaTheme="minorEastAsia"/>
                <w:color w:val="000000"/>
                <w:sz w:val="24"/>
              </w:rPr>
              <w:t>6</w:t>
            </w:r>
          </w:p>
        </w:tc>
        <w:tc>
          <w:tcPr>
            <w:tcW w:w="0" w:type="auto"/>
            <w:vAlign w:val="center"/>
          </w:tcPr>
          <w:p w:rsidR="002E18E7" w:rsidRDefault="001A6E9B">
            <w:pPr>
              <w:jc w:val="center"/>
            </w:pPr>
            <w:r>
              <w:rPr>
                <w:rFonts w:eastAsiaTheme="minorEastAsia"/>
                <w:color w:val="000000"/>
                <w:sz w:val="24"/>
              </w:rPr>
              <w:t>110024</w:t>
            </w:r>
          </w:p>
        </w:tc>
        <w:tc>
          <w:tcPr>
            <w:tcW w:w="0" w:type="auto"/>
            <w:vAlign w:val="center"/>
          </w:tcPr>
          <w:p w:rsidR="002E18E7" w:rsidRDefault="001A6E9B">
            <w:pPr>
              <w:jc w:val="center"/>
            </w:pPr>
            <w:r>
              <w:rPr>
                <w:rFonts w:eastAsiaTheme="minorEastAsia"/>
                <w:color w:val="000000"/>
                <w:sz w:val="24"/>
              </w:rPr>
              <w:t>隧道转债</w:t>
            </w:r>
          </w:p>
        </w:tc>
        <w:tc>
          <w:tcPr>
            <w:tcW w:w="0" w:type="auto"/>
            <w:vAlign w:val="center"/>
          </w:tcPr>
          <w:p w:rsidR="002E18E7" w:rsidRDefault="001A6E9B">
            <w:pPr>
              <w:jc w:val="right"/>
            </w:pPr>
            <w:r>
              <w:rPr>
                <w:rFonts w:eastAsiaTheme="minorEastAsia"/>
                <w:color w:val="000000"/>
                <w:sz w:val="24"/>
              </w:rPr>
              <w:t>17,579,700.00</w:t>
            </w:r>
          </w:p>
        </w:tc>
        <w:tc>
          <w:tcPr>
            <w:tcW w:w="0" w:type="auto"/>
            <w:vAlign w:val="center"/>
          </w:tcPr>
          <w:p w:rsidR="002E18E7" w:rsidRDefault="001A6E9B">
            <w:pPr>
              <w:jc w:val="right"/>
            </w:pPr>
            <w:r>
              <w:rPr>
                <w:rFonts w:eastAsiaTheme="minorEastAsia"/>
                <w:color w:val="000000"/>
                <w:sz w:val="24"/>
              </w:rPr>
              <w:t>6.09</w:t>
            </w:r>
          </w:p>
        </w:tc>
      </w:tr>
      <w:tr w:rsidR="002E18E7">
        <w:trPr>
          <w:jc w:val="center"/>
        </w:trPr>
        <w:tc>
          <w:tcPr>
            <w:tcW w:w="0" w:type="auto"/>
            <w:vAlign w:val="center"/>
          </w:tcPr>
          <w:p w:rsidR="002E18E7" w:rsidRDefault="001A6E9B">
            <w:pPr>
              <w:jc w:val="center"/>
            </w:pPr>
            <w:r>
              <w:rPr>
                <w:rFonts w:eastAsiaTheme="minorEastAsia"/>
                <w:color w:val="000000"/>
                <w:sz w:val="24"/>
              </w:rPr>
              <w:t>7</w:t>
            </w:r>
          </w:p>
        </w:tc>
        <w:tc>
          <w:tcPr>
            <w:tcW w:w="0" w:type="auto"/>
            <w:vAlign w:val="center"/>
          </w:tcPr>
          <w:p w:rsidR="002E18E7" w:rsidRDefault="001A6E9B">
            <w:pPr>
              <w:jc w:val="center"/>
            </w:pPr>
            <w:r>
              <w:rPr>
                <w:rFonts w:eastAsiaTheme="minorEastAsia"/>
                <w:color w:val="000000"/>
                <w:sz w:val="24"/>
              </w:rPr>
              <w:t>110020</w:t>
            </w:r>
          </w:p>
        </w:tc>
        <w:tc>
          <w:tcPr>
            <w:tcW w:w="0" w:type="auto"/>
            <w:vAlign w:val="center"/>
          </w:tcPr>
          <w:p w:rsidR="002E18E7" w:rsidRDefault="001A6E9B">
            <w:pPr>
              <w:jc w:val="center"/>
            </w:pPr>
            <w:r>
              <w:rPr>
                <w:rFonts w:eastAsiaTheme="minorEastAsia"/>
                <w:color w:val="000000"/>
                <w:sz w:val="24"/>
              </w:rPr>
              <w:t>南山转债</w:t>
            </w:r>
          </w:p>
        </w:tc>
        <w:tc>
          <w:tcPr>
            <w:tcW w:w="0" w:type="auto"/>
            <w:vAlign w:val="center"/>
          </w:tcPr>
          <w:p w:rsidR="002E18E7" w:rsidRDefault="001A6E9B">
            <w:pPr>
              <w:jc w:val="right"/>
            </w:pPr>
            <w:r>
              <w:rPr>
                <w:rFonts w:eastAsiaTheme="minorEastAsia"/>
                <w:color w:val="000000"/>
                <w:sz w:val="24"/>
              </w:rPr>
              <w:t>13,482,000.00</w:t>
            </w:r>
          </w:p>
        </w:tc>
        <w:tc>
          <w:tcPr>
            <w:tcW w:w="0" w:type="auto"/>
            <w:vAlign w:val="center"/>
          </w:tcPr>
          <w:p w:rsidR="002E18E7" w:rsidRDefault="001A6E9B">
            <w:pPr>
              <w:jc w:val="right"/>
            </w:pPr>
            <w:r>
              <w:rPr>
                <w:rFonts w:eastAsiaTheme="minorEastAsia"/>
                <w:color w:val="000000"/>
                <w:sz w:val="24"/>
              </w:rPr>
              <w:t>4.67</w:t>
            </w:r>
          </w:p>
        </w:tc>
      </w:tr>
      <w:tr w:rsidR="002E18E7">
        <w:trPr>
          <w:jc w:val="center"/>
        </w:trPr>
        <w:tc>
          <w:tcPr>
            <w:tcW w:w="0" w:type="auto"/>
            <w:vAlign w:val="center"/>
          </w:tcPr>
          <w:p w:rsidR="002E18E7" w:rsidRDefault="001A6E9B">
            <w:pPr>
              <w:jc w:val="center"/>
            </w:pPr>
            <w:r>
              <w:rPr>
                <w:rFonts w:eastAsiaTheme="minorEastAsia"/>
                <w:color w:val="000000"/>
                <w:sz w:val="24"/>
              </w:rPr>
              <w:t>8</w:t>
            </w:r>
          </w:p>
        </w:tc>
        <w:tc>
          <w:tcPr>
            <w:tcW w:w="0" w:type="auto"/>
            <w:vAlign w:val="center"/>
          </w:tcPr>
          <w:p w:rsidR="002E18E7" w:rsidRDefault="001A6E9B">
            <w:pPr>
              <w:jc w:val="center"/>
            </w:pPr>
            <w:r>
              <w:rPr>
                <w:rFonts w:eastAsiaTheme="minorEastAsia"/>
                <w:color w:val="000000"/>
                <w:sz w:val="24"/>
              </w:rPr>
              <w:t>125089</w:t>
            </w:r>
          </w:p>
        </w:tc>
        <w:tc>
          <w:tcPr>
            <w:tcW w:w="0" w:type="auto"/>
            <w:vAlign w:val="center"/>
          </w:tcPr>
          <w:p w:rsidR="002E18E7" w:rsidRDefault="001A6E9B">
            <w:pPr>
              <w:jc w:val="center"/>
            </w:pPr>
            <w:r>
              <w:rPr>
                <w:rFonts w:eastAsiaTheme="minorEastAsia"/>
                <w:color w:val="000000"/>
                <w:sz w:val="24"/>
              </w:rPr>
              <w:t>深机转债</w:t>
            </w:r>
          </w:p>
        </w:tc>
        <w:tc>
          <w:tcPr>
            <w:tcW w:w="0" w:type="auto"/>
            <w:vAlign w:val="center"/>
          </w:tcPr>
          <w:p w:rsidR="002E18E7" w:rsidRDefault="001A6E9B">
            <w:pPr>
              <w:jc w:val="right"/>
            </w:pPr>
            <w:r>
              <w:rPr>
                <w:rFonts w:eastAsiaTheme="minorEastAsia"/>
                <w:color w:val="000000"/>
                <w:sz w:val="24"/>
              </w:rPr>
              <w:t>10,867,339.70</w:t>
            </w:r>
          </w:p>
        </w:tc>
        <w:tc>
          <w:tcPr>
            <w:tcW w:w="0" w:type="auto"/>
            <w:vAlign w:val="center"/>
          </w:tcPr>
          <w:p w:rsidR="002E18E7" w:rsidRDefault="001A6E9B">
            <w:pPr>
              <w:jc w:val="right"/>
            </w:pPr>
            <w:r>
              <w:rPr>
                <w:rFonts w:eastAsiaTheme="minorEastAsia"/>
                <w:color w:val="000000"/>
                <w:sz w:val="24"/>
              </w:rPr>
              <w:t>3.77</w:t>
            </w:r>
          </w:p>
        </w:tc>
      </w:tr>
      <w:tr w:rsidR="002E18E7">
        <w:trPr>
          <w:jc w:val="center"/>
        </w:trPr>
        <w:tc>
          <w:tcPr>
            <w:tcW w:w="0" w:type="auto"/>
            <w:vAlign w:val="center"/>
          </w:tcPr>
          <w:p w:rsidR="002E18E7" w:rsidRDefault="001A6E9B">
            <w:pPr>
              <w:jc w:val="center"/>
            </w:pPr>
            <w:r>
              <w:rPr>
                <w:rFonts w:eastAsiaTheme="minorEastAsia"/>
                <w:color w:val="000000"/>
                <w:sz w:val="24"/>
              </w:rPr>
              <w:t>9</w:t>
            </w:r>
          </w:p>
        </w:tc>
        <w:tc>
          <w:tcPr>
            <w:tcW w:w="0" w:type="auto"/>
            <w:vAlign w:val="center"/>
          </w:tcPr>
          <w:p w:rsidR="002E18E7" w:rsidRDefault="001A6E9B">
            <w:pPr>
              <w:jc w:val="center"/>
            </w:pPr>
            <w:r>
              <w:rPr>
                <w:rFonts w:eastAsiaTheme="minorEastAsia"/>
                <w:color w:val="000000"/>
                <w:sz w:val="24"/>
              </w:rPr>
              <w:t>110016</w:t>
            </w:r>
          </w:p>
        </w:tc>
        <w:tc>
          <w:tcPr>
            <w:tcW w:w="0" w:type="auto"/>
            <w:vAlign w:val="center"/>
          </w:tcPr>
          <w:p w:rsidR="002E18E7" w:rsidRDefault="001A6E9B">
            <w:pPr>
              <w:jc w:val="center"/>
            </w:pPr>
            <w:r>
              <w:rPr>
                <w:rFonts w:eastAsiaTheme="minorEastAsia"/>
                <w:color w:val="000000"/>
                <w:sz w:val="24"/>
              </w:rPr>
              <w:t>川投转债</w:t>
            </w:r>
          </w:p>
        </w:tc>
        <w:tc>
          <w:tcPr>
            <w:tcW w:w="0" w:type="auto"/>
            <w:vAlign w:val="center"/>
          </w:tcPr>
          <w:p w:rsidR="002E18E7" w:rsidRDefault="001A6E9B">
            <w:pPr>
              <w:jc w:val="right"/>
            </w:pPr>
            <w:r>
              <w:rPr>
                <w:rFonts w:eastAsiaTheme="minorEastAsia"/>
                <w:color w:val="000000"/>
                <w:sz w:val="24"/>
              </w:rPr>
              <w:t>10,005,600.00</w:t>
            </w:r>
          </w:p>
        </w:tc>
        <w:tc>
          <w:tcPr>
            <w:tcW w:w="0" w:type="auto"/>
            <w:vAlign w:val="center"/>
          </w:tcPr>
          <w:p w:rsidR="002E18E7" w:rsidRDefault="001A6E9B">
            <w:pPr>
              <w:jc w:val="right"/>
            </w:pPr>
            <w:r>
              <w:rPr>
                <w:rFonts w:eastAsiaTheme="minorEastAsia"/>
                <w:color w:val="000000"/>
                <w:sz w:val="24"/>
              </w:rPr>
              <w:t>3.47</w:t>
            </w:r>
          </w:p>
        </w:tc>
      </w:tr>
      <w:tr w:rsidR="002E18E7">
        <w:trPr>
          <w:jc w:val="center"/>
        </w:trPr>
        <w:tc>
          <w:tcPr>
            <w:tcW w:w="0" w:type="auto"/>
            <w:vAlign w:val="center"/>
          </w:tcPr>
          <w:p w:rsidR="002E18E7" w:rsidRDefault="001A6E9B">
            <w:pPr>
              <w:jc w:val="center"/>
            </w:pPr>
            <w:r>
              <w:rPr>
                <w:rFonts w:eastAsiaTheme="minorEastAsia"/>
                <w:color w:val="000000"/>
                <w:sz w:val="24"/>
              </w:rPr>
              <w:t>10</w:t>
            </w:r>
          </w:p>
        </w:tc>
        <w:tc>
          <w:tcPr>
            <w:tcW w:w="0" w:type="auto"/>
            <w:vAlign w:val="center"/>
          </w:tcPr>
          <w:p w:rsidR="002E18E7" w:rsidRDefault="001A6E9B">
            <w:pPr>
              <w:jc w:val="center"/>
            </w:pPr>
            <w:r>
              <w:rPr>
                <w:rFonts w:eastAsiaTheme="minorEastAsia"/>
                <w:color w:val="000000"/>
                <w:sz w:val="24"/>
              </w:rPr>
              <w:t>110017</w:t>
            </w:r>
          </w:p>
        </w:tc>
        <w:tc>
          <w:tcPr>
            <w:tcW w:w="0" w:type="auto"/>
            <w:vAlign w:val="center"/>
          </w:tcPr>
          <w:p w:rsidR="002E18E7" w:rsidRDefault="001A6E9B">
            <w:pPr>
              <w:jc w:val="center"/>
            </w:pPr>
            <w:r>
              <w:rPr>
                <w:rFonts w:eastAsiaTheme="minorEastAsia"/>
                <w:color w:val="000000"/>
                <w:sz w:val="24"/>
              </w:rPr>
              <w:t>中海转债</w:t>
            </w:r>
          </w:p>
        </w:tc>
        <w:tc>
          <w:tcPr>
            <w:tcW w:w="0" w:type="auto"/>
            <w:vAlign w:val="center"/>
          </w:tcPr>
          <w:p w:rsidR="002E18E7" w:rsidRDefault="001A6E9B">
            <w:pPr>
              <w:jc w:val="right"/>
            </w:pPr>
            <w:r>
              <w:rPr>
                <w:rFonts w:eastAsiaTheme="minorEastAsia"/>
                <w:color w:val="000000"/>
                <w:sz w:val="24"/>
              </w:rPr>
              <w:t>5,535,810.00</w:t>
            </w:r>
          </w:p>
        </w:tc>
        <w:tc>
          <w:tcPr>
            <w:tcW w:w="0" w:type="auto"/>
            <w:vAlign w:val="center"/>
          </w:tcPr>
          <w:p w:rsidR="002E18E7" w:rsidRDefault="001A6E9B">
            <w:pPr>
              <w:jc w:val="right"/>
            </w:pPr>
            <w:r>
              <w:rPr>
                <w:rFonts w:eastAsiaTheme="minorEastAsia"/>
                <w:color w:val="000000"/>
                <w:sz w:val="24"/>
              </w:rPr>
              <w:t>1.92</w:t>
            </w:r>
          </w:p>
        </w:tc>
      </w:tr>
      <w:tr w:rsidR="002E18E7">
        <w:trPr>
          <w:jc w:val="center"/>
        </w:trPr>
        <w:tc>
          <w:tcPr>
            <w:tcW w:w="0" w:type="auto"/>
            <w:vAlign w:val="center"/>
          </w:tcPr>
          <w:p w:rsidR="002E18E7" w:rsidRDefault="001A6E9B">
            <w:pPr>
              <w:jc w:val="center"/>
            </w:pPr>
            <w:r>
              <w:rPr>
                <w:rFonts w:eastAsiaTheme="minorEastAsia"/>
                <w:color w:val="000000"/>
                <w:sz w:val="24"/>
              </w:rPr>
              <w:t>11</w:t>
            </w:r>
          </w:p>
        </w:tc>
        <w:tc>
          <w:tcPr>
            <w:tcW w:w="0" w:type="auto"/>
            <w:vAlign w:val="center"/>
          </w:tcPr>
          <w:p w:rsidR="002E18E7" w:rsidRDefault="001A6E9B">
            <w:pPr>
              <w:jc w:val="center"/>
            </w:pPr>
            <w:r>
              <w:rPr>
                <w:rFonts w:eastAsiaTheme="minorEastAsia"/>
                <w:color w:val="000000"/>
                <w:sz w:val="24"/>
              </w:rPr>
              <w:t>110011</w:t>
            </w:r>
          </w:p>
        </w:tc>
        <w:tc>
          <w:tcPr>
            <w:tcW w:w="0" w:type="auto"/>
            <w:vAlign w:val="center"/>
          </w:tcPr>
          <w:p w:rsidR="002E18E7" w:rsidRDefault="001A6E9B">
            <w:pPr>
              <w:jc w:val="center"/>
            </w:pPr>
            <w:r>
              <w:rPr>
                <w:rFonts w:eastAsiaTheme="minorEastAsia"/>
                <w:color w:val="000000"/>
                <w:sz w:val="24"/>
              </w:rPr>
              <w:t>歌华转债</w:t>
            </w:r>
          </w:p>
        </w:tc>
        <w:tc>
          <w:tcPr>
            <w:tcW w:w="0" w:type="auto"/>
            <w:vAlign w:val="center"/>
          </w:tcPr>
          <w:p w:rsidR="002E18E7" w:rsidRDefault="001A6E9B">
            <w:pPr>
              <w:jc w:val="right"/>
            </w:pPr>
            <w:r>
              <w:rPr>
                <w:rFonts w:eastAsiaTheme="minorEastAsia"/>
                <w:color w:val="000000"/>
                <w:sz w:val="24"/>
              </w:rPr>
              <w:t>2,907,900.00</w:t>
            </w:r>
          </w:p>
        </w:tc>
        <w:tc>
          <w:tcPr>
            <w:tcW w:w="0" w:type="auto"/>
            <w:vAlign w:val="center"/>
          </w:tcPr>
          <w:p w:rsidR="002E18E7" w:rsidRDefault="001A6E9B">
            <w:pPr>
              <w:jc w:val="right"/>
            </w:pPr>
            <w:r>
              <w:rPr>
                <w:rFonts w:eastAsiaTheme="minorEastAsia"/>
                <w:color w:val="000000"/>
                <w:sz w:val="24"/>
              </w:rPr>
              <w:t>1.01</w:t>
            </w:r>
          </w:p>
        </w:tc>
      </w:tr>
      <w:tr w:rsidR="002E18E7">
        <w:trPr>
          <w:jc w:val="center"/>
        </w:trPr>
        <w:tc>
          <w:tcPr>
            <w:tcW w:w="0" w:type="auto"/>
            <w:vAlign w:val="center"/>
          </w:tcPr>
          <w:p w:rsidR="002E18E7" w:rsidRDefault="001A6E9B">
            <w:pPr>
              <w:jc w:val="center"/>
            </w:pPr>
            <w:r>
              <w:rPr>
                <w:rFonts w:eastAsiaTheme="minorEastAsia"/>
                <w:color w:val="000000"/>
                <w:sz w:val="24"/>
              </w:rPr>
              <w:t>12</w:t>
            </w:r>
          </w:p>
        </w:tc>
        <w:tc>
          <w:tcPr>
            <w:tcW w:w="0" w:type="auto"/>
            <w:vAlign w:val="center"/>
          </w:tcPr>
          <w:p w:rsidR="002E18E7" w:rsidRDefault="001A6E9B">
            <w:pPr>
              <w:jc w:val="center"/>
            </w:pPr>
            <w:r>
              <w:rPr>
                <w:rFonts w:eastAsiaTheme="minorEastAsia"/>
                <w:color w:val="000000"/>
                <w:sz w:val="24"/>
              </w:rPr>
              <w:t>127001</w:t>
            </w:r>
          </w:p>
        </w:tc>
        <w:tc>
          <w:tcPr>
            <w:tcW w:w="0" w:type="auto"/>
            <w:vAlign w:val="center"/>
          </w:tcPr>
          <w:p w:rsidR="002E18E7" w:rsidRDefault="001A6E9B">
            <w:pPr>
              <w:jc w:val="center"/>
            </w:pPr>
            <w:r>
              <w:rPr>
                <w:rFonts w:eastAsiaTheme="minorEastAsia"/>
                <w:color w:val="000000"/>
                <w:sz w:val="24"/>
              </w:rPr>
              <w:t>海直转债</w:t>
            </w:r>
          </w:p>
        </w:tc>
        <w:tc>
          <w:tcPr>
            <w:tcW w:w="0" w:type="auto"/>
            <w:vAlign w:val="center"/>
          </w:tcPr>
          <w:p w:rsidR="002E18E7" w:rsidRDefault="001A6E9B">
            <w:pPr>
              <w:jc w:val="right"/>
            </w:pPr>
            <w:r>
              <w:rPr>
                <w:rFonts w:eastAsiaTheme="minorEastAsia"/>
                <w:color w:val="000000"/>
                <w:sz w:val="24"/>
              </w:rPr>
              <w:t>2,514,680.00</w:t>
            </w:r>
          </w:p>
        </w:tc>
        <w:tc>
          <w:tcPr>
            <w:tcW w:w="0" w:type="auto"/>
            <w:vAlign w:val="center"/>
          </w:tcPr>
          <w:p w:rsidR="002E18E7" w:rsidRDefault="001A6E9B">
            <w:pPr>
              <w:jc w:val="right"/>
            </w:pPr>
            <w:r>
              <w:rPr>
                <w:rFonts w:eastAsiaTheme="minorEastAsia"/>
                <w:color w:val="000000"/>
                <w:sz w:val="24"/>
              </w:rPr>
              <w:t>0.87</w:t>
            </w:r>
          </w:p>
        </w:tc>
      </w:tr>
      <w:tr w:rsidR="002E18E7">
        <w:trPr>
          <w:jc w:val="center"/>
        </w:trPr>
        <w:tc>
          <w:tcPr>
            <w:tcW w:w="0" w:type="auto"/>
            <w:vAlign w:val="center"/>
          </w:tcPr>
          <w:p w:rsidR="002E18E7" w:rsidRDefault="001A6E9B">
            <w:pPr>
              <w:jc w:val="center"/>
            </w:pPr>
            <w:r>
              <w:rPr>
                <w:rFonts w:eastAsiaTheme="minorEastAsia"/>
                <w:color w:val="000000"/>
                <w:sz w:val="24"/>
              </w:rPr>
              <w:t>13</w:t>
            </w:r>
          </w:p>
        </w:tc>
        <w:tc>
          <w:tcPr>
            <w:tcW w:w="0" w:type="auto"/>
            <w:vAlign w:val="center"/>
          </w:tcPr>
          <w:p w:rsidR="002E18E7" w:rsidRDefault="001A6E9B">
            <w:pPr>
              <w:jc w:val="center"/>
            </w:pPr>
            <w:r>
              <w:rPr>
                <w:rFonts w:eastAsiaTheme="minorEastAsia"/>
                <w:color w:val="000000"/>
                <w:sz w:val="24"/>
              </w:rPr>
              <w:t>125887</w:t>
            </w:r>
          </w:p>
        </w:tc>
        <w:tc>
          <w:tcPr>
            <w:tcW w:w="0" w:type="auto"/>
            <w:vAlign w:val="center"/>
          </w:tcPr>
          <w:p w:rsidR="002E18E7" w:rsidRDefault="001A6E9B">
            <w:pPr>
              <w:jc w:val="center"/>
            </w:pPr>
            <w:r>
              <w:rPr>
                <w:rFonts w:eastAsiaTheme="minorEastAsia"/>
                <w:color w:val="000000"/>
                <w:sz w:val="24"/>
              </w:rPr>
              <w:t>中鼎转债</w:t>
            </w:r>
          </w:p>
        </w:tc>
        <w:tc>
          <w:tcPr>
            <w:tcW w:w="0" w:type="auto"/>
            <w:vAlign w:val="center"/>
          </w:tcPr>
          <w:p w:rsidR="002E18E7" w:rsidRDefault="001A6E9B">
            <w:pPr>
              <w:jc w:val="right"/>
            </w:pPr>
            <w:r>
              <w:rPr>
                <w:rFonts w:eastAsiaTheme="minorEastAsia"/>
                <w:color w:val="000000"/>
                <w:sz w:val="24"/>
              </w:rPr>
              <w:t>837,264.75</w:t>
            </w:r>
          </w:p>
        </w:tc>
        <w:tc>
          <w:tcPr>
            <w:tcW w:w="0" w:type="auto"/>
            <w:vAlign w:val="center"/>
          </w:tcPr>
          <w:p w:rsidR="002E18E7" w:rsidRDefault="001A6E9B">
            <w:pPr>
              <w:jc w:val="right"/>
            </w:pPr>
            <w:r>
              <w:rPr>
                <w:rFonts w:eastAsiaTheme="minorEastAsia"/>
                <w:color w:val="000000"/>
                <w:sz w:val="24"/>
              </w:rPr>
              <w:t>0.29</w:t>
            </w:r>
          </w:p>
        </w:tc>
      </w:tr>
    </w:tbl>
    <w:p w:rsidR="001D5CD0" w:rsidRPr="007F52FA" w:rsidRDefault="001D5CD0"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本基金本报告期末前十名股票中不存在流通受限的情况。</w:t>
      </w:r>
    </w:p>
    <w:p w:rsidR="001D5CD0" w:rsidRPr="007F52FA" w:rsidRDefault="001D5CD0" w:rsidP="00761982">
      <w:pPr>
        <w:spacing w:before="29" w:line="288" w:lineRule="auto"/>
        <w:rPr>
          <w:rFonts w:eastAsiaTheme="minorEastAsia"/>
          <w:sz w:val="24"/>
        </w:rPr>
      </w:pPr>
    </w:p>
    <w:p w:rsidR="001D5CD0" w:rsidRPr="007F52FA" w:rsidRDefault="001D5CD0" w:rsidP="00761982">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691393">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DA27AC">
      <w:pPr>
        <w:spacing w:before="29" w:line="288" w:lineRule="auto"/>
        <w:rPr>
          <w:rFonts w:eastAsiaTheme="minorEastAsia"/>
          <w:color w:val="000000"/>
          <w:sz w:val="24"/>
        </w:rPr>
      </w:pPr>
    </w:p>
    <w:p w:rsidR="009238DB" w:rsidRPr="007F52FA" w:rsidRDefault="009238DB" w:rsidP="00B3342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61982">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280,194,151.67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92,975,912.75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2,357,880.28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14,664,602.11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60,485,670.94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46,344,690.76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222,066,361.01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61,295,824.10</w:t>
            </w:r>
          </w:p>
        </w:tc>
      </w:tr>
    </w:tbl>
    <w:p w:rsidR="002E18E7" w:rsidRDefault="001A6E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61982">
      <w:pPr>
        <w:autoSpaceDE w:val="0"/>
        <w:autoSpaceDN w:val="0"/>
        <w:adjustRightInd w:val="0"/>
        <w:spacing w:before="29" w:line="288" w:lineRule="auto"/>
        <w:jc w:val="left"/>
        <w:rPr>
          <w:rFonts w:eastAsiaTheme="minorEastAsia"/>
          <w:color w:val="000000"/>
          <w:sz w:val="24"/>
        </w:rPr>
      </w:pPr>
    </w:p>
    <w:p w:rsidR="000673DA" w:rsidRPr="000673DA" w:rsidRDefault="000673DA" w:rsidP="00B3342E">
      <w:pPr>
        <w:pStyle w:val="1"/>
        <w:tabs>
          <w:tab w:val="center" w:pos="4156"/>
          <w:tab w:val="right" w:pos="8312"/>
        </w:tabs>
        <w:spacing w:beforeLines="100" w:before="312" w:afterLines="100" w:after="312" w:line="360"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0673DA">
      <w:pPr>
        <w:spacing w:line="360" w:lineRule="auto"/>
        <w:jc w:val="left"/>
        <w:rPr>
          <w:sz w:val="24"/>
        </w:rPr>
      </w:pPr>
      <w:r w:rsidRPr="000673DA">
        <w:rPr>
          <w:b/>
          <w:sz w:val="24"/>
        </w:rPr>
        <w:t xml:space="preserve">7.1 </w:t>
      </w:r>
      <w:r w:rsidRPr="000673DA">
        <w:rPr>
          <w:rFonts w:hAnsi="宋体"/>
          <w:b/>
          <w:sz w:val="24"/>
        </w:rPr>
        <w:t>基金管理人持有本基金份额变动情况</w:t>
      </w:r>
    </w:p>
    <w:p w:rsidR="000673DA" w:rsidRPr="000673DA" w:rsidRDefault="000673DA" w:rsidP="000673DA">
      <w:pPr>
        <w:autoSpaceDE w:val="0"/>
        <w:autoSpaceDN w:val="0"/>
        <w:adjustRightInd w:val="0"/>
        <w:spacing w:before="29" w:line="360" w:lineRule="auto"/>
        <w:ind w:left="15"/>
        <w:jc w:val="right"/>
        <w:rPr>
          <w:color w:val="000000"/>
          <w:kern w:val="0"/>
          <w:sz w:val="24"/>
        </w:rPr>
      </w:pPr>
      <w:r w:rsidRPr="000673DA">
        <w:rPr>
          <w:rFonts w:hAnsi="宋体"/>
          <w:color w:val="000000"/>
          <w:kern w:val="0"/>
          <w:sz w:val="24"/>
        </w:rPr>
        <w:t>单位：份</w:t>
      </w:r>
    </w:p>
    <w:tbl>
      <w:tblPr>
        <w:tblW w:w="8868" w:type="dxa"/>
        <w:jc w:val="center"/>
        <w:tblLayout w:type="fixed"/>
        <w:tblLook w:val="0000" w:firstRow="0" w:lastRow="0" w:firstColumn="0" w:lastColumn="0" w:noHBand="0" w:noVBand="0"/>
      </w:tblPr>
      <w:tblGrid>
        <w:gridCol w:w="5308"/>
        <w:gridCol w:w="3560"/>
      </w:tblGrid>
      <w:tr w:rsidR="000673DA" w:rsidRPr="000673DA" w:rsidTr="000673DA">
        <w:trPr>
          <w:jc w:val="center"/>
        </w:trPr>
        <w:tc>
          <w:tcPr>
            <w:tcW w:w="504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pStyle w:val="ac"/>
              <w:adjustRightInd w:val="0"/>
              <w:snapToGrid w:val="0"/>
              <w:spacing w:line="360" w:lineRule="exact"/>
              <w:rPr>
                <w:color w:val="000000"/>
                <w:szCs w:val="24"/>
              </w:rPr>
            </w:pPr>
            <w:r w:rsidRPr="000673DA">
              <w:rPr>
                <w:rFonts w:hAnsi="宋体"/>
                <w:color w:val="000000"/>
                <w:szCs w:val="24"/>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sz w:val="24"/>
              </w:rPr>
            </w:pPr>
            <w:r w:rsidRPr="000673DA">
              <w:rPr>
                <w:color w:val="000000"/>
                <w:sz w:val="24"/>
              </w:rPr>
              <w:t>21,571,883.27</w:t>
            </w:r>
          </w:p>
        </w:tc>
      </w:tr>
      <w:tr w:rsidR="000673DA" w:rsidRPr="000673DA" w:rsidTr="000673DA">
        <w:trPr>
          <w:jc w:val="center"/>
        </w:trPr>
        <w:tc>
          <w:tcPr>
            <w:tcW w:w="504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adjustRightInd w:val="0"/>
              <w:snapToGrid w:val="0"/>
              <w:spacing w:line="360" w:lineRule="exact"/>
              <w:rPr>
                <w:color w:val="000000"/>
                <w:sz w:val="24"/>
              </w:rPr>
            </w:pPr>
            <w:r w:rsidRPr="000673DA">
              <w:rPr>
                <w:color w:val="000000"/>
                <w:kern w:val="0"/>
                <w:sz w:val="24"/>
              </w:rPr>
              <w:t>本报告期</w:t>
            </w:r>
            <w:r w:rsidRPr="000673DA">
              <w:rPr>
                <w:rFonts w:hAnsi="宋体"/>
                <w:color w:val="000000"/>
                <w:sz w:val="24"/>
              </w:rPr>
              <w:t>买入</w:t>
            </w:r>
            <w:r w:rsidRPr="000673DA">
              <w:rPr>
                <w:color w:val="000000"/>
                <w:sz w:val="24"/>
              </w:rPr>
              <w:t>/</w:t>
            </w:r>
            <w:r w:rsidRPr="000673DA">
              <w:rPr>
                <w:rFonts w:hAnsi="宋体"/>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color w:val="000000"/>
                <w:kern w:val="0"/>
                <w:sz w:val="24"/>
              </w:rPr>
            </w:pPr>
            <w:r w:rsidRPr="000673DA">
              <w:rPr>
                <w:color w:val="000000"/>
                <w:sz w:val="24"/>
              </w:rPr>
              <w:t>-</w:t>
            </w:r>
          </w:p>
        </w:tc>
      </w:tr>
      <w:tr w:rsidR="000673DA" w:rsidRPr="000673DA" w:rsidTr="000673DA">
        <w:trPr>
          <w:jc w:val="center"/>
        </w:trPr>
        <w:tc>
          <w:tcPr>
            <w:tcW w:w="504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adjustRightInd w:val="0"/>
              <w:snapToGrid w:val="0"/>
              <w:spacing w:line="360" w:lineRule="exact"/>
              <w:rPr>
                <w:color w:val="000000"/>
                <w:sz w:val="24"/>
              </w:rPr>
            </w:pPr>
            <w:r w:rsidRPr="000673DA">
              <w:rPr>
                <w:color w:val="000000"/>
                <w:kern w:val="0"/>
                <w:sz w:val="24"/>
              </w:rPr>
              <w:t>本报告期</w:t>
            </w:r>
            <w:r w:rsidRPr="000673DA">
              <w:rPr>
                <w:rFonts w:hAnsi="宋体"/>
                <w:color w:val="000000"/>
                <w:sz w:val="24"/>
              </w:rPr>
              <w:t>卖出</w:t>
            </w:r>
            <w:r w:rsidRPr="000673DA">
              <w:rPr>
                <w:color w:val="000000"/>
                <w:sz w:val="24"/>
              </w:rPr>
              <w:t>/</w:t>
            </w:r>
            <w:r w:rsidRPr="000673DA">
              <w:rPr>
                <w:rFonts w:hAnsi="宋体"/>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color w:val="000000"/>
                <w:kern w:val="0"/>
                <w:sz w:val="24"/>
              </w:rPr>
            </w:pPr>
            <w:r w:rsidRPr="000673DA">
              <w:rPr>
                <w:color w:val="000000"/>
                <w:sz w:val="24"/>
              </w:rPr>
              <w:t>-</w:t>
            </w:r>
          </w:p>
        </w:tc>
      </w:tr>
      <w:tr w:rsidR="000673DA" w:rsidRPr="000673DA" w:rsidTr="000673DA">
        <w:trPr>
          <w:jc w:val="center"/>
        </w:trPr>
        <w:tc>
          <w:tcPr>
            <w:tcW w:w="504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adjustRightInd w:val="0"/>
              <w:snapToGrid w:val="0"/>
              <w:spacing w:line="360" w:lineRule="exact"/>
              <w:rPr>
                <w:color w:val="000000"/>
                <w:sz w:val="24"/>
              </w:rPr>
            </w:pPr>
            <w:r w:rsidRPr="000673DA">
              <w:rPr>
                <w:rFonts w:hAnsi="宋体"/>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sz w:val="24"/>
              </w:rPr>
            </w:pPr>
            <w:r w:rsidRPr="000673DA">
              <w:rPr>
                <w:color w:val="000000"/>
                <w:sz w:val="24"/>
              </w:rPr>
              <w:t>21,571,883.27</w:t>
            </w:r>
          </w:p>
        </w:tc>
      </w:tr>
      <w:tr w:rsidR="000673DA" w:rsidRPr="000673DA" w:rsidTr="000673DA">
        <w:trPr>
          <w:jc w:val="center"/>
        </w:trPr>
        <w:tc>
          <w:tcPr>
            <w:tcW w:w="504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adjustRightInd w:val="0"/>
              <w:snapToGrid w:val="0"/>
              <w:spacing w:line="360" w:lineRule="exact"/>
              <w:rPr>
                <w:color w:val="000000"/>
                <w:sz w:val="24"/>
              </w:rPr>
            </w:pPr>
            <w:r w:rsidRPr="000673DA">
              <w:rPr>
                <w:rFonts w:hAnsi="宋体"/>
                <w:color w:val="000000"/>
                <w:sz w:val="24"/>
              </w:rPr>
              <w:t>报告期期末持有的本基金份额占基金总份额比例（</w:t>
            </w:r>
            <w:r w:rsidRPr="000673DA">
              <w:rPr>
                <w:color w:val="000000"/>
                <w:sz w:val="24"/>
              </w:rPr>
              <w:t>%</w:t>
            </w:r>
            <w:r w:rsidRPr="000673DA">
              <w:rPr>
                <w:rFonts w:hAnsi="宋体"/>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color w:val="000000"/>
                <w:kern w:val="0"/>
                <w:sz w:val="24"/>
              </w:rPr>
            </w:pPr>
            <w:r w:rsidRPr="000673DA">
              <w:rPr>
                <w:color w:val="000000"/>
                <w:sz w:val="24"/>
              </w:rPr>
              <w:t>7.61</w:t>
            </w:r>
          </w:p>
        </w:tc>
      </w:tr>
    </w:tbl>
    <w:p w:rsidR="002E18E7" w:rsidRDefault="001A6E9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Default="000673DA" w:rsidP="008A3BCC">
      <w:pPr>
        <w:autoSpaceDE w:val="0"/>
        <w:autoSpaceDN w:val="0"/>
        <w:adjustRightInd w:val="0"/>
        <w:spacing w:before="29" w:line="288" w:lineRule="auto"/>
        <w:jc w:val="left"/>
        <w:rPr>
          <w:color w:val="000000"/>
          <w:sz w:val="24"/>
        </w:rPr>
      </w:pPr>
      <w:r w:rsidRPr="000673DA">
        <w:rPr>
          <w:color w:val="000000"/>
          <w:sz w:val="24"/>
        </w:rPr>
        <w:t xml:space="preserve">    2</w:t>
      </w:r>
      <w:r w:rsidRPr="000673DA">
        <w:rPr>
          <w:color w:val="000000"/>
          <w:sz w:val="24"/>
        </w:rPr>
        <w:t>、如果本报告期间发生转换出业务，则总赎回份额中包含该业务。</w:t>
      </w:r>
    </w:p>
    <w:p w:rsidR="008A3BCC" w:rsidRDefault="008A3BCC" w:rsidP="008A3BCC">
      <w:pPr>
        <w:autoSpaceDE w:val="0"/>
        <w:autoSpaceDN w:val="0"/>
        <w:adjustRightInd w:val="0"/>
        <w:spacing w:before="29" w:line="288" w:lineRule="auto"/>
        <w:jc w:val="left"/>
        <w:rPr>
          <w:color w:val="000000"/>
          <w:sz w:val="24"/>
        </w:rPr>
      </w:pPr>
    </w:p>
    <w:p w:rsidR="008A3BCC" w:rsidRPr="008A3BCC" w:rsidRDefault="000673DA" w:rsidP="00B3342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Default="00285618"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1E4185" w:rsidRPr="007F52FA" w:rsidRDefault="001E4185" w:rsidP="00761982">
      <w:pPr>
        <w:autoSpaceDE w:val="0"/>
        <w:autoSpaceDN w:val="0"/>
        <w:adjustRightInd w:val="0"/>
        <w:spacing w:before="29" w:line="288" w:lineRule="auto"/>
        <w:jc w:val="left"/>
        <w:rPr>
          <w:rFonts w:eastAsiaTheme="minorEastAsia"/>
          <w:color w:val="000000"/>
          <w:sz w:val="24"/>
        </w:rPr>
      </w:pPr>
    </w:p>
    <w:p w:rsidR="001E4185" w:rsidRPr="00414345" w:rsidRDefault="001E4185" w:rsidP="001E418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1E4185" w:rsidRPr="00414345" w:rsidRDefault="001E4185" w:rsidP="001E4185">
      <w:pPr>
        <w:spacing w:before="29" w:line="288" w:lineRule="auto"/>
        <w:ind w:firstLineChars="200" w:firstLine="480"/>
        <w:rPr>
          <w:color w:val="000000"/>
          <w:sz w:val="24"/>
        </w:rPr>
      </w:pPr>
      <w:r w:rsidRPr="00832482">
        <w:rPr>
          <w:rFonts w:hint="eastAsia"/>
          <w:color w:val="000000"/>
          <w:sz w:val="24"/>
        </w:rPr>
        <w:t>本基金托管人</w:t>
      </w:r>
      <w:r w:rsidRPr="00832482">
        <w:rPr>
          <w:rFonts w:hint="eastAsia"/>
          <w:color w:val="000000"/>
          <w:sz w:val="24"/>
        </w:rPr>
        <w:t>2014</w:t>
      </w:r>
      <w:r w:rsidRPr="00832482">
        <w:rPr>
          <w:rFonts w:hint="eastAsia"/>
          <w:color w:val="000000"/>
          <w:sz w:val="24"/>
        </w:rPr>
        <w:t>年</w:t>
      </w:r>
      <w:r w:rsidRPr="00832482">
        <w:rPr>
          <w:rFonts w:hint="eastAsia"/>
          <w:color w:val="000000"/>
          <w:sz w:val="24"/>
        </w:rPr>
        <w:t>2</w:t>
      </w:r>
      <w:r w:rsidRPr="00832482">
        <w:rPr>
          <w:rFonts w:hint="eastAsia"/>
          <w:color w:val="000000"/>
          <w:sz w:val="24"/>
        </w:rPr>
        <w:t>月</w:t>
      </w:r>
      <w:r w:rsidRPr="00832482">
        <w:rPr>
          <w:rFonts w:hint="eastAsia"/>
          <w:color w:val="000000"/>
          <w:sz w:val="24"/>
        </w:rPr>
        <w:t>7</w:t>
      </w:r>
      <w:r w:rsidRPr="00832482">
        <w:rPr>
          <w:rFonts w:hint="eastAsia"/>
          <w:color w:val="000000"/>
          <w:sz w:val="24"/>
        </w:rPr>
        <w:t>日发布任免通知，解聘尹东中国建设银行投资托管业务部总经理助理职务。</w:t>
      </w:r>
    </w:p>
    <w:p w:rsidR="00F2646E" w:rsidRPr="001E4185" w:rsidRDefault="00F2646E" w:rsidP="00761982">
      <w:pPr>
        <w:autoSpaceDE w:val="0"/>
        <w:autoSpaceDN w:val="0"/>
        <w:adjustRightInd w:val="0"/>
        <w:spacing w:before="29" w:line="288" w:lineRule="auto"/>
        <w:jc w:val="left"/>
        <w:rPr>
          <w:rFonts w:eastAsiaTheme="minorEastAsia"/>
          <w:color w:val="000000"/>
          <w:sz w:val="24"/>
        </w:rPr>
      </w:pPr>
    </w:p>
    <w:p w:rsidR="009238DB" w:rsidRPr="007F52FA" w:rsidRDefault="009238DB" w:rsidP="00B3342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1E4185">
        <w:rPr>
          <w:rFonts w:eastAsiaTheme="minorEastAsia"/>
          <w:color w:val="000000"/>
          <w:kern w:val="0"/>
          <w:sz w:val="24"/>
          <w:szCs w:val="24"/>
        </w:rPr>
        <w:t>9</w:t>
      </w:r>
      <w:r w:rsidR="001E418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1E4185"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1E4185"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1E4185"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2E18E7" w:rsidRDefault="001A6E9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4D36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4D36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3D" w:rsidRDefault="0044293D">
      <w:r>
        <w:separator/>
      </w:r>
    </w:p>
  </w:endnote>
  <w:endnote w:type="continuationSeparator" w:id="0">
    <w:p w:rsidR="0044293D" w:rsidRDefault="0044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2E18E7">
      <w:rPr>
        <w:kern w:val="0"/>
        <w:szCs w:val="21"/>
      </w:rPr>
      <w:fldChar w:fldCharType="begin"/>
    </w:r>
    <w:r>
      <w:rPr>
        <w:kern w:val="0"/>
        <w:szCs w:val="21"/>
      </w:rPr>
      <w:instrText xml:space="preserve"> PAGE </w:instrText>
    </w:r>
    <w:r w:rsidR="002E18E7">
      <w:rPr>
        <w:kern w:val="0"/>
        <w:szCs w:val="21"/>
      </w:rPr>
      <w:fldChar w:fldCharType="separate"/>
    </w:r>
    <w:r w:rsidR="008B55DD">
      <w:rPr>
        <w:noProof/>
        <w:kern w:val="0"/>
        <w:szCs w:val="21"/>
      </w:rPr>
      <w:t>1</w:t>
    </w:r>
    <w:r w:rsidR="002E18E7">
      <w:rPr>
        <w:kern w:val="0"/>
        <w:szCs w:val="21"/>
      </w:rPr>
      <w:fldChar w:fldCharType="end"/>
    </w:r>
    <w:r>
      <w:rPr>
        <w:rFonts w:hint="eastAsia"/>
        <w:kern w:val="0"/>
        <w:szCs w:val="21"/>
      </w:rPr>
      <w:t>页共</w:t>
    </w:r>
    <w:r w:rsidR="002E18E7">
      <w:rPr>
        <w:kern w:val="0"/>
        <w:szCs w:val="21"/>
      </w:rPr>
      <w:fldChar w:fldCharType="begin"/>
    </w:r>
    <w:r>
      <w:rPr>
        <w:kern w:val="0"/>
        <w:szCs w:val="21"/>
      </w:rPr>
      <w:instrText xml:space="preserve"> NUMPAGES </w:instrText>
    </w:r>
    <w:r w:rsidR="002E18E7">
      <w:rPr>
        <w:kern w:val="0"/>
        <w:szCs w:val="21"/>
      </w:rPr>
      <w:fldChar w:fldCharType="separate"/>
    </w:r>
    <w:r w:rsidR="008B55DD">
      <w:rPr>
        <w:noProof/>
        <w:kern w:val="0"/>
        <w:szCs w:val="21"/>
      </w:rPr>
      <w:t>14</w:t>
    </w:r>
    <w:r w:rsidR="002E18E7">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2E18E7">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3D" w:rsidRDefault="0044293D">
      <w:r>
        <w:separator/>
      </w:r>
    </w:p>
  </w:footnote>
  <w:footnote w:type="continuationSeparator" w:id="0">
    <w:p w:rsidR="0044293D" w:rsidRDefault="00442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8B55D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F42"/>
    <w:rsid w:val="00053FFD"/>
    <w:rsid w:val="00054F34"/>
    <w:rsid w:val="00056D5C"/>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A6E9B"/>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418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30C9"/>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3E5C"/>
    <w:rsid w:val="00275FD0"/>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18E7"/>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293D"/>
    <w:rsid w:val="00443C8F"/>
    <w:rsid w:val="00447BC6"/>
    <w:rsid w:val="004501CE"/>
    <w:rsid w:val="00450309"/>
    <w:rsid w:val="00452481"/>
    <w:rsid w:val="00454A0F"/>
    <w:rsid w:val="00454E63"/>
    <w:rsid w:val="0046335D"/>
    <w:rsid w:val="00463C2C"/>
    <w:rsid w:val="00465C82"/>
    <w:rsid w:val="00477425"/>
    <w:rsid w:val="00480CA5"/>
    <w:rsid w:val="00481DB2"/>
    <w:rsid w:val="00483271"/>
    <w:rsid w:val="0049210E"/>
    <w:rsid w:val="0049297D"/>
    <w:rsid w:val="0049327D"/>
    <w:rsid w:val="00493D04"/>
    <w:rsid w:val="0049405D"/>
    <w:rsid w:val="0049455C"/>
    <w:rsid w:val="00495A03"/>
    <w:rsid w:val="004A1BE1"/>
    <w:rsid w:val="004A63CB"/>
    <w:rsid w:val="004A67B0"/>
    <w:rsid w:val="004A6FB2"/>
    <w:rsid w:val="004B0847"/>
    <w:rsid w:val="004B087F"/>
    <w:rsid w:val="004B0E6D"/>
    <w:rsid w:val="004B16E8"/>
    <w:rsid w:val="004B4FE9"/>
    <w:rsid w:val="004C0541"/>
    <w:rsid w:val="004C241F"/>
    <w:rsid w:val="004C634A"/>
    <w:rsid w:val="004C660B"/>
    <w:rsid w:val="004D050C"/>
    <w:rsid w:val="004D23D9"/>
    <w:rsid w:val="004D3537"/>
    <w:rsid w:val="004D36DF"/>
    <w:rsid w:val="004D4D4E"/>
    <w:rsid w:val="004D614E"/>
    <w:rsid w:val="004D650F"/>
    <w:rsid w:val="004D7E11"/>
    <w:rsid w:val="004E2133"/>
    <w:rsid w:val="004E4E04"/>
    <w:rsid w:val="004F2EB4"/>
    <w:rsid w:val="004F521C"/>
    <w:rsid w:val="00502CD8"/>
    <w:rsid w:val="0050361C"/>
    <w:rsid w:val="00506A40"/>
    <w:rsid w:val="0051064F"/>
    <w:rsid w:val="00513A0E"/>
    <w:rsid w:val="00515D7B"/>
    <w:rsid w:val="00515F29"/>
    <w:rsid w:val="0052009E"/>
    <w:rsid w:val="005207B3"/>
    <w:rsid w:val="005218EE"/>
    <w:rsid w:val="00523ECF"/>
    <w:rsid w:val="00530161"/>
    <w:rsid w:val="005405A3"/>
    <w:rsid w:val="005450F7"/>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99A"/>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7C09"/>
    <w:rsid w:val="006B046C"/>
    <w:rsid w:val="006B252F"/>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2E8B"/>
    <w:rsid w:val="007541BB"/>
    <w:rsid w:val="00754D62"/>
    <w:rsid w:val="00756CFF"/>
    <w:rsid w:val="00757FD7"/>
    <w:rsid w:val="00761982"/>
    <w:rsid w:val="00761B7A"/>
    <w:rsid w:val="007651E5"/>
    <w:rsid w:val="00765256"/>
    <w:rsid w:val="00766051"/>
    <w:rsid w:val="007661D4"/>
    <w:rsid w:val="007661FD"/>
    <w:rsid w:val="00766A7C"/>
    <w:rsid w:val="00767A27"/>
    <w:rsid w:val="0077111A"/>
    <w:rsid w:val="00774133"/>
    <w:rsid w:val="00775419"/>
    <w:rsid w:val="007763A5"/>
    <w:rsid w:val="0078105B"/>
    <w:rsid w:val="00782B50"/>
    <w:rsid w:val="00784FE0"/>
    <w:rsid w:val="007852D1"/>
    <w:rsid w:val="007858B1"/>
    <w:rsid w:val="0078648E"/>
    <w:rsid w:val="00791A3A"/>
    <w:rsid w:val="00791D9C"/>
    <w:rsid w:val="007936F3"/>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5DD"/>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C1D"/>
    <w:rsid w:val="009B4286"/>
    <w:rsid w:val="009B5BF9"/>
    <w:rsid w:val="009B5DAF"/>
    <w:rsid w:val="009B5F83"/>
    <w:rsid w:val="009B61C5"/>
    <w:rsid w:val="009B64B2"/>
    <w:rsid w:val="009B6A1E"/>
    <w:rsid w:val="009B769E"/>
    <w:rsid w:val="009C03E5"/>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2AE1"/>
    <w:rsid w:val="00B3342E"/>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4D92"/>
    <w:rsid w:val="00C158BC"/>
    <w:rsid w:val="00C16739"/>
    <w:rsid w:val="00C17F3F"/>
    <w:rsid w:val="00C23BA2"/>
    <w:rsid w:val="00C260A2"/>
    <w:rsid w:val="00C30DEC"/>
    <w:rsid w:val="00C31142"/>
    <w:rsid w:val="00C312FA"/>
    <w:rsid w:val="00C31DEF"/>
    <w:rsid w:val="00C338EB"/>
    <w:rsid w:val="00C34790"/>
    <w:rsid w:val="00C35BB7"/>
    <w:rsid w:val="00C36B35"/>
    <w:rsid w:val="00C400CD"/>
    <w:rsid w:val="00C41617"/>
    <w:rsid w:val="00C41DA8"/>
    <w:rsid w:val="00C4309A"/>
    <w:rsid w:val="00C43F23"/>
    <w:rsid w:val="00C43FF1"/>
    <w:rsid w:val="00C44F1F"/>
    <w:rsid w:val="00C45494"/>
    <w:rsid w:val="00C50D87"/>
    <w:rsid w:val="00C52D18"/>
    <w:rsid w:val="00C539CB"/>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57428"/>
    <w:rsid w:val="00D637E3"/>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AC7"/>
    <w:rsid w:val="00DB3588"/>
    <w:rsid w:val="00DB56EC"/>
    <w:rsid w:val="00DB704C"/>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40055"/>
    <w:rsid w:val="00F40868"/>
    <w:rsid w:val="00F40E14"/>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D1860266-71FD-4181-83C0-A11F35DD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226A8-A255-40DE-BEF5-91D994E7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14</Pages>
  <Words>1239</Words>
  <Characters>7066</Characters>
  <Application>Microsoft Office Word</Application>
  <DocSecurity>0</DocSecurity>
  <Lines>58</Lines>
  <Paragraphs>16</Paragraphs>
  <ScaleCrop>false</ScaleCrop>
  <Company>TRT. Ltd. Co.</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2</cp:revision>
  <cp:lastPrinted>2007-07-19T00:46:00Z</cp:lastPrinted>
  <dcterms:created xsi:type="dcterms:W3CDTF">2014-04-16T12:33:00Z</dcterms:created>
  <dcterms:modified xsi:type="dcterms:W3CDTF">2014-04-16T12:33:00Z</dcterms:modified>
</cp:coreProperties>
</file>