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bookmarkStart w:id="0" w:name="_GoBack"/>
      <w:bookmarkEnd w:id="0"/>
    </w:p>
    <w:p w:rsidR="002279D3" w:rsidRPr="00414345" w:rsidRDefault="002279D3" w:rsidP="00DA14B0">
      <w:pPr>
        <w:spacing w:before="29" w:line="288" w:lineRule="auto"/>
        <w:jc w:val="center"/>
        <w:rPr>
          <w:b/>
          <w:sz w:val="24"/>
          <w:szCs w:val="24"/>
        </w:rPr>
      </w:pPr>
      <w:r w:rsidRPr="00414345">
        <w:rPr>
          <w:b/>
          <w:sz w:val="24"/>
          <w:szCs w:val="24"/>
        </w:rPr>
        <w:t>交银施罗德先进制造股票证券投资基金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基金托管人：中国农业银行股份有限公司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7361BC">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64B8F" w:rsidRDefault="00C7210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64B8F" w:rsidRDefault="00C7210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64B8F" w:rsidRDefault="00C7210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64B8F" w:rsidRDefault="00C7210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64B8F" w:rsidRDefault="00C7210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7361B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交银先进制造股票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837,513,562.73</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本基金是一只股票型基金，属于基金中的高风险品种，本基金的风险与预期收益高于混合型基金、债券型基</w:t>
            </w:r>
            <w:r w:rsidRPr="00414345">
              <w:rPr>
                <w:color w:val="000000"/>
                <w:kern w:val="0"/>
                <w:sz w:val="24"/>
                <w:szCs w:val="24"/>
              </w:rPr>
              <w:lastRenderedPageBreak/>
              <w:t>金和货币市场基金。</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7361B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72105" w:rsidRPr="00414345" w:rsidTr="00C72105">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72105" w:rsidRPr="00414345" w:rsidTr="00C72105">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32,643,503.62</w:t>
            </w:r>
          </w:p>
        </w:tc>
      </w:tr>
      <w:tr w:rsidR="00C72105" w:rsidRPr="00414345" w:rsidTr="00C72105">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-7,394,169.22</w:t>
            </w:r>
          </w:p>
        </w:tc>
      </w:tr>
      <w:tr w:rsidR="00C72105" w:rsidRPr="00414345" w:rsidTr="00C72105">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-0.0111</w:t>
            </w:r>
          </w:p>
        </w:tc>
      </w:tr>
      <w:tr w:rsidR="00C72105" w:rsidRPr="00414345" w:rsidTr="00C72105">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965,751,180.73</w:t>
            </w:r>
          </w:p>
        </w:tc>
      </w:tr>
      <w:tr w:rsidR="00C72105" w:rsidRPr="00414345" w:rsidTr="00C72105">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1.153</w:t>
            </w:r>
          </w:p>
        </w:tc>
      </w:tr>
    </w:tbl>
    <w:p w:rsidR="00964B8F" w:rsidRDefault="00C7210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64B8F">
        <w:trPr>
          <w:jc w:val="center"/>
        </w:trPr>
        <w:tc>
          <w:tcPr>
            <w:tcW w:w="1701" w:type="dxa"/>
            <w:vAlign w:val="center"/>
          </w:tcPr>
          <w:p w:rsidR="00964B8F" w:rsidRDefault="00C72105">
            <w:pPr>
              <w:jc w:val="left"/>
            </w:pPr>
            <w:r>
              <w:rPr>
                <w:color w:val="000000"/>
                <w:sz w:val="24"/>
                <w:szCs w:val="24"/>
              </w:rPr>
              <w:t>过去三个月</w:t>
            </w:r>
          </w:p>
        </w:tc>
        <w:tc>
          <w:tcPr>
            <w:tcW w:w="1045" w:type="dxa"/>
            <w:vAlign w:val="center"/>
          </w:tcPr>
          <w:p w:rsidR="00964B8F" w:rsidRDefault="00C72105">
            <w:pPr>
              <w:jc w:val="center"/>
            </w:pPr>
            <w:r>
              <w:rPr>
                <w:color w:val="000000"/>
                <w:sz w:val="24"/>
                <w:szCs w:val="24"/>
              </w:rPr>
              <w:t>0.00%</w:t>
            </w:r>
          </w:p>
        </w:tc>
        <w:tc>
          <w:tcPr>
            <w:tcW w:w="1344" w:type="dxa"/>
            <w:vAlign w:val="center"/>
          </w:tcPr>
          <w:p w:rsidR="00964B8F" w:rsidRDefault="00C72105">
            <w:pPr>
              <w:jc w:val="center"/>
            </w:pPr>
            <w:r>
              <w:rPr>
                <w:color w:val="000000"/>
                <w:sz w:val="24"/>
                <w:szCs w:val="24"/>
              </w:rPr>
              <w:t>1.21%</w:t>
            </w:r>
          </w:p>
        </w:tc>
        <w:tc>
          <w:tcPr>
            <w:tcW w:w="1194" w:type="dxa"/>
            <w:vAlign w:val="center"/>
          </w:tcPr>
          <w:p w:rsidR="00964B8F" w:rsidRDefault="00C72105">
            <w:pPr>
              <w:jc w:val="center"/>
            </w:pPr>
            <w:r>
              <w:rPr>
                <w:color w:val="000000"/>
                <w:sz w:val="24"/>
                <w:szCs w:val="24"/>
              </w:rPr>
              <w:t>1.07%</w:t>
            </w:r>
          </w:p>
        </w:tc>
        <w:tc>
          <w:tcPr>
            <w:tcW w:w="1492" w:type="dxa"/>
            <w:vAlign w:val="center"/>
          </w:tcPr>
          <w:p w:rsidR="00964B8F" w:rsidRDefault="00C72105">
            <w:pPr>
              <w:jc w:val="center"/>
            </w:pPr>
            <w:r>
              <w:rPr>
                <w:color w:val="000000"/>
                <w:sz w:val="24"/>
                <w:szCs w:val="24"/>
              </w:rPr>
              <w:t>1.17%</w:t>
            </w:r>
          </w:p>
        </w:tc>
        <w:tc>
          <w:tcPr>
            <w:tcW w:w="1194" w:type="dxa"/>
            <w:vAlign w:val="center"/>
          </w:tcPr>
          <w:p w:rsidR="00964B8F" w:rsidRDefault="00C72105">
            <w:pPr>
              <w:jc w:val="center"/>
            </w:pPr>
            <w:r>
              <w:rPr>
                <w:color w:val="000000"/>
                <w:sz w:val="24"/>
                <w:szCs w:val="24"/>
              </w:rPr>
              <w:t>-1.07%</w:t>
            </w:r>
          </w:p>
        </w:tc>
        <w:tc>
          <w:tcPr>
            <w:tcW w:w="898" w:type="dxa"/>
            <w:vAlign w:val="center"/>
          </w:tcPr>
          <w:p w:rsidR="00964B8F" w:rsidRDefault="00C72105">
            <w:pPr>
              <w:jc w:val="center"/>
            </w:pPr>
            <w:r>
              <w:rPr>
                <w:color w:val="000000"/>
                <w:sz w:val="24"/>
                <w:szCs w:val="24"/>
              </w:rPr>
              <w:t>0.04%</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交银施罗德先进制造股票证券投资基金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7361B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964B8F">
        <w:trPr>
          <w:jc w:val="center"/>
        </w:trPr>
        <w:tc>
          <w:tcPr>
            <w:tcW w:w="846" w:type="dxa"/>
            <w:vAlign w:val="center"/>
          </w:tcPr>
          <w:p w:rsidR="00964B8F" w:rsidRDefault="00C72105">
            <w:pPr>
              <w:jc w:val="center"/>
            </w:pPr>
            <w:r>
              <w:rPr>
                <w:color w:val="000000"/>
                <w:sz w:val="24"/>
                <w:szCs w:val="24"/>
              </w:rPr>
              <w:t>王少成</w:t>
            </w:r>
          </w:p>
        </w:tc>
        <w:tc>
          <w:tcPr>
            <w:tcW w:w="845" w:type="dxa"/>
            <w:vAlign w:val="center"/>
          </w:tcPr>
          <w:p w:rsidR="00964B8F" w:rsidRDefault="00C72105" w:rsidP="005F299B">
            <w:pPr>
              <w:jc w:val="center"/>
            </w:pPr>
            <w:r>
              <w:rPr>
                <w:color w:val="000000"/>
                <w:sz w:val="24"/>
                <w:szCs w:val="24"/>
              </w:rPr>
              <w:t>本基金、交银先锋股票、交银成长</w:t>
            </w:r>
            <w:r>
              <w:rPr>
                <w:color w:val="000000"/>
                <w:sz w:val="24"/>
                <w:szCs w:val="24"/>
              </w:rPr>
              <w:t>30</w:t>
            </w:r>
            <w:r>
              <w:rPr>
                <w:color w:val="000000"/>
                <w:sz w:val="24"/>
                <w:szCs w:val="24"/>
              </w:rPr>
              <w:t>股票的基金经理</w:t>
            </w:r>
          </w:p>
        </w:tc>
        <w:tc>
          <w:tcPr>
            <w:tcW w:w="1549" w:type="dxa"/>
            <w:vAlign w:val="center"/>
          </w:tcPr>
          <w:p w:rsidR="00964B8F" w:rsidRDefault="00C72105">
            <w:pPr>
              <w:jc w:val="center"/>
            </w:pPr>
            <w:r>
              <w:rPr>
                <w:color w:val="000000"/>
                <w:sz w:val="24"/>
                <w:szCs w:val="24"/>
              </w:rPr>
              <w:t>2013-03-21</w:t>
            </w:r>
          </w:p>
        </w:tc>
        <w:tc>
          <w:tcPr>
            <w:tcW w:w="1548" w:type="dxa"/>
            <w:vAlign w:val="center"/>
          </w:tcPr>
          <w:p w:rsidR="00964B8F" w:rsidRDefault="00C72105">
            <w:pPr>
              <w:jc w:val="center"/>
            </w:pPr>
            <w:r>
              <w:rPr>
                <w:color w:val="000000"/>
                <w:sz w:val="24"/>
                <w:szCs w:val="24"/>
              </w:rPr>
              <w:t>-</w:t>
            </w:r>
          </w:p>
        </w:tc>
        <w:tc>
          <w:tcPr>
            <w:tcW w:w="1407" w:type="dxa"/>
            <w:vAlign w:val="center"/>
          </w:tcPr>
          <w:p w:rsidR="00964B8F" w:rsidRDefault="00C72105">
            <w:pPr>
              <w:jc w:val="center"/>
            </w:pPr>
            <w:r>
              <w:rPr>
                <w:color w:val="000000"/>
                <w:sz w:val="24"/>
                <w:szCs w:val="24"/>
              </w:rPr>
              <w:t>10</w:t>
            </w:r>
            <w:r>
              <w:rPr>
                <w:color w:val="000000"/>
                <w:sz w:val="24"/>
                <w:szCs w:val="24"/>
              </w:rPr>
              <w:t>年</w:t>
            </w:r>
          </w:p>
        </w:tc>
        <w:tc>
          <w:tcPr>
            <w:tcW w:w="2673" w:type="dxa"/>
            <w:vAlign w:val="center"/>
          </w:tcPr>
          <w:p w:rsidR="00964B8F" w:rsidRDefault="00C72105">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64B8F" w:rsidRDefault="00C7210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64B8F" w:rsidRDefault="00C7210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64B8F" w:rsidRDefault="00C7210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64B8F" w:rsidRDefault="00C72105">
      <w:pPr>
        <w:spacing w:before="29" w:line="288" w:lineRule="auto"/>
        <w:ind w:firstLineChars="200" w:firstLine="480"/>
        <w:rPr>
          <w:color w:val="000000"/>
          <w:sz w:val="24"/>
          <w:szCs w:val="24"/>
        </w:rPr>
      </w:pPr>
      <w:r>
        <w:rPr>
          <w:color w:val="000000"/>
          <w:sz w:val="24"/>
          <w:szCs w:val="24"/>
        </w:rPr>
        <w:t>2014</w:t>
      </w:r>
      <w:r>
        <w:rPr>
          <w:color w:val="000000"/>
          <w:sz w:val="24"/>
          <w:szCs w:val="24"/>
        </w:rPr>
        <w:t>年一季度沪深</w:t>
      </w:r>
      <w:r>
        <w:rPr>
          <w:color w:val="000000"/>
          <w:sz w:val="24"/>
          <w:szCs w:val="24"/>
        </w:rPr>
        <w:t>300</w:t>
      </w:r>
      <w:r>
        <w:rPr>
          <w:color w:val="000000"/>
          <w:sz w:val="24"/>
          <w:szCs w:val="24"/>
        </w:rPr>
        <w:t>指数下跌</w:t>
      </w:r>
      <w:r>
        <w:rPr>
          <w:color w:val="000000"/>
          <w:sz w:val="24"/>
          <w:szCs w:val="24"/>
        </w:rPr>
        <w:t>7.89%</w:t>
      </w:r>
      <w:r>
        <w:rPr>
          <w:color w:val="000000"/>
          <w:sz w:val="24"/>
          <w:szCs w:val="24"/>
        </w:rPr>
        <w:t>，本基金的业绩比较基准上涨</w:t>
      </w:r>
      <w:r>
        <w:rPr>
          <w:color w:val="000000"/>
          <w:sz w:val="24"/>
          <w:szCs w:val="24"/>
        </w:rPr>
        <w:t>1.07%</w:t>
      </w:r>
      <w:r>
        <w:rPr>
          <w:color w:val="000000"/>
          <w:sz w:val="24"/>
          <w:szCs w:val="24"/>
        </w:rPr>
        <w:t>，本基金净值上涨</w:t>
      </w:r>
      <w:r>
        <w:rPr>
          <w:color w:val="000000"/>
          <w:sz w:val="24"/>
          <w:szCs w:val="24"/>
        </w:rPr>
        <w:t>0.00%</w:t>
      </w:r>
      <w:r>
        <w:rPr>
          <w:color w:val="000000"/>
          <w:sz w:val="24"/>
          <w:szCs w:val="24"/>
        </w:rPr>
        <w:t>，跑赢沪深</w:t>
      </w:r>
      <w:r>
        <w:rPr>
          <w:color w:val="000000"/>
          <w:sz w:val="24"/>
          <w:szCs w:val="24"/>
        </w:rPr>
        <w:t>300</w:t>
      </w:r>
      <w:r>
        <w:rPr>
          <w:color w:val="000000"/>
          <w:sz w:val="24"/>
          <w:szCs w:val="24"/>
        </w:rPr>
        <w:t>指数，但是跑输业绩比较基准。</w:t>
      </w:r>
    </w:p>
    <w:p w:rsidR="00964B8F" w:rsidRDefault="00C72105">
      <w:pPr>
        <w:spacing w:before="29" w:line="288" w:lineRule="auto"/>
        <w:ind w:firstLineChars="200" w:firstLine="480"/>
        <w:rPr>
          <w:color w:val="000000"/>
          <w:sz w:val="24"/>
          <w:szCs w:val="24"/>
        </w:rPr>
      </w:pPr>
      <w:r>
        <w:rPr>
          <w:color w:val="000000"/>
          <w:sz w:val="24"/>
          <w:szCs w:val="24"/>
        </w:rPr>
        <w:t>2014</w:t>
      </w:r>
      <w:r>
        <w:rPr>
          <w:color w:val="000000"/>
          <w:sz w:val="24"/>
          <w:szCs w:val="24"/>
        </w:rPr>
        <w:t>年一季度</w:t>
      </w:r>
      <w:r>
        <w:rPr>
          <w:color w:val="000000"/>
          <w:sz w:val="24"/>
          <w:szCs w:val="24"/>
        </w:rPr>
        <w:t>A</w:t>
      </w:r>
      <w:r>
        <w:rPr>
          <w:color w:val="000000"/>
          <w:sz w:val="24"/>
          <w:szCs w:val="24"/>
        </w:rPr>
        <w:t>股市场先涨后跌。</w:t>
      </w:r>
      <w:r>
        <w:rPr>
          <w:color w:val="000000"/>
          <w:sz w:val="24"/>
          <w:szCs w:val="24"/>
        </w:rPr>
        <w:t>A</w:t>
      </w:r>
      <w:r>
        <w:rPr>
          <w:color w:val="000000"/>
          <w:sz w:val="24"/>
          <w:szCs w:val="24"/>
        </w:rPr>
        <w:t>股行情在一季度处于</w:t>
      </w:r>
      <w:r>
        <w:rPr>
          <w:color w:val="000000"/>
          <w:sz w:val="24"/>
          <w:szCs w:val="24"/>
        </w:rPr>
        <w:t>“</w:t>
      </w:r>
      <w:r>
        <w:rPr>
          <w:color w:val="000000"/>
          <w:sz w:val="24"/>
          <w:szCs w:val="24"/>
        </w:rPr>
        <w:t>乱战</w:t>
      </w:r>
      <w:r>
        <w:rPr>
          <w:color w:val="000000"/>
          <w:sz w:val="24"/>
          <w:szCs w:val="24"/>
        </w:rPr>
        <w:t>”</w:t>
      </w:r>
      <w:r>
        <w:rPr>
          <w:color w:val="000000"/>
          <w:sz w:val="24"/>
          <w:szCs w:val="24"/>
        </w:rPr>
        <w:t>的特点在</w:t>
      </w:r>
      <w:r>
        <w:rPr>
          <w:color w:val="000000"/>
          <w:sz w:val="24"/>
          <w:szCs w:val="24"/>
        </w:rPr>
        <w:t>2014</w:t>
      </w:r>
      <w:r>
        <w:rPr>
          <w:color w:val="000000"/>
          <w:sz w:val="24"/>
          <w:szCs w:val="24"/>
        </w:rPr>
        <w:t>年表现得尤为突出。</w:t>
      </w:r>
      <w:r>
        <w:rPr>
          <w:color w:val="000000"/>
          <w:sz w:val="24"/>
          <w:szCs w:val="24"/>
        </w:rPr>
        <w:t>IPO</w:t>
      </w:r>
      <w:r>
        <w:rPr>
          <w:color w:val="000000"/>
          <w:sz w:val="24"/>
          <w:szCs w:val="24"/>
        </w:rPr>
        <w:t>的开闸并没有使得创业板和中小市值股票的泡沫崩塌，却驱动中小市值和题材板块形成更加疯狂的一轮上冲，估值泡沫化态势明显。进入</w:t>
      </w:r>
      <w:r>
        <w:rPr>
          <w:color w:val="000000"/>
          <w:sz w:val="24"/>
          <w:szCs w:val="24"/>
        </w:rPr>
        <w:t>3</w:t>
      </w:r>
      <w:r>
        <w:rPr>
          <w:color w:val="000000"/>
          <w:sz w:val="24"/>
          <w:szCs w:val="24"/>
        </w:rPr>
        <w:t>月份宏观和中观高频指标屡屡低于预期，人民币快速贬值，加剧了不少高杠杆部门的债务风险，投资者开始转而担忧中国宏观经济明斯基时刻是否已经到来。一季度本基金没有参与中小市值股票的主题性炒作，继续聚焦核心品种和核心仓位，适当地降低了中小股票的仓位水平，为后续的组合调整赢得了一定的先机。</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预计</w:t>
      </w:r>
      <w:r w:rsidRPr="00414345">
        <w:rPr>
          <w:color w:val="000000"/>
          <w:sz w:val="24"/>
          <w:szCs w:val="24"/>
        </w:rPr>
        <w:t>2014</w:t>
      </w:r>
      <w:r w:rsidRPr="00414345">
        <w:rPr>
          <w:color w:val="000000"/>
          <w:sz w:val="24"/>
          <w:szCs w:val="24"/>
        </w:rPr>
        <w:t>年二季度</w:t>
      </w:r>
      <w:r w:rsidRPr="00414345">
        <w:rPr>
          <w:color w:val="000000"/>
          <w:sz w:val="24"/>
          <w:szCs w:val="24"/>
        </w:rPr>
        <w:t>A</w:t>
      </w:r>
      <w:r w:rsidRPr="00414345">
        <w:rPr>
          <w:color w:val="000000"/>
          <w:sz w:val="24"/>
          <w:szCs w:val="24"/>
        </w:rPr>
        <w:t>股市场有一定调整压力。主要的风险还在于宏观经济下行风险的释放。虽然已经看到政府经济维稳政策地陆续出台，但内在结构性失衡问题一直未见改善，重走老路式的经济维稳政策并不能长久，投资者期待进一步的改革和转型释放制度红利来对冲经济硬着陆风险。投资机会上，我们依然将关注点集中在移动互联网、环保、新型消费等等转型相关的行业板块。</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1.153</w:t>
      </w:r>
      <w:r w:rsidRPr="00414345">
        <w:rPr>
          <w:color w:val="000000"/>
          <w:sz w:val="24"/>
          <w:szCs w:val="24"/>
        </w:rPr>
        <w:t>元，本报告期份额净值增长率为</w:t>
      </w:r>
      <w:r w:rsidRPr="00414345">
        <w:rPr>
          <w:color w:val="000000"/>
          <w:sz w:val="24"/>
          <w:szCs w:val="24"/>
        </w:rPr>
        <w:t>0.00%</w:t>
      </w:r>
      <w:r w:rsidRPr="00414345">
        <w:rPr>
          <w:color w:val="000000"/>
          <w:sz w:val="24"/>
          <w:szCs w:val="24"/>
        </w:rPr>
        <w:t>，同期业绩比较基准增长率为</w:t>
      </w:r>
      <w:r w:rsidRPr="00414345">
        <w:rPr>
          <w:color w:val="000000"/>
          <w:sz w:val="24"/>
          <w:szCs w:val="24"/>
        </w:rPr>
        <w:t>1.07%</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7361B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586,893,306.62</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59.71</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586,893,306.62</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59.71</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200,000,700.00</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20.35</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171,384,731.11</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17.44</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24,634,159.08</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2.51</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982,912,896.81</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7210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7210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468,592,727.50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48.52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21,974,421.77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16,618,898.40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42E24" w:rsidRDefault="00531F10" w:rsidP="00A04970">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47,638,442.12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32,068,816.83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586,893,306.62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60.77</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64B8F">
        <w:trPr>
          <w:jc w:val="center"/>
        </w:trPr>
        <w:tc>
          <w:tcPr>
            <w:tcW w:w="855" w:type="dxa"/>
            <w:vAlign w:val="center"/>
          </w:tcPr>
          <w:p w:rsidR="00964B8F" w:rsidRDefault="00C72105">
            <w:pPr>
              <w:jc w:val="center"/>
            </w:pPr>
            <w:r>
              <w:rPr>
                <w:color w:val="000000"/>
                <w:sz w:val="24"/>
                <w:szCs w:val="24"/>
              </w:rPr>
              <w:t>1</w:t>
            </w:r>
          </w:p>
        </w:tc>
        <w:tc>
          <w:tcPr>
            <w:tcW w:w="1334" w:type="dxa"/>
            <w:vAlign w:val="center"/>
          </w:tcPr>
          <w:p w:rsidR="00964B8F" w:rsidRDefault="00C72105">
            <w:pPr>
              <w:jc w:val="center"/>
            </w:pPr>
            <w:r>
              <w:rPr>
                <w:color w:val="000000"/>
                <w:sz w:val="24"/>
                <w:szCs w:val="24"/>
              </w:rPr>
              <w:t>600389</w:t>
            </w:r>
          </w:p>
        </w:tc>
        <w:tc>
          <w:tcPr>
            <w:tcW w:w="1777" w:type="dxa"/>
            <w:vAlign w:val="center"/>
          </w:tcPr>
          <w:p w:rsidR="00964B8F" w:rsidRDefault="00C72105">
            <w:pPr>
              <w:jc w:val="center"/>
            </w:pPr>
            <w:r>
              <w:rPr>
                <w:color w:val="000000"/>
                <w:sz w:val="24"/>
                <w:szCs w:val="24"/>
              </w:rPr>
              <w:t>江山股份</w:t>
            </w:r>
          </w:p>
        </w:tc>
        <w:tc>
          <w:tcPr>
            <w:tcW w:w="1334" w:type="dxa"/>
            <w:vAlign w:val="center"/>
          </w:tcPr>
          <w:p w:rsidR="00964B8F" w:rsidRDefault="00C72105">
            <w:pPr>
              <w:jc w:val="right"/>
            </w:pPr>
            <w:r>
              <w:rPr>
                <w:color w:val="000000"/>
                <w:sz w:val="24"/>
                <w:szCs w:val="24"/>
              </w:rPr>
              <w:t>2,101,046</w:t>
            </w:r>
          </w:p>
        </w:tc>
        <w:tc>
          <w:tcPr>
            <w:tcW w:w="1924" w:type="dxa"/>
            <w:vAlign w:val="center"/>
          </w:tcPr>
          <w:p w:rsidR="00964B8F" w:rsidRDefault="00C72105">
            <w:pPr>
              <w:jc w:val="right"/>
            </w:pPr>
            <w:r>
              <w:rPr>
                <w:color w:val="000000"/>
                <w:sz w:val="24"/>
                <w:szCs w:val="24"/>
              </w:rPr>
              <w:t>79,041,350.52</w:t>
            </w:r>
          </w:p>
        </w:tc>
        <w:tc>
          <w:tcPr>
            <w:tcW w:w="1644" w:type="dxa"/>
            <w:vAlign w:val="center"/>
          </w:tcPr>
          <w:p w:rsidR="00964B8F" w:rsidRDefault="00C72105">
            <w:pPr>
              <w:jc w:val="right"/>
            </w:pPr>
            <w:r>
              <w:rPr>
                <w:color w:val="000000"/>
                <w:sz w:val="24"/>
                <w:szCs w:val="24"/>
              </w:rPr>
              <w:t>8.18</w:t>
            </w:r>
          </w:p>
        </w:tc>
      </w:tr>
      <w:tr w:rsidR="00964B8F">
        <w:trPr>
          <w:jc w:val="center"/>
        </w:trPr>
        <w:tc>
          <w:tcPr>
            <w:tcW w:w="855" w:type="dxa"/>
            <w:vAlign w:val="center"/>
          </w:tcPr>
          <w:p w:rsidR="00964B8F" w:rsidRDefault="00C72105">
            <w:pPr>
              <w:jc w:val="center"/>
            </w:pPr>
            <w:r>
              <w:rPr>
                <w:color w:val="000000"/>
                <w:sz w:val="24"/>
                <w:szCs w:val="24"/>
              </w:rPr>
              <w:t>2</w:t>
            </w:r>
          </w:p>
        </w:tc>
        <w:tc>
          <w:tcPr>
            <w:tcW w:w="1334" w:type="dxa"/>
            <w:vAlign w:val="center"/>
          </w:tcPr>
          <w:p w:rsidR="00964B8F" w:rsidRDefault="00C72105">
            <w:pPr>
              <w:jc w:val="center"/>
            </w:pPr>
            <w:r>
              <w:rPr>
                <w:color w:val="000000"/>
                <w:sz w:val="24"/>
                <w:szCs w:val="24"/>
              </w:rPr>
              <w:t>600967</w:t>
            </w:r>
          </w:p>
        </w:tc>
        <w:tc>
          <w:tcPr>
            <w:tcW w:w="1777" w:type="dxa"/>
            <w:vAlign w:val="center"/>
          </w:tcPr>
          <w:p w:rsidR="00964B8F" w:rsidRDefault="00C72105">
            <w:pPr>
              <w:jc w:val="center"/>
            </w:pPr>
            <w:r>
              <w:rPr>
                <w:color w:val="000000"/>
                <w:sz w:val="24"/>
                <w:szCs w:val="24"/>
              </w:rPr>
              <w:t>北方创业</w:t>
            </w:r>
          </w:p>
        </w:tc>
        <w:tc>
          <w:tcPr>
            <w:tcW w:w="1334" w:type="dxa"/>
            <w:vAlign w:val="center"/>
          </w:tcPr>
          <w:p w:rsidR="00964B8F" w:rsidRDefault="00C72105">
            <w:pPr>
              <w:jc w:val="right"/>
            </w:pPr>
            <w:r>
              <w:rPr>
                <w:color w:val="000000"/>
                <w:sz w:val="24"/>
                <w:szCs w:val="24"/>
              </w:rPr>
              <w:t>4,495,202</w:t>
            </w:r>
          </w:p>
        </w:tc>
        <w:tc>
          <w:tcPr>
            <w:tcW w:w="1924" w:type="dxa"/>
            <w:vAlign w:val="center"/>
          </w:tcPr>
          <w:p w:rsidR="00964B8F" w:rsidRDefault="00C72105">
            <w:pPr>
              <w:jc w:val="right"/>
            </w:pPr>
            <w:r>
              <w:rPr>
                <w:color w:val="000000"/>
                <w:sz w:val="24"/>
                <w:szCs w:val="24"/>
              </w:rPr>
              <w:t>78,980,699.14</w:t>
            </w:r>
          </w:p>
        </w:tc>
        <w:tc>
          <w:tcPr>
            <w:tcW w:w="1644" w:type="dxa"/>
            <w:vAlign w:val="center"/>
          </w:tcPr>
          <w:p w:rsidR="00964B8F" w:rsidRDefault="00C72105">
            <w:pPr>
              <w:jc w:val="right"/>
            </w:pPr>
            <w:r>
              <w:rPr>
                <w:color w:val="000000"/>
                <w:sz w:val="24"/>
                <w:szCs w:val="24"/>
              </w:rPr>
              <w:t>8.18</w:t>
            </w:r>
          </w:p>
        </w:tc>
      </w:tr>
      <w:tr w:rsidR="00964B8F">
        <w:trPr>
          <w:jc w:val="center"/>
        </w:trPr>
        <w:tc>
          <w:tcPr>
            <w:tcW w:w="855" w:type="dxa"/>
            <w:vAlign w:val="center"/>
          </w:tcPr>
          <w:p w:rsidR="00964B8F" w:rsidRDefault="00C72105">
            <w:pPr>
              <w:jc w:val="center"/>
            </w:pPr>
            <w:r>
              <w:rPr>
                <w:color w:val="000000"/>
                <w:sz w:val="24"/>
                <w:szCs w:val="24"/>
              </w:rPr>
              <w:t>3</w:t>
            </w:r>
          </w:p>
        </w:tc>
        <w:tc>
          <w:tcPr>
            <w:tcW w:w="1334" w:type="dxa"/>
            <w:vAlign w:val="center"/>
          </w:tcPr>
          <w:p w:rsidR="00964B8F" w:rsidRDefault="00C72105">
            <w:pPr>
              <w:jc w:val="center"/>
            </w:pPr>
            <w:r>
              <w:rPr>
                <w:color w:val="000000"/>
                <w:sz w:val="24"/>
                <w:szCs w:val="24"/>
              </w:rPr>
              <w:t>002223</w:t>
            </w:r>
          </w:p>
        </w:tc>
        <w:tc>
          <w:tcPr>
            <w:tcW w:w="1777" w:type="dxa"/>
            <w:vAlign w:val="center"/>
          </w:tcPr>
          <w:p w:rsidR="00964B8F" w:rsidRDefault="00C72105">
            <w:pPr>
              <w:jc w:val="center"/>
            </w:pPr>
            <w:r>
              <w:rPr>
                <w:color w:val="000000"/>
                <w:sz w:val="24"/>
                <w:szCs w:val="24"/>
              </w:rPr>
              <w:t>鱼跃医疗</w:t>
            </w:r>
          </w:p>
        </w:tc>
        <w:tc>
          <w:tcPr>
            <w:tcW w:w="1334" w:type="dxa"/>
            <w:vAlign w:val="center"/>
          </w:tcPr>
          <w:p w:rsidR="00964B8F" w:rsidRDefault="00C72105">
            <w:pPr>
              <w:jc w:val="right"/>
            </w:pPr>
            <w:r>
              <w:rPr>
                <w:color w:val="000000"/>
                <w:sz w:val="24"/>
                <w:szCs w:val="24"/>
              </w:rPr>
              <w:t>1,206,236</w:t>
            </w:r>
          </w:p>
        </w:tc>
        <w:tc>
          <w:tcPr>
            <w:tcW w:w="1924" w:type="dxa"/>
            <w:vAlign w:val="center"/>
          </w:tcPr>
          <w:p w:rsidR="00964B8F" w:rsidRDefault="00C72105">
            <w:pPr>
              <w:jc w:val="right"/>
            </w:pPr>
            <w:r>
              <w:rPr>
                <w:color w:val="000000"/>
                <w:sz w:val="24"/>
                <w:szCs w:val="24"/>
              </w:rPr>
              <w:t>33,859,044.52</w:t>
            </w:r>
          </w:p>
        </w:tc>
        <w:tc>
          <w:tcPr>
            <w:tcW w:w="1644" w:type="dxa"/>
            <w:vAlign w:val="center"/>
          </w:tcPr>
          <w:p w:rsidR="00964B8F" w:rsidRDefault="00C72105">
            <w:pPr>
              <w:jc w:val="right"/>
            </w:pPr>
            <w:r>
              <w:rPr>
                <w:color w:val="000000"/>
                <w:sz w:val="24"/>
                <w:szCs w:val="24"/>
              </w:rPr>
              <w:t>3.51</w:t>
            </w:r>
          </w:p>
        </w:tc>
      </w:tr>
      <w:tr w:rsidR="00964B8F">
        <w:trPr>
          <w:jc w:val="center"/>
        </w:trPr>
        <w:tc>
          <w:tcPr>
            <w:tcW w:w="855" w:type="dxa"/>
            <w:vAlign w:val="center"/>
          </w:tcPr>
          <w:p w:rsidR="00964B8F" w:rsidRDefault="00C72105">
            <w:pPr>
              <w:jc w:val="center"/>
            </w:pPr>
            <w:r>
              <w:rPr>
                <w:color w:val="000000"/>
                <w:sz w:val="24"/>
                <w:szCs w:val="24"/>
              </w:rPr>
              <w:t>4</w:t>
            </w:r>
          </w:p>
        </w:tc>
        <w:tc>
          <w:tcPr>
            <w:tcW w:w="1334" w:type="dxa"/>
            <w:vAlign w:val="center"/>
          </w:tcPr>
          <w:p w:rsidR="00964B8F" w:rsidRDefault="00C72105">
            <w:pPr>
              <w:jc w:val="center"/>
            </w:pPr>
            <w:r>
              <w:rPr>
                <w:color w:val="000000"/>
                <w:sz w:val="24"/>
                <w:szCs w:val="24"/>
              </w:rPr>
              <w:t>300113</w:t>
            </w:r>
          </w:p>
        </w:tc>
        <w:tc>
          <w:tcPr>
            <w:tcW w:w="1777" w:type="dxa"/>
            <w:vAlign w:val="center"/>
          </w:tcPr>
          <w:p w:rsidR="00964B8F" w:rsidRDefault="00C72105">
            <w:pPr>
              <w:jc w:val="center"/>
            </w:pPr>
            <w:r>
              <w:rPr>
                <w:color w:val="000000"/>
                <w:sz w:val="24"/>
                <w:szCs w:val="24"/>
              </w:rPr>
              <w:t>顺网科技</w:t>
            </w:r>
          </w:p>
        </w:tc>
        <w:tc>
          <w:tcPr>
            <w:tcW w:w="1334" w:type="dxa"/>
            <w:vAlign w:val="center"/>
          </w:tcPr>
          <w:p w:rsidR="00964B8F" w:rsidRDefault="00C72105">
            <w:pPr>
              <w:jc w:val="right"/>
            </w:pPr>
            <w:r>
              <w:rPr>
                <w:color w:val="000000"/>
                <w:sz w:val="24"/>
                <w:szCs w:val="24"/>
              </w:rPr>
              <w:t>629,100</w:t>
            </w:r>
          </w:p>
        </w:tc>
        <w:tc>
          <w:tcPr>
            <w:tcW w:w="1924" w:type="dxa"/>
            <w:vAlign w:val="center"/>
          </w:tcPr>
          <w:p w:rsidR="00964B8F" w:rsidRDefault="00C72105">
            <w:pPr>
              <w:jc w:val="right"/>
            </w:pPr>
            <w:r>
              <w:rPr>
                <w:color w:val="000000"/>
                <w:sz w:val="24"/>
                <w:szCs w:val="24"/>
              </w:rPr>
              <w:t>32,216,211.00</w:t>
            </w:r>
          </w:p>
        </w:tc>
        <w:tc>
          <w:tcPr>
            <w:tcW w:w="1644" w:type="dxa"/>
            <w:vAlign w:val="center"/>
          </w:tcPr>
          <w:p w:rsidR="00964B8F" w:rsidRDefault="00C72105">
            <w:pPr>
              <w:jc w:val="right"/>
            </w:pPr>
            <w:r>
              <w:rPr>
                <w:color w:val="000000"/>
                <w:sz w:val="24"/>
                <w:szCs w:val="24"/>
              </w:rPr>
              <w:t>3.34</w:t>
            </w:r>
          </w:p>
        </w:tc>
      </w:tr>
      <w:tr w:rsidR="00964B8F">
        <w:trPr>
          <w:jc w:val="center"/>
        </w:trPr>
        <w:tc>
          <w:tcPr>
            <w:tcW w:w="855" w:type="dxa"/>
            <w:vAlign w:val="center"/>
          </w:tcPr>
          <w:p w:rsidR="00964B8F" w:rsidRDefault="00C72105">
            <w:pPr>
              <w:jc w:val="center"/>
            </w:pPr>
            <w:r>
              <w:rPr>
                <w:color w:val="000000"/>
                <w:sz w:val="24"/>
                <w:szCs w:val="24"/>
              </w:rPr>
              <w:t>5</w:t>
            </w:r>
          </w:p>
        </w:tc>
        <w:tc>
          <w:tcPr>
            <w:tcW w:w="1334" w:type="dxa"/>
            <w:vAlign w:val="center"/>
          </w:tcPr>
          <w:p w:rsidR="00964B8F" w:rsidRDefault="00C72105">
            <w:pPr>
              <w:jc w:val="center"/>
            </w:pPr>
            <w:r>
              <w:rPr>
                <w:color w:val="000000"/>
                <w:sz w:val="24"/>
                <w:szCs w:val="24"/>
              </w:rPr>
              <w:t>600763</w:t>
            </w:r>
          </w:p>
        </w:tc>
        <w:tc>
          <w:tcPr>
            <w:tcW w:w="1777" w:type="dxa"/>
            <w:vAlign w:val="center"/>
          </w:tcPr>
          <w:p w:rsidR="00964B8F" w:rsidRDefault="00C72105">
            <w:pPr>
              <w:jc w:val="center"/>
            </w:pPr>
            <w:r>
              <w:rPr>
                <w:color w:val="000000"/>
                <w:sz w:val="24"/>
                <w:szCs w:val="24"/>
              </w:rPr>
              <w:t>通策医疗</w:t>
            </w:r>
          </w:p>
        </w:tc>
        <w:tc>
          <w:tcPr>
            <w:tcW w:w="1334" w:type="dxa"/>
            <w:vAlign w:val="center"/>
          </w:tcPr>
          <w:p w:rsidR="00964B8F" w:rsidRDefault="00C72105">
            <w:pPr>
              <w:jc w:val="right"/>
            </w:pPr>
            <w:r>
              <w:rPr>
                <w:color w:val="000000"/>
                <w:sz w:val="24"/>
                <w:szCs w:val="24"/>
              </w:rPr>
              <w:t>782,739</w:t>
            </w:r>
          </w:p>
        </w:tc>
        <w:tc>
          <w:tcPr>
            <w:tcW w:w="1924" w:type="dxa"/>
            <w:vAlign w:val="center"/>
          </w:tcPr>
          <w:p w:rsidR="00964B8F" w:rsidRDefault="00C72105">
            <w:pPr>
              <w:jc w:val="right"/>
            </w:pPr>
            <w:r>
              <w:rPr>
                <w:color w:val="000000"/>
                <w:sz w:val="24"/>
                <w:szCs w:val="24"/>
              </w:rPr>
              <w:t>32,068,816.83</w:t>
            </w:r>
          </w:p>
        </w:tc>
        <w:tc>
          <w:tcPr>
            <w:tcW w:w="1644" w:type="dxa"/>
            <w:vAlign w:val="center"/>
          </w:tcPr>
          <w:p w:rsidR="00964B8F" w:rsidRDefault="00C72105">
            <w:pPr>
              <w:jc w:val="right"/>
            </w:pPr>
            <w:r>
              <w:rPr>
                <w:color w:val="000000"/>
                <w:sz w:val="24"/>
                <w:szCs w:val="24"/>
              </w:rPr>
              <w:t>3.32</w:t>
            </w:r>
          </w:p>
        </w:tc>
      </w:tr>
      <w:tr w:rsidR="00964B8F">
        <w:trPr>
          <w:jc w:val="center"/>
        </w:trPr>
        <w:tc>
          <w:tcPr>
            <w:tcW w:w="855" w:type="dxa"/>
            <w:vAlign w:val="center"/>
          </w:tcPr>
          <w:p w:rsidR="00964B8F" w:rsidRDefault="00C72105">
            <w:pPr>
              <w:jc w:val="center"/>
            </w:pPr>
            <w:r>
              <w:rPr>
                <w:color w:val="000000"/>
                <w:sz w:val="24"/>
                <w:szCs w:val="24"/>
              </w:rPr>
              <w:t>6</w:t>
            </w:r>
          </w:p>
        </w:tc>
        <w:tc>
          <w:tcPr>
            <w:tcW w:w="1334" w:type="dxa"/>
            <w:vAlign w:val="center"/>
          </w:tcPr>
          <w:p w:rsidR="00964B8F" w:rsidRDefault="00C72105">
            <w:pPr>
              <w:jc w:val="center"/>
            </w:pPr>
            <w:r>
              <w:rPr>
                <w:color w:val="000000"/>
                <w:sz w:val="24"/>
                <w:szCs w:val="24"/>
              </w:rPr>
              <w:t>601311</w:t>
            </w:r>
          </w:p>
        </w:tc>
        <w:tc>
          <w:tcPr>
            <w:tcW w:w="1777" w:type="dxa"/>
            <w:vAlign w:val="center"/>
          </w:tcPr>
          <w:p w:rsidR="00964B8F" w:rsidRDefault="00C72105">
            <w:pPr>
              <w:jc w:val="center"/>
            </w:pPr>
            <w:r>
              <w:rPr>
                <w:color w:val="000000"/>
                <w:sz w:val="24"/>
                <w:szCs w:val="24"/>
              </w:rPr>
              <w:t>骆驼股份</w:t>
            </w:r>
          </w:p>
        </w:tc>
        <w:tc>
          <w:tcPr>
            <w:tcW w:w="1334" w:type="dxa"/>
            <w:vAlign w:val="center"/>
          </w:tcPr>
          <w:p w:rsidR="00964B8F" w:rsidRDefault="00C72105">
            <w:pPr>
              <w:jc w:val="right"/>
            </w:pPr>
            <w:r>
              <w:rPr>
                <w:color w:val="000000"/>
                <w:sz w:val="24"/>
                <w:szCs w:val="24"/>
              </w:rPr>
              <w:t>2,648,520</w:t>
            </w:r>
          </w:p>
        </w:tc>
        <w:tc>
          <w:tcPr>
            <w:tcW w:w="1924" w:type="dxa"/>
            <w:vAlign w:val="center"/>
          </w:tcPr>
          <w:p w:rsidR="00964B8F" w:rsidRDefault="00C72105">
            <w:pPr>
              <w:jc w:val="right"/>
            </w:pPr>
            <w:r>
              <w:rPr>
                <w:color w:val="000000"/>
                <w:sz w:val="24"/>
                <w:szCs w:val="24"/>
              </w:rPr>
              <w:t>29,901,790.80</w:t>
            </w:r>
          </w:p>
        </w:tc>
        <w:tc>
          <w:tcPr>
            <w:tcW w:w="1644" w:type="dxa"/>
            <w:vAlign w:val="center"/>
          </w:tcPr>
          <w:p w:rsidR="00964B8F" w:rsidRDefault="00C72105">
            <w:pPr>
              <w:jc w:val="right"/>
            </w:pPr>
            <w:r>
              <w:rPr>
                <w:color w:val="000000"/>
                <w:sz w:val="24"/>
                <w:szCs w:val="24"/>
              </w:rPr>
              <w:t>3.10</w:t>
            </w:r>
          </w:p>
        </w:tc>
      </w:tr>
      <w:tr w:rsidR="00964B8F">
        <w:trPr>
          <w:jc w:val="center"/>
        </w:trPr>
        <w:tc>
          <w:tcPr>
            <w:tcW w:w="855" w:type="dxa"/>
            <w:vAlign w:val="center"/>
          </w:tcPr>
          <w:p w:rsidR="00964B8F" w:rsidRDefault="00C72105">
            <w:pPr>
              <w:jc w:val="center"/>
            </w:pPr>
            <w:r>
              <w:rPr>
                <w:color w:val="000000"/>
                <w:sz w:val="24"/>
                <w:szCs w:val="24"/>
              </w:rPr>
              <w:t>7</w:t>
            </w:r>
          </w:p>
        </w:tc>
        <w:tc>
          <w:tcPr>
            <w:tcW w:w="1334" w:type="dxa"/>
            <w:vAlign w:val="center"/>
          </w:tcPr>
          <w:p w:rsidR="00964B8F" w:rsidRDefault="00C72105">
            <w:pPr>
              <w:jc w:val="center"/>
            </w:pPr>
            <w:r>
              <w:rPr>
                <w:color w:val="000000"/>
                <w:sz w:val="24"/>
                <w:szCs w:val="24"/>
              </w:rPr>
              <w:t>600893</w:t>
            </w:r>
          </w:p>
        </w:tc>
        <w:tc>
          <w:tcPr>
            <w:tcW w:w="1777" w:type="dxa"/>
            <w:vAlign w:val="center"/>
          </w:tcPr>
          <w:p w:rsidR="00964B8F" w:rsidRDefault="00C72105">
            <w:pPr>
              <w:jc w:val="center"/>
            </w:pPr>
            <w:r>
              <w:rPr>
                <w:color w:val="000000"/>
                <w:sz w:val="24"/>
                <w:szCs w:val="24"/>
              </w:rPr>
              <w:t>航空动力</w:t>
            </w:r>
          </w:p>
        </w:tc>
        <w:tc>
          <w:tcPr>
            <w:tcW w:w="1334" w:type="dxa"/>
            <w:vAlign w:val="center"/>
          </w:tcPr>
          <w:p w:rsidR="00964B8F" w:rsidRDefault="00C72105">
            <w:pPr>
              <w:jc w:val="right"/>
            </w:pPr>
            <w:r>
              <w:rPr>
                <w:color w:val="000000"/>
                <w:sz w:val="24"/>
                <w:szCs w:val="24"/>
              </w:rPr>
              <w:t>1,245,373</w:t>
            </w:r>
          </w:p>
        </w:tc>
        <w:tc>
          <w:tcPr>
            <w:tcW w:w="1924" w:type="dxa"/>
            <w:vAlign w:val="center"/>
          </w:tcPr>
          <w:p w:rsidR="00964B8F" w:rsidRDefault="00C72105">
            <w:pPr>
              <w:jc w:val="right"/>
            </w:pPr>
            <w:r>
              <w:rPr>
                <w:color w:val="000000"/>
                <w:sz w:val="24"/>
                <w:szCs w:val="24"/>
              </w:rPr>
              <w:t>25,953,573.32</w:t>
            </w:r>
          </w:p>
        </w:tc>
        <w:tc>
          <w:tcPr>
            <w:tcW w:w="1644" w:type="dxa"/>
            <w:vAlign w:val="center"/>
          </w:tcPr>
          <w:p w:rsidR="00964B8F" w:rsidRDefault="00C72105">
            <w:pPr>
              <w:jc w:val="right"/>
            </w:pPr>
            <w:r>
              <w:rPr>
                <w:color w:val="000000"/>
                <w:sz w:val="24"/>
                <w:szCs w:val="24"/>
              </w:rPr>
              <w:t>2.69</w:t>
            </w:r>
          </w:p>
        </w:tc>
      </w:tr>
      <w:tr w:rsidR="00964B8F">
        <w:trPr>
          <w:jc w:val="center"/>
        </w:trPr>
        <w:tc>
          <w:tcPr>
            <w:tcW w:w="855" w:type="dxa"/>
            <w:vAlign w:val="center"/>
          </w:tcPr>
          <w:p w:rsidR="00964B8F" w:rsidRDefault="00C72105">
            <w:pPr>
              <w:jc w:val="center"/>
            </w:pPr>
            <w:r>
              <w:rPr>
                <w:color w:val="000000"/>
                <w:sz w:val="24"/>
                <w:szCs w:val="24"/>
              </w:rPr>
              <w:t>8</w:t>
            </w:r>
          </w:p>
        </w:tc>
        <w:tc>
          <w:tcPr>
            <w:tcW w:w="1334" w:type="dxa"/>
            <w:vAlign w:val="center"/>
          </w:tcPr>
          <w:p w:rsidR="00964B8F" w:rsidRDefault="00C72105">
            <w:pPr>
              <w:jc w:val="center"/>
            </w:pPr>
            <w:r>
              <w:rPr>
                <w:color w:val="000000"/>
                <w:sz w:val="24"/>
                <w:szCs w:val="24"/>
              </w:rPr>
              <w:t>300334</w:t>
            </w:r>
          </w:p>
        </w:tc>
        <w:tc>
          <w:tcPr>
            <w:tcW w:w="1777" w:type="dxa"/>
            <w:vAlign w:val="center"/>
          </w:tcPr>
          <w:p w:rsidR="00964B8F" w:rsidRDefault="00C72105">
            <w:pPr>
              <w:jc w:val="center"/>
            </w:pPr>
            <w:r>
              <w:rPr>
                <w:color w:val="000000"/>
                <w:sz w:val="24"/>
                <w:szCs w:val="24"/>
              </w:rPr>
              <w:t>津膜科技</w:t>
            </w:r>
          </w:p>
        </w:tc>
        <w:tc>
          <w:tcPr>
            <w:tcW w:w="1334" w:type="dxa"/>
            <w:vAlign w:val="center"/>
          </w:tcPr>
          <w:p w:rsidR="00964B8F" w:rsidRDefault="00C72105">
            <w:pPr>
              <w:jc w:val="right"/>
            </w:pPr>
            <w:r>
              <w:rPr>
                <w:color w:val="000000"/>
                <w:sz w:val="24"/>
                <w:szCs w:val="24"/>
              </w:rPr>
              <w:t>759,717</w:t>
            </w:r>
          </w:p>
        </w:tc>
        <w:tc>
          <w:tcPr>
            <w:tcW w:w="1924" w:type="dxa"/>
            <w:vAlign w:val="center"/>
          </w:tcPr>
          <w:p w:rsidR="00964B8F" w:rsidRDefault="00C72105">
            <w:pPr>
              <w:jc w:val="right"/>
            </w:pPr>
            <w:r>
              <w:rPr>
                <w:color w:val="000000"/>
                <w:sz w:val="24"/>
                <w:szCs w:val="24"/>
              </w:rPr>
              <w:t>25,222,604.40</w:t>
            </w:r>
          </w:p>
        </w:tc>
        <w:tc>
          <w:tcPr>
            <w:tcW w:w="1644" w:type="dxa"/>
            <w:vAlign w:val="center"/>
          </w:tcPr>
          <w:p w:rsidR="00964B8F" w:rsidRDefault="00C72105">
            <w:pPr>
              <w:jc w:val="right"/>
            </w:pPr>
            <w:r>
              <w:rPr>
                <w:color w:val="000000"/>
                <w:sz w:val="24"/>
                <w:szCs w:val="24"/>
              </w:rPr>
              <w:t>2.61</w:t>
            </w:r>
          </w:p>
        </w:tc>
      </w:tr>
      <w:tr w:rsidR="00964B8F">
        <w:trPr>
          <w:jc w:val="center"/>
        </w:trPr>
        <w:tc>
          <w:tcPr>
            <w:tcW w:w="855" w:type="dxa"/>
            <w:vAlign w:val="center"/>
          </w:tcPr>
          <w:p w:rsidR="00964B8F" w:rsidRDefault="00C72105">
            <w:pPr>
              <w:jc w:val="center"/>
            </w:pPr>
            <w:r>
              <w:rPr>
                <w:color w:val="000000"/>
                <w:sz w:val="24"/>
                <w:szCs w:val="24"/>
              </w:rPr>
              <w:t>9</w:t>
            </w:r>
          </w:p>
        </w:tc>
        <w:tc>
          <w:tcPr>
            <w:tcW w:w="1334" w:type="dxa"/>
            <w:vAlign w:val="center"/>
          </w:tcPr>
          <w:p w:rsidR="00964B8F" w:rsidRDefault="00C72105">
            <w:pPr>
              <w:jc w:val="center"/>
            </w:pPr>
            <w:r>
              <w:rPr>
                <w:color w:val="000000"/>
                <w:sz w:val="24"/>
                <w:szCs w:val="24"/>
              </w:rPr>
              <w:t>601179</w:t>
            </w:r>
          </w:p>
        </w:tc>
        <w:tc>
          <w:tcPr>
            <w:tcW w:w="1777" w:type="dxa"/>
            <w:vAlign w:val="center"/>
          </w:tcPr>
          <w:p w:rsidR="00964B8F" w:rsidRDefault="00C72105">
            <w:pPr>
              <w:jc w:val="center"/>
            </w:pPr>
            <w:r>
              <w:rPr>
                <w:color w:val="000000"/>
                <w:sz w:val="24"/>
                <w:szCs w:val="24"/>
              </w:rPr>
              <w:t>中国西电</w:t>
            </w:r>
          </w:p>
        </w:tc>
        <w:tc>
          <w:tcPr>
            <w:tcW w:w="1334" w:type="dxa"/>
            <w:vAlign w:val="center"/>
          </w:tcPr>
          <w:p w:rsidR="00964B8F" w:rsidRDefault="00C72105">
            <w:pPr>
              <w:jc w:val="right"/>
            </w:pPr>
            <w:r>
              <w:rPr>
                <w:color w:val="000000"/>
                <w:sz w:val="24"/>
                <w:szCs w:val="24"/>
              </w:rPr>
              <w:t>6,252,107</w:t>
            </w:r>
          </w:p>
        </w:tc>
        <w:tc>
          <w:tcPr>
            <w:tcW w:w="1924" w:type="dxa"/>
            <w:vAlign w:val="center"/>
          </w:tcPr>
          <w:p w:rsidR="00964B8F" w:rsidRDefault="00C72105">
            <w:pPr>
              <w:jc w:val="right"/>
            </w:pPr>
            <w:r>
              <w:rPr>
                <w:color w:val="000000"/>
                <w:sz w:val="24"/>
                <w:szCs w:val="24"/>
              </w:rPr>
              <w:t>23,382,880.18</w:t>
            </w:r>
          </w:p>
        </w:tc>
        <w:tc>
          <w:tcPr>
            <w:tcW w:w="1644" w:type="dxa"/>
            <w:vAlign w:val="center"/>
          </w:tcPr>
          <w:p w:rsidR="00964B8F" w:rsidRDefault="00C72105">
            <w:pPr>
              <w:jc w:val="right"/>
            </w:pPr>
            <w:r>
              <w:rPr>
                <w:color w:val="000000"/>
                <w:sz w:val="24"/>
                <w:szCs w:val="24"/>
              </w:rPr>
              <w:t>2.42</w:t>
            </w:r>
          </w:p>
        </w:tc>
      </w:tr>
      <w:tr w:rsidR="00964B8F">
        <w:trPr>
          <w:jc w:val="center"/>
        </w:trPr>
        <w:tc>
          <w:tcPr>
            <w:tcW w:w="855" w:type="dxa"/>
            <w:vAlign w:val="center"/>
          </w:tcPr>
          <w:p w:rsidR="00964B8F" w:rsidRDefault="00C72105">
            <w:pPr>
              <w:jc w:val="center"/>
            </w:pPr>
            <w:r>
              <w:rPr>
                <w:color w:val="000000"/>
                <w:sz w:val="24"/>
                <w:szCs w:val="24"/>
              </w:rPr>
              <w:t>10</w:t>
            </w:r>
          </w:p>
        </w:tc>
        <w:tc>
          <w:tcPr>
            <w:tcW w:w="1334" w:type="dxa"/>
            <w:vAlign w:val="center"/>
          </w:tcPr>
          <w:p w:rsidR="00964B8F" w:rsidRDefault="00C72105">
            <w:pPr>
              <w:jc w:val="center"/>
            </w:pPr>
            <w:r>
              <w:rPr>
                <w:color w:val="000000"/>
                <w:sz w:val="24"/>
                <w:szCs w:val="24"/>
              </w:rPr>
              <w:t>300335</w:t>
            </w:r>
          </w:p>
        </w:tc>
        <w:tc>
          <w:tcPr>
            <w:tcW w:w="1777" w:type="dxa"/>
            <w:vAlign w:val="center"/>
          </w:tcPr>
          <w:p w:rsidR="00964B8F" w:rsidRDefault="00C72105">
            <w:pPr>
              <w:jc w:val="center"/>
            </w:pPr>
            <w:r>
              <w:rPr>
                <w:color w:val="000000"/>
                <w:sz w:val="24"/>
                <w:szCs w:val="24"/>
              </w:rPr>
              <w:t>迪森股份</w:t>
            </w:r>
          </w:p>
        </w:tc>
        <w:tc>
          <w:tcPr>
            <w:tcW w:w="1334" w:type="dxa"/>
            <w:vAlign w:val="center"/>
          </w:tcPr>
          <w:p w:rsidR="00964B8F" w:rsidRDefault="00C72105">
            <w:pPr>
              <w:jc w:val="right"/>
            </w:pPr>
            <w:r>
              <w:rPr>
                <w:color w:val="000000"/>
                <w:sz w:val="24"/>
                <w:szCs w:val="24"/>
              </w:rPr>
              <w:t>1,577,489</w:t>
            </w:r>
          </w:p>
        </w:tc>
        <w:tc>
          <w:tcPr>
            <w:tcW w:w="1924" w:type="dxa"/>
            <w:vAlign w:val="center"/>
          </w:tcPr>
          <w:p w:rsidR="00964B8F" w:rsidRDefault="00C72105">
            <w:pPr>
              <w:jc w:val="right"/>
            </w:pPr>
            <w:r>
              <w:rPr>
                <w:color w:val="000000"/>
                <w:sz w:val="24"/>
                <w:szCs w:val="24"/>
              </w:rPr>
              <w:t>21,974,421.77</w:t>
            </w:r>
          </w:p>
        </w:tc>
        <w:tc>
          <w:tcPr>
            <w:tcW w:w="1644" w:type="dxa"/>
            <w:vAlign w:val="center"/>
          </w:tcPr>
          <w:p w:rsidR="00964B8F" w:rsidRDefault="00C72105">
            <w:pPr>
              <w:jc w:val="right"/>
            </w:pPr>
            <w:r>
              <w:rPr>
                <w:color w:val="000000"/>
                <w:sz w:val="24"/>
                <w:szCs w:val="24"/>
              </w:rPr>
              <w:t>2.28</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132,144.80</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171,256.16</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24,330,758.12</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24,634,159.08</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流通受限情况说明</w:t>
            </w:r>
          </w:p>
        </w:tc>
      </w:tr>
      <w:tr w:rsidR="00964B8F">
        <w:trPr>
          <w:jc w:val="center"/>
        </w:trPr>
        <w:tc>
          <w:tcPr>
            <w:tcW w:w="1129" w:type="dxa"/>
            <w:vAlign w:val="center"/>
          </w:tcPr>
          <w:p w:rsidR="00964B8F" w:rsidRDefault="00C72105">
            <w:pPr>
              <w:jc w:val="center"/>
            </w:pPr>
            <w:r>
              <w:rPr>
                <w:color w:val="000000"/>
                <w:sz w:val="24"/>
                <w:szCs w:val="24"/>
              </w:rPr>
              <w:t>1</w:t>
            </w:r>
          </w:p>
        </w:tc>
        <w:tc>
          <w:tcPr>
            <w:tcW w:w="1356" w:type="dxa"/>
            <w:vAlign w:val="center"/>
          </w:tcPr>
          <w:p w:rsidR="00964B8F" w:rsidRDefault="00C72105">
            <w:pPr>
              <w:jc w:val="center"/>
            </w:pPr>
            <w:r>
              <w:rPr>
                <w:color w:val="000000"/>
                <w:sz w:val="24"/>
                <w:szCs w:val="24"/>
              </w:rPr>
              <w:t>002223</w:t>
            </w:r>
          </w:p>
        </w:tc>
        <w:tc>
          <w:tcPr>
            <w:tcW w:w="1355" w:type="dxa"/>
            <w:vAlign w:val="center"/>
          </w:tcPr>
          <w:p w:rsidR="00964B8F" w:rsidRDefault="00C72105">
            <w:pPr>
              <w:jc w:val="center"/>
            </w:pPr>
            <w:r>
              <w:rPr>
                <w:color w:val="000000"/>
                <w:sz w:val="24"/>
                <w:szCs w:val="24"/>
              </w:rPr>
              <w:t>鱼跃医疗</w:t>
            </w:r>
          </w:p>
        </w:tc>
        <w:tc>
          <w:tcPr>
            <w:tcW w:w="1880" w:type="dxa"/>
            <w:vAlign w:val="center"/>
          </w:tcPr>
          <w:p w:rsidR="00964B8F" w:rsidRDefault="00C72105">
            <w:pPr>
              <w:jc w:val="right"/>
            </w:pPr>
            <w:r>
              <w:rPr>
                <w:color w:val="000000"/>
                <w:sz w:val="24"/>
                <w:szCs w:val="24"/>
              </w:rPr>
              <w:t>33,859,044.52</w:t>
            </w:r>
          </w:p>
        </w:tc>
        <w:tc>
          <w:tcPr>
            <w:tcW w:w="1724" w:type="dxa"/>
            <w:vAlign w:val="center"/>
          </w:tcPr>
          <w:p w:rsidR="00964B8F" w:rsidRDefault="00C72105">
            <w:pPr>
              <w:jc w:val="right"/>
            </w:pPr>
            <w:r>
              <w:rPr>
                <w:color w:val="000000"/>
                <w:sz w:val="24"/>
                <w:szCs w:val="24"/>
              </w:rPr>
              <w:t>3.51</w:t>
            </w:r>
          </w:p>
        </w:tc>
        <w:tc>
          <w:tcPr>
            <w:tcW w:w="1424" w:type="dxa"/>
            <w:vAlign w:val="center"/>
          </w:tcPr>
          <w:p w:rsidR="00964B8F" w:rsidRDefault="00C72105">
            <w:pPr>
              <w:jc w:val="right"/>
            </w:pPr>
            <w:r>
              <w:rPr>
                <w:color w:val="000000"/>
                <w:sz w:val="24"/>
                <w:szCs w:val="24"/>
              </w:rPr>
              <w:t>重大事项</w:t>
            </w:r>
          </w:p>
        </w:tc>
      </w:tr>
      <w:tr w:rsidR="00964B8F">
        <w:trPr>
          <w:jc w:val="center"/>
        </w:trPr>
        <w:tc>
          <w:tcPr>
            <w:tcW w:w="1129" w:type="dxa"/>
            <w:vAlign w:val="center"/>
          </w:tcPr>
          <w:p w:rsidR="00964B8F" w:rsidRDefault="00C72105">
            <w:pPr>
              <w:jc w:val="center"/>
            </w:pPr>
            <w:r>
              <w:rPr>
                <w:color w:val="000000"/>
                <w:sz w:val="24"/>
                <w:szCs w:val="24"/>
              </w:rPr>
              <w:t>2</w:t>
            </w:r>
          </w:p>
        </w:tc>
        <w:tc>
          <w:tcPr>
            <w:tcW w:w="1356" w:type="dxa"/>
            <w:vAlign w:val="center"/>
          </w:tcPr>
          <w:p w:rsidR="00964B8F" w:rsidRDefault="00C72105">
            <w:pPr>
              <w:jc w:val="center"/>
            </w:pPr>
            <w:r>
              <w:rPr>
                <w:color w:val="000000"/>
                <w:sz w:val="24"/>
                <w:szCs w:val="24"/>
              </w:rPr>
              <w:t>300334</w:t>
            </w:r>
          </w:p>
        </w:tc>
        <w:tc>
          <w:tcPr>
            <w:tcW w:w="1355" w:type="dxa"/>
            <w:vAlign w:val="center"/>
          </w:tcPr>
          <w:p w:rsidR="00964B8F" w:rsidRDefault="00C72105">
            <w:pPr>
              <w:jc w:val="center"/>
            </w:pPr>
            <w:r>
              <w:rPr>
                <w:color w:val="000000"/>
                <w:sz w:val="24"/>
                <w:szCs w:val="24"/>
              </w:rPr>
              <w:t>津膜科技</w:t>
            </w:r>
          </w:p>
        </w:tc>
        <w:tc>
          <w:tcPr>
            <w:tcW w:w="1880" w:type="dxa"/>
            <w:vAlign w:val="center"/>
          </w:tcPr>
          <w:p w:rsidR="00964B8F" w:rsidRDefault="00C72105">
            <w:pPr>
              <w:jc w:val="right"/>
            </w:pPr>
            <w:r>
              <w:rPr>
                <w:color w:val="000000"/>
                <w:sz w:val="24"/>
                <w:szCs w:val="24"/>
              </w:rPr>
              <w:t>25,222,604.40</w:t>
            </w:r>
          </w:p>
        </w:tc>
        <w:tc>
          <w:tcPr>
            <w:tcW w:w="1724" w:type="dxa"/>
            <w:vAlign w:val="center"/>
          </w:tcPr>
          <w:p w:rsidR="00964B8F" w:rsidRDefault="00C72105">
            <w:pPr>
              <w:jc w:val="right"/>
            </w:pPr>
            <w:r>
              <w:rPr>
                <w:color w:val="000000"/>
                <w:sz w:val="24"/>
                <w:szCs w:val="24"/>
              </w:rPr>
              <w:t>2.61</w:t>
            </w:r>
          </w:p>
        </w:tc>
        <w:tc>
          <w:tcPr>
            <w:tcW w:w="1424" w:type="dxa"/>
            <w:vAlign w:val="center"/>
          </w:tcPr>
          <w:p w:rsidR="00964B8F" w:rsidRDefault="00C72105">
            <w:pPr>
              <w:jc w:val="right"/>
            </w:pPr>
            <w:r>
              <w:rPr>
                <w:color w:val="000000"/>
                <w:sz w:val="24"/>
                <w:szCs w:val="24"/>
              </w:rPr>
              <w:t>重大事项</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622,267,737.30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648,169,195.50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432,923,370.07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837,513,562.73</w:t>
            </w:r>
          </w:p>
        </w:tc>
      </w:tr>
    </w:tbl>
    <w:p w:rsidR="00964B8F" w:rsidRDefault="00C7210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7361BC">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ED2620">
      <w:pPr>
        <w:autoSpaceDE w:val="0"/>
        <w:autoSpaceDN w:val="0"/>
        <w:adjustRightInd w:val="0"/>
        <w:spacing w:before="29" w:line="360"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pStyle w:val="ad"/>
              <w:adjustRightInd w:val="0"/>
              <w:snapToGrid w:val="0"/>
              <w:spacing w:line="360" w:lineRule="exact"/>
              <w:rPr>
                <w:rFonts w:eastAsia="方正仿宋简体"/>
                <w:color w:val="000000"/>
              </w:rPr>
            </w:pPr>
            <w:r w:rsidRPr="00ED2620">
              <w:rPr>
                <w:color w:val="000000"/>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20,004,400.00</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20,004,400.00</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2.39</w:t>
            </w:r>
          </w:p>
        </w:tc>
      </w:tr>
    </w:tbl>
    <w:p w:rsidR="00964B8F" w:rsidRDefault="00C7210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410630">
      <w:pPr>
        <w:autoSpaceDE w:val="0"/>
        <w:autoSpaceDN w:val="0"/>
        <w:adjustRightInd w:val="0"/>
        <w:spacing w:before="29" w:line="288" w:lineRule="auto"/>
        <w:jc w:val="left"/>
        <w:rPr>
          <w:rFonts w:eastAsiaTheme="minorEastAsia"/>
          <w:color w:val="000000"/>
          <w:sz w:val="24"/>
        </w:rPr>
      </w:pPr>
    </w:p>
    <w:p w:rsidR="00410630" w:rsidRPr="00410630" w:rsidRDefault="00410630" w:rsidP="00A04970">
      <w:pPr>
        <w:autoSpaceDE w:val="0"/>
        <w:autoSpaceDN w:val="0"/>
        <w:adjustRightInd w:val="0"/>
        <w:spacing w:before="29" w:line="288" w:lineRule="auto"/>
        <w:jc w:val="left"/>
        <w:rPr>
          <w:rFonts w:eastAsiaTheme="minorEastAsia"/>
          <w:b/>
          <w:color w:val="000000"/>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DA14B0">
      <w:pPr>
        <w:autoSpaceDE w:val="0"/>
        <w:autoSpaceDN w:val="0"/>
        <w:adjustRightInd w:val="0"/>
        <w:spacing w:before="29" w:line="288" w:lineRule="auto"/>
        <w:jc w:val="left"/>
        <w:rPr>
          <w:color w:val="000000"/>
          <w:sz w:val="24"/>
        </w:rPr>
      </w:pPr>
    </w:p>
    <w:p w:rsidR="004061AC" w:rsidRPr="00414345" w:rsidRDefault="004061AC" w:rsidP="007361B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）基金行业股票估值指数的通知》的指导意见，经与基金托管人协商一致，本基金对其所持有的鱼跃医疗（证券代码：</w:t>
      </w:r>
      <w:r w:rsidRPr="00414345">
        <w:rPr>
          <w:color w:val="000000"/>
          <w:sz w:val="24"/>
          <w:szCs w:val="24"/>
        </w:rPr>
        <w:t>002223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日起按照指数收益法进行估值。</w:t>
      </w:r>
    </w:p>
    <w:p w:rsidR="00ED6E80" w:rsidRPr="00414345" w:rsidRDefault="00ED6E80" w:rsidP="00DA14B0">
      <w:pPr>
        <w:spacing w:before="29" w:line="288" w:lineRule="auto"/>
        <w:ind w:firstLineChars="200" w:firstLine="480"/>
        <w:rPr>
          <w:color w:val="000000"/>
          <w:sz w:val="24"/>
          <w:szCs w:val="24"/>
        </w:rPr>
      </w:pPr>
    </w:p>
    <w:p w:rsidR="004061AC" w:rsidRPr="00414345" w:rsidRDefault="004061AC" w:rsidP="007361B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64B8F" w:rsidRDefault="00C7210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964B8F" w:rsidRDefault="00C7210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、《交银施罗德先进制造股票证券投资基金基金合同》；</w:t>
      </w:r>
      <w:r>
        <w:rPr>
          <w:color w:val="000000"/>
          <w:sz w:val="24"/>
          <w:szCs w:val="24"/>
        </w:rPr>
        <w:t xml:space="preserve"> </w:t>
      </w:r>
    </w:p>
    <w:p w:rsidR="00964B8F" w:rsidRDefault="00C7210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、《交银施罗德先进制造股票证券投资基金招募说明书》；</w:t>
      </w:r>
      <w:r>
        <w:rPr>
          <w:color w:val="000000"/>
          <w:sz w:val="24"/>
          <w:szCs w:val="24"/>
        </w:rPr>
        <w:t xml:space="preserve"> </w:t>
      </w:r>
    </w:p>
    <w:p w:rsidR="00964B8F" w:rsidRDefault="00C7210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、《交银施罗德先进制造股票证券投资基金托管协议》；</w:t>
      </w:r>
    </w:p>
    <w:p w:rsidR="00964B8F" w:rsidRDefault="00C7210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964B8F" w:rsidRDefault="00C7210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964B8F" w:rsidRDefault="00C7210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、报告期内交银施罗德先进制造股票证券投资基金在指定报刊上各项公告的原稿。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64B8F" w:rsidRDefault="00C7210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05A" w:rsidRDefault="00F1605A" w:rsidP="00876D65">
      <w:r>
        <w:separator/>
      </w:r>
    </w:p>
  </w:endnote>
  <w:endnote w:type="continuationSeparator" w:id="0">
    <w:p w:rsidR="00F1605A" w:rsidRDefault="00F1605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42287">
      <w:rPr>
        <w:kern w:val="0"/>
        <w:szCs w:val="21"/>
      </w:rPr>
      <w:fldChar w:fldCharType="begin"/>
    </w:r>
    <w:r>
      <w:rPr>
        <w:kern w:val="0"/>
        <w:szCs w:val="21"/>
      </w:rPr>
      <w:instrText xml:space="preserve"> PAGE </w:instrText>
    </w:r>
    <w:r w:rsidR="00042287">
      <w:rPr>
        <w:kern w:val="0"/>
        <w:szCs w:val="21"/>
      </w:rPr>
      <w:fldChar w:fldCharType="separate"/>
    </w:r>
    <w:r w:rsidR="00A04970">
      <w:rPr>
        <w:noProof/>
        <w:kern w:val="0"/>
        <w:szCs w:val="21"/>
      </w:rPr>
      <w:t>1</w:t>
    </w:r>
    <w:r w:rsidR="00042287">
      <w:rPr>
        <w:kern w:val="0"/>
        <w:szCs w:val="21"/>
      </w:rPr>
      <w:fldChar w:fldCharType="end"/>
    </w:r>
    <w:r>
      <w:rPr>
        <w:rFonts w:hint="eastAsia"/>
        <w:kern w:val="0"/>
        <w:szCs w:val="21"/>
      </w:rPr>
      <w:t>页共</w:t>
    </w:r>
    <w:r w:rsidR="00042287">
      <w:rPr>
        <w:kern w:val="0"/>
        <w:szCs w:val="21"/>
      </w:rPr>
      <w:fldChar w:fldCharType="begin"/>
    </w:r>
    <w:r>
      <w:rPr>
        <w:kern w:val="0"/>
        <w:szCs w:val="21"/>
      </w:rPr>
      <w:instrText xml:space="preserve"> NUMPAGES </w:instrText>
    </w:r>
    <w:r w:rsidR="00042287">
      <w:rPr>
        <w:kern w:val="0"/>
        <w:szCs w:val="21"/>
      </w:rPr>
      <w:fldChar w:fldCharType="separate"/>
    </w:r>
    <w:r w:rsidR="00A04970">
      <w:rPr>
        <w:noProof/>
        <w:kern w:val="0"/>
        <w:szCs w:val="21"/>
      </w:rPr>
      <w:t>11</w:t>
    </w:r>
    <w:r w:rsidR="0004228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05A" w:rsidRDefault="00F1605A" w:rsidP="00876D65">
      <w:r>
        <w:separator/>
      </w:r>
    </w:p>
  </w:footnote>
  <w:footnote w:type="continuationSeparator" w:id="0">
    <w:p w:rsidR="00F1605A" w:rsidRDefault="00F1605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2287"/>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4D20"/>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299B"/>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361BC"/>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64B8F"/>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4970"/>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105"/>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E5776"/>
    <w:rsid w:val="00EF17AB"/>
    <w:rsid w:val="00EF6FA5"/>
    <w:rsid w:val="00F11104"/>
    <w:rsid w:val="00F1605A"/>
    <w:rsid w:val="00F16E3F"/>
    <w:rsid w:val="00F22499"/>
    <w:rsid w:val="00F22B0F"/>
    <w:rsid w:val="00F24B42"/>
    <w:rsid w:val="00F24F73"/>
    <w:rsid w:val="00F27299"/>
    <w:rsid w:val="00F31F6E"/>
    <w:rsid w:val="00F3389C"/>
    <w:rsid w:val="00F375F2"/>
    <w:rsid w:val="00F42E24"/>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D30C389-26A3-4FBD-B942-53ED7A108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4D4B-AE8B-4B04-B21F-12230F6B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990</Words>
  <Characters>5644</Characters>
  <Application>Microsoft Office Word</Application>
  <DocSecurity>0</DocSecurity>
  <Lines>47</Lines>
  <Paragraphs>13</Paragraphs>
  <ScaleCrop>false</ScaleCrop>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2014-04-16T12:32:00Z</dcterms:created>
  <dcterms:modified xsi:type="dcterms:W3CDTF">2014-04-16T12:32:00Z</dcterms:modified>
</cp:coreProperties>
</file>