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DA14B0">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2279D3" w:rsidRPr="00414345" w:rsidRDefault="002279D3" w:rsidP="00DA14B0">
      <w:pPr>
        <w:spacing w:before="29" w:line="288" w:lineRule="auto"/>
        <w:jc w:val="center"/>
        <w:rPr>
          <w:b/>
          <w:sz w:val="24"/>
          <w:szCs w:val="24"/>
        </w:rPr>
      </w:pPr>
      <w:r w:rsidRPr="00414345">
        <w:rPr>
          <w:b/>
          <w:sz w:val="24"/>
          <w:szCs w:val="24"/>
        </w:rPr>
        <w:t>交银施罗德趋势优先股票证券投资基金</w:t>
      </w:r>
    </w:p>
    <w:p w:rsidR="002279D3" w:rsidRPr="00414345" w:rsidRDefault="002279D3" w:rsidP="00DA14B0">
      <w:pPr>
        <w:spacing w:before="29" w:line="288" w:lineRule="auto"/>
        <w:jc w:val="center"/>
        <w:rPr>
          <w:b/>
          <w:sz w:val="24"/>
          <w:szCs w:val="24"/>
        </w:rPr>
      </w:pPr>
      <w:r w:rsidRPr="00414345">
        <w:rPr>
          <w:b/>
          <w:sz w:val="24"/>
          <w:szCs w:val="24"/>
        </w:rPr>
        <w:t>2014</w:t>
      </w:r>
      <w:r w:rsidRPr="00414345">
        <w:rPr>
          <w:b/>
          <w:sz w:val="24"/>
          <w:szCs w:val="24"/>
        </w:rPr>
        <w:t>年第</w:t>
      </w:r>
      <w:r w:rsidRPr="00414345">
        <w:rPr>
          <w:b/>
          <w:sz w:val="24"/>
          <w:szCs w:val="24"/>
        </w:rPr>
        <w:t>1</w:t>
      </w:r>
      <w:r w:rsidRPr="00414345">
        <w:rPr>
          <w:b/>
          <w:sz w:val="24"/>
          <w:szCs w:val="24"/>
        </w:rPr>
        <w:t>季度报告</w:t>
      </w:r>
    </w:p>
    <w:p w:rsidR="004061AC" w:rsidRPr="00414345" w:rsidRDefault="00655CD8" w:rsidP="00DA14B0">
      <w:pPr>
        <w:spacing w:before="29" w:line="288" w:lineRule="auto"/>
        <w:jc w:val="center"/>
        <w:rPr>
          <w:sz w:val="24"/>
          <w:szCs w:val="24"/>
        </w:rPr>
      </w:pPr>
      <w:r w:rsidRPr="00414345">
        <w:rPr>
          <w:sz w:val="24"/>
          <w:szCs w:val="24"/>
        </w:rPr>
        <w:t>2014</w:t>
      </w:r>
      <w:r w:rsidRPr="00414345">
        <w:rPr>
          <w:sz w:val="24"/>
          <w:szCs w:val="24"/>
        </w:rPr>
        <w:t>年</w:t>
      </w:r>
      <w:r w:rsidRPr="00414345">
        <w:rPr>
          <w:sz w:val="24"/>
          <w:szCs w:val="24"/>
        </w:rPr>
        <w:t>3</w:t>
      </w:r>
      <w:r w:rsidRPr="00414345">
        <w:rPr>
          <w:sz w:val="24"/>
          <w:szCs w:val="24"/>
        </w:rPr>
        <w:t>月</w:t>
      </w:r>
      <w:r w:rsidRPr="00414345">
        <w:rPr>
          <w:sz w:val="24"/>
          <w:szCs w:val="24"/>
        </w:rPr>
        <w:t>31</w:t>
      </w:r>
      <w:r w:rsidRPr="00414345">
        <w:rPr>
          <w:sz w:val="24"/>
          <w:szCs w:val="24"/>
        </w:rPr>
        <w:t>日</w:t>
      </w: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基金管理人：交银施罗德基金管理有限公司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基金托管人：中国工商银行股份有限公司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b/>
          <w:color w:val="000000"/>
          <w:sz w:val="24"/>
          <w:szCs w:val="24"/>
        </w:rPr>
        <w:sectPr w:rsidR="004061AC" w:rsidRPr="00414345" w:rsidSect="00000678">
          <w:headerReference w:type="default" r:id="rId8"/>
          <w:footerReference w:type="default" r:id="rId9"/>
          <w:pgSz w:w="11926" w:h="15840"/>
          <w:pgMar w:top="1418" w:right="1440" w:bottom="851" w:left="1440" w:header="851" w:footer="992" w:gutter="0"/>
          <w:cols w:space="720"/>
          <w:noEndnote/>
        </w:sectPr>
      </w:pPr>
      <w:r w:rsidRPr="00414345">
        <w:rPr>
          <w:color w:val="000000"/>
          <w:sz w:val="24"/>
          <w:szCs w:val="24"/>
        </w:rPr>
        <w:t>报告送出日期：</w:t>
      </w:r>
      <w:r w:rsidR="00F16E3F" w:rsidRPr="00414345">
        <w:rPr>
          <w:color w:val="000000"/>
          <w:sz w:val="24"/>
          <w:szCs w:val="24"/>
        </w:rPr>
        <w:t>二〇一四年四月二十二日</w:t>
      </w:r>
    </w:p>
    <w:p w:rsidR="004061AC" w:rsidRPr="00414345" w:rsidRDefault="004061AC" w:rsidP="00B936A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E557B" w:rsidRDefault="00B936A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E557B" w:rsidRDefault="00B936AE">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E557B" w:rsidRDefault="00B936A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E557B" w:rsidRDefault="00B936A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E557B" w:rsidRDefault="00B936AE">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DA14B0">
      <w:pPr>
        <w:spacing w:before="29" w:line="288" w:lineRule="auto"/>
        <w:ind w:firstLineChars="200" w:firstLine="480"/>
        <w:rPr>
          <w:color w:val="000000"/>
          <w:sz w:val="24"/>
          <w:szCs w:val="24"/>
        </w:rPr>
      </w:pPr>
    </w:p>
    <w:p w:rsidR="004061AC" w:rsidRPr="00414345" w:rsidRDefault="004061AC" w:rsidP="00B936A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DA14B0">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DA14B0">
            <w:pPr>
              <w:adjustRightInd w:val="0"/>
              <w:spacing w:before="29" w:line="288" w:lineRule="auto"/>
              <w:ind w:left="17"/>
              <w:jc w:val="left"/>
              <w:rPr>
                <w:color w:val="000000"/>
                <w:kern w:val="0"/>
                <w:sz w:val="24"/>
                <w:szCs w:val="24"/>
              </w:rPr>
            </w:pPr>
            <w:r w:rsidRPr="00414345">
              <w:rPr>
                <w:color w:val="000000"/>
                <w:kern w:val="0"/>
                <w:sz w:val="24"/>
                <w:szCs w:val="24"/>
              </w:rPr>
              <w:t>交银趋势股票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1,086,922,594.08</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中信标普全债指数收</w:t>
            </w:r>
            <w:r w:rsidRPr="00414345">
              <w:rPr>
                <w:color w:val="000000"/>
                <w:kern w:val="0"/>
                <w:sz w:val="24"/>
                <w:szCs w:val="24"/>
              </w:rPr>
              <w:lastRenderedPageBreak/>
              <w:t>益率</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本基金是一只股票型基金，属于基金中的高风险品种，本基金的风险与预期收益高于混合型基金和债券型基金。</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DA14B0">
      <w:pPr>
        <w:autoSpaceDE w:val="0"/>
        <w:autoSpaceDN w:val="0"/>
        <w:adjustRightInd w:val="0"/>
        <w:spacing w:before="29" w:line="288" w:lineRule="auto"/>
        <w:jc w:val="left"/>
        <w:rPr>
          <w:color w:val="000000"/>
          <w:kern w:val="0"/>
          <w:sz w:val="24"/>
          <w:szCs w:val="24"/>
        </w:rPr>
      </w:pPr>
    </w:p>
    <w:p w:rsidR="004061AC" w:rsidRPr="00414345" w:rsidRDefault="004061AC" w:rsidP="00B936A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936AE" w:rsidRPr="00414345" w:rsidTr="00B936AE">
        <w:trPr>
          <w:jc w:val="center"/>
        </w:trPr>
        <w:tc>
          <w:tcPr>
            <w:tcW w:w="3402" w:type="dxa"/>
            <w:vAlign w:val="center"/>
          </w:tcPr>
          <w:p w:rsidR="00C21520" w:rsidRPr="00414345" w:rsidRDefault="00C21520" w:rsidP="00DA14B0">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B936AE" w:rsidRPr="00414345" w:rsidTr="00B936AE">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-26,371,502.14</w:t>
            </w:r>
          </w:p>
        </w:tc>
      </w:tr>
      <w:tr w:rsidR="00B936AE" w:rsidRPr="00414345" w:rsidTr="00B936AE">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-71,847,885.76</w:t>
            </w:r>
          </w:p>
        </w:tc>
      </w:tr>
      <w:tr w:rsidR="00B936AE" w:rsidRPr="00414345" w:rsidTr="00B936AE">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-0.0633</w:t>
            </w:r>
          </w:p>
        </w:tc>
      </w:tr>
      <w:tr w:rsidR="00B936AE" w:rsidRPr="00414345" w:rsidTr="00B936AE">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796,049,056.78</w:t>
            </w:r>
          </w:p>
        </w:tc>
      </w:tr>
      <w:tr w:rsidR="00B936AE" w:rsidRPr="00414345" w:rsidTr="00B936AE">
        <w:trPr>
          <w:trHeight w:val="158"/>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0.732</w:t>
            </w:r>
          </w:p>
        </w:tc>
      </w:tr>
    </w:tbl>
    <w:p w:rsidR="000E557B" w:rsidRDefault="00B936A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E557B">
        <w:trPr>
          <w:jc w:val="center"/>
        </w:trPr>
        <w:tc>
          <w:tcPr>
            <w:tcW w:w="1701" w:type="dxa"/>
            <w:vAlign w:val="center"/>
          </w:tcPr>
          <w:p w:rsidR="000E557B" w:rsidRDefault="00B936AE">
            <w:pPr>
              <w:jc w:val="left"/>
            </w:pPr>
            <w:r>
              <w:rPr>
                <w:color w:val="000000"/>
                <w:sz w:val="24"/>
                <w:szCs w:val="24"/>
              </w:rPr>
              <w:t>过去三个月</w:t>
            </w:r>
          </w:p>
        </w:tc>
        <w:tc>
          <w:tcPr>
            <w:tcW w:w="1045" w:type="dxa"/>
            <w:vAlign w:val="center"/>
          </w:tcPr>
          <w:p w:rsidR="000E557B" w:rsidRDefault="00B936AE">
            <w:pPr>
              <w:jc w:val="center"/>
            </w:pPr>
            <w:r>
              <w:rPr>
                <w:color w:val="000000"/>
                <w:sz w:val="24"/>
                <w:szCs w:val="24"/>
              </w:rPr>
              <w:t>-8.39%</w:t>
            </w:r>
          </w:p>
        </w:tc>
        <w:tc>
          <w:tcPr>
            <w:tcW w:w="1344" w:type="dxa"/>
            <w:vAlign w:val="center"/>
          </w:tcPr>
          <w:p w:rsidR="000E557B" w:rsidRDefault="00B936AE">
            <w:pPr>
              <w:jc w:val="center"/>
            </w:pPr>
            <w:r>
              <w:rPr>
                <w:color w:val="000000"/>
                <w:sz w:val="24"/>
                <w:szCs w:val="24"/>
              </w:rPr>
              <w:t>1.31%</w:t>
            </w:r>
          </w:p>
        </w:tc>
        <w:tc>
          <w:tcPr>
            <w:tcW w:w="1194" w:type="dxa"/>
            <w:vAlign w:val="center"/>
          </w:tcPr>
          <w:p w:rsidR="000E557B" w:rsidRDefault="00B936AE">
            <w:pPr>
              <w:jc w:val="center"/>
            </w:pPr>
            <w:r>
              <w:rPr>
                <w:color w:val="000000"/>
                <w:sz w:val="24"/>
                <w:szCs w:val="24"/>
              </w:rPr>
              <w:t>-5.57%</w:t>
            </w:r>
          </w:p>
        </w:tc>
        <w:tc>
          <w:tcPr>
            <w:tcW w:w="1492" w:type="dxa"/>
            <w:vAlign w:val="center"/>
          </w:tcPr>
          <w:p w:rsidR="000E557B" w:rsidRDefault="00B936AE">
            <w:pPr>
              <w:jc w:val="center"/>
            </w:pPr>
            <w:r>
              <w:rPr>
                <w:color w:val="000000"/>
                <w:sz w:val="24"/>
                <w:szCs w:val="24"/>
              </w:rPr>
              <w:t>0.90%</w:t>
            </w:r>
          </w:p>
        </w:tc>
        <w:tc>
          <w:tcPr>
            <w:tcW w:w="1194" w:type="dxa"/>
            <w:vAlign w:val="center"/>
          </w:tcPr>
          <w:p w:rsidR="000E557B" w:rsidRDefault="00B936AE">
            <w:pPr>
              <w:jc w:val="center"/>
            </w:pPr>
            <w:r>
              <w:rPr>
                <w:color w:val="000000"/>
                <w:sz w:val="24"/>
                <w:szCs w:val="24"/>
              </w:rPr>
              <w:t>-2.82%</w:t>
            </w:r>
          </w:p>
        </w:tc>
        <w:tc>
          <w:tcPr>
            <w:tcW w:w="898" w:type="dxa"/>
            <w:vAlign w:val="center"/>
          </w:tcPr>
          <w:p w:rsidR="000E557B" w:rsidRDefault="00B936AE">
            <w:pPr>
              <w:jc w:val="center"/>
            </w:pPr>
            <w:r>
              <w:rPr>
                <w:color w:val="000000"/>
                <w:sz w:val="24"/>
                <w:szCs w:val="24"/>
              </w:rPr>
              <w:t>0.41%</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C6002A" w:rsidRPr="00414345">
        <w:rPr>
          <w:b/>
          <w:bCs/>
          <w:color w:val="000000"/>
          <w:sz w:val="24"/>
        </w:rPr>
        <w:t>自基金合同生效以来基金份额累计净值增长率变动及其与同期业绩比较基准收益率变动的比较</w:t>
      </w:r>
    </w:p>
    <w:p w:rsidR="008606B6" w:rsidRPr="00414345" w:rsidRDefault="008606B6" w:rsidP="00DA14B0">
      <w:pPr>
        <w:spacing w:before="29" w:line="288" w:lineRule="auto"/>
        <w:jc w:val="center"/>
        <w:rPr>
          <w:color w:val="000000"/>
          <w:sz w:val="24"/>
          <w:szCs w:val="24"/>
        </w:rPr>
      </w:pPr>
      <w:r w:rsidRPr="00414345">
        <w:rPr>
          <w:color w:val="000000"/>
          <w:sz w:val="24"/>
          <w:szCs w:val="24"/>
        </w:rPr>
        <w:t>交银施罗德趋势优先股票证券投资基金</w:t>
      </w:r>
    </w:p>
    <w:p w:rsidR="004061AC" w:rsidRPr="00414345" w:rsidRDefault="00B56F53"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DA14B0">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DA14B0">
      <w:pPr>
        <w:tabs>
          <w:tab w:val="left" w:pos="1800"/>
        </w:tabs>
        <w:spacing w:before="29" w:line="288" w:lineRule="auto"/>
        <w:rPr>
          <w:color w:val="000000"/>
          <w:sz w:val="24"/>
          <w:szCs w:val="24"/>
        </w:rPr>
      </w:pPr>
    </w:p>
    <w:p w:rsidR="004061AC" w:rsidRPr="00414345" w:rsidRDefault="004061AC" w:rsidP="00B936A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850"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1560"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DA14B0">
            <w:pPr>
              <w:widowControl/>
              <w:spacing w:before="29" w:line="288" w:lineRule="auto"/>
              <w:jc w:val="left"/>
              <w:rPr>
                <w:color w:val="000000"/>
                <w:kern w:val="0"/>
                <w:sz w:val="24"/>
                <w:szCs w:val="24"/>
              </w:rPr>
            </w:pPr>
          </w:p>
        </w:tc>
      </w:tr>
      <w:tr w:rsidR="000E557B">
        <w:trPr>
          <w:jc w:val="center"/>
        </w:trPr>
        <w:tc>
          <w:tcPr>
            <w:tcW w:w="846" w:type="dxa"/>
            <w:vAlign w:val="center"/>
          </w:tcPr>
          <w:p w:rsidR="000E557B" w:rsidRDefault="00B936AE">
            <w:pPr>
              <w:jc w:val="center"/>
            </w:pPr>
            <w:r>
              <w:rPr>
                <w:color w:val="000000"/>
                <w:sz w:val="24"/>
                <w:szCs w:val="24"/>
              </w:rPr>
              <w:t>管华雨</w:t>
            </w:r>
          </w:p>
        </w:tc>
        <w:tc>
          <w:tcPr>
            <w:tcW w:w="845" w:type="dxa"/>
            <w:vAlign w:val="center"/>
          </w:tcPr>
          <w:p w:rsidR="000E557B" w:rsidRDefault="00B936AE" w:rsidP="00D7388A">
            <w:pPr>
              <w:jc w:val="center"/>
            </w:pPr>
            <w:r>
              <w:rPr>
                <w:color w:val="000000"/>
                <w:sz w:val="24"/>
                <w:szCs w:val="24"/>
              </w:rPr>
              <w:t>本基金、交银成长股票、交银成长</w:t>
            </w:r>
            <w:r>
              <w:rPr>
                <w:color w:val="000000"/>
                <w:sz w:val="24"/>
                <w:szCs w:val="24"/>
              </w:rPr>
              <w:t>30</w:t>
            </w:r>
            <w:r>
              <w:rPr>
                <w:color w:val="000000"/>
                <w:sz w:val="24"/>
                <w:szCs w:val="24"/>
              </w:rPr>
              <w:t>股票的基金经理，公司权益投资总监</w:t>
            </w:r>
          </w:p>
        </w:tc>
        <w:tc>
          <w:tcPr>
            <w:tcW w:w="1549" w:type="dxa"/>
            <w:vAlign w:val="center"/>
          </w:tcPr>
          <w:p w:rsidR="000E557B" w:rsidRDefault="00B936AE">
            <w:pPr>
              <w:jc w:val="center"/>
            </w:pPr>
            <w:r>
              <w:rPr>
                <w:color w:val="000000"/>
                <w:sz w:val="24"/>
                <w:szCs w:val="24"/>
              </w:rPr>
              <w:t>2013-08-08</w:t>
            </w:r>
          </w:p>
        </w:tc>
        <w:tc>
          <w:tcPr>
            <w:tcW w:w="1548" w:type="dxa"/>
            <w:vAlign w:val="center"/>
          </w:tcPr>
          <w:p w:rsidR="000E557B" w:rsidRDefault="00B936AE">
            <w:pPr>
              <w:jc w:val="center"/>
            </w:pPr>
            <w:r>
              <w:rPr>
                <w:color w:val="000000"/>
                <w:sz w:val="24"/>
                <w:szCs w:val="24"/>
              </w:rPr>
              <w:t>-</w:t>
            </w:r>
          </w:p>
        </w:tc>
        <w:tc>
          <w:tcPr>
            <w:tcW w:w="1407" w:type="dxa"/>
            <w:vAlign w:val="center"/>
          </w:tcPr>
          <w:p w:rsidR="000E557B" w:rsidRDefault="00B936AE">
            <w:pPr>
              <w:jc w:val="center"/>
            </w:pPr>
            <w:r>
              <w:rPr>
                <w:color w:val="000000"/>
                <w:sz w:val="24"/>
                <w:szCs w:val="24"/>
              </w:rPr>
              <w:t>12</w:t>
            </w:r>
            <w:r>
              <w:rPr>
                <w:color w:val="000000"/>
                <w:sz w:val="24"/>
                <w:szCs w:val="24"/>
              </w:rPr>
              <w:t>年</w:t>
            </w:r>
          </w:p>
        </w:tc>
        <w:tc>
          <w:tcPr>
            <w:tcW w:w="2673" w:type="dxa"/>
            <w:vAlign w:val="center"/>
          </w:tcPr>
          <w:p w:rsidR="000E557B" w:rsidRDefault="00B936AE">
            <w:r>
              <w:rPr>
                <w:color w:val="000000"/>
                <w:sz w:val="24"/>
                <w:szCs w:val="24"/>
              </w:rPr>
              <w:t>管华雨先生，</w:t>
            </w:r>
            <w:r>
              <w:rPr>
                <w:color w:val="000000"/>
                <w:sz w:val="24"/>
                <w:szCs w:val="24"/>
              </w:rPr>
              <w:t>CFA</w:t>
            </w:r>
            <w:r>
              <w:rPr>
                <w:color w:val="000000"/>
                <w:sz w:val="24"/>
                <w:szCs w:val="24"/>
              </w:rPr>
              <w:t>，博士学历。历任申银万国证券股份有限公司投资部投资经理、高级投资经理，信诚基金管理有限公司分析师、基金经理助理和基金经理。其中</w:t>
            </w:r>
            <w:r>
              <w:rPr>
                <w:color w:val="000000"/>
                <w:sz w:val="24"/>
                <w:szCs w:val="24"/>
              </w:rPr>
              <w:t>2007</w:t>
            </w:r>
            <w:r>
              <w:rPr>
                <w:color w:val="000000"/>
                <w:sz w:val="24"/>
                <w:szCs w:val="24"/>
              </w:rPr>
              <w:t>年</w:t>
            </w:r>
            <w:r>
              <w:rPr>
                <w:color w:val="000000"/>
                <w:sz w:val="24"/>
                <w:szCs w:val="24"/>
              </w:rPr>
              <w:t>5</w:t>
            </w:r>
            <w:r>
              <w:rPr>
                <w:color w:val="000000"/>
                <w:sz w:val="24"/>
                <w:szCs w:val="24"/>
              </w:rPr>
              <w:t>月至</w:t>
            </w:r>
            <w:r>
              <w:rPr>
                <w:color w:val="000000"/>
                <w:sz w:val="24"/>
                <w:szCs w:val="24"/>
              </w:rPr>
              <w:t>2010</w:t>
            </w:r>
            <w:r>
              <w:rPr>
                <w:color w:val="000000"/>
                <w:sz w:val="24"/>
                <w:szCs w:val="24"/>
              </w:rPr>
              <w:t>年</w:t>
            </w:r>
            <w:r>
              <w:rPr>
                <w:color w:val="000000"/>
                <w:sz w:val="24"/>
                <w:szCs w:val="24"/>
              </w:rPr>
              <w:t>5</w:t>
            </w:r>
            <w:r>
              <w:rPr>
                <w:color w:val="000000"/>
                <w:sz w:val="24"/>
                <w:szCs w:val="24"/>
              </w:rPr>
              <w:t>月担任信诚四季红混合型证券投资基金基金经理。</w:t>
            </w:r>
            <w:r>
              <w:rPr>
                <w:color w:val="000000"/>
                <w:sz w:val="24"/>
                <w:szCs w:val="24"/>
              </w:rPr>
              <w:t>2010</w:t>
            </w:r>
            <w:r>
              <w:rPr>
                <w:color w:val="000000"/>
                <w:sz w:val="24"/>
                <w:szCs w:val="24"/>
              </w:rPr>
              <w:t>年加入交银施罗德基金管理有限公司，历任权益部总经理助理、副总经理、总经理，</w:t>
            </w:r>
            <w:r>
              <w:rPr>
                <w:color w:val="000000"/>
                <w:sz w:val="24"/>
                <w:szCs w:val="24"/>
              </w:rPr>
              <w:t>2010</w:t>
            </w:r>
            <w:r>
              <w:rPr>
                <w:color w:val="000000"/>
                <w:sz w:val="24"/>
                <w:szCs w:val="24"/>
              </w:rPr>
              <w:t>年</w:t>
            </w:r>
            <w:r>
              <w:rPr>
                <w:color w:val="000000"/>
                <w:sz w:val="24"/>
                <w:szCs w:val="24"/>
              </w:rPr>
              <w:t>12</w:t>
            </w:r>
            <w:r>
              <w:rPr>
                <w:color w:val="000000"/>
                <w:sz w:val="24"/>
                <w:szCs w:val="24"/>
              </w:rPr>
              <w:t>月</w:t>
            </w:r>
            <w:r>
              <w:rPr>
                <w:color w:val="000000"/>
                <w:sz w:val="24"/>
                <w:szCs w:val="24"/>
              </w:rPr>
              <w:t>22</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12</w:t>
            </w:r>
            <w:r>
              <w:rPr>
                <w:color w:val="000000"/>
                <w:sz w:val="24"/>
                <w:szCs w:val="24"/>
              </w:rPr>
              <w:t>日担任交银施罗德趋势优先股票证券投资基金基金经理，</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13</w:t>
            </w:r>
            <w:r>
              <w:rPr>
                <w:color w:val="000000"/>
                <w:sz w:val="24"/>
                <w:szCs w:val="24"/>
              </w:rPr>
              <w:t>日至</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25</w:t>
            </w:r>
            <w:r>
              <w:rPr>
                <w:color w:val="000000"/>
                <w:sz w:val="24"/>
                <w:szCs w:val="24"/>
              </w:rPr>
              <w:t>日担任交银施罗德精选股票证券投资基金基金经理。</w:t>
            </w:r>
          </w:p>
        </w:tc>
      </w:tr>
      <w:tr w:rsidR="000E557B">
        <w:trPr>
          <w:jc w:val="center"/>
        </w:trPr>
        <w:tc>
          <w:tcPr>
            <w:tcW w:w="846" w:type="dxa"/>
            <w:vAlign w:val="center"/>
          </w:tcPr>
          <w:p w:rsidR="000E557B" w:rsidRDefault="00B936AE">
            <w:pPr>
              <w:jc w:val="center"/>
            </w:pPr>
            <w:r>
              <w:rPr>
                <w:color w:val="000000"/>
                <w:sz w:val="24"/>
                <w:szCs w:val="24"/>
              </w:rPr>
              <w:t>曹文俊</w:t>
            </w:r>
          </w:p>
        </w:tc>
        <w:tc>
          <w:tcPr>
            <w:tcW w:w="845" w:type="dxa"/>
            <w:vAlign w:val="center"/>
          </w:tcPr>
          <w:p w:rsidR="000E557B" w:rsidRDefault="00B936AE">
            <w:pPr>
              <w:jc w:val="center"/>
            </w:pPr>
            <w:r>
              <w:rPr>
                <w:color w:val="000000"/>
                <w:sz w:val="24"/>
                <w:szCs w:val="24"/>
              </w:rPr>
              <w:t>本基金的基金经理</w:t>
            </w:r>
          </w:p>
        </w:tc>
        <w:tc>
          <w:tcPr>
            <w:tcW w:w="1549" w:type="dxa"/>
            <w:vAlign w:val="center"/>
          </w:tcPr>
          <w:p w:rsidR="000E557B" w:rsidRDefault="00B936AE">
            <w:pPr>
              <w:jc w:val="center"/>
            </w:pPr>
            <w:r>
              <w:rPr>
                <w:color w:val="000000"/>
                <w:sz w:val="24"/>
                <w:szCs w:val="24"/>
              </w:rPr>
              <w:t>2013-08-08</w:t>
            </w:r>
          </w:p>
        </w:tc>
        <w:tc>
          <w:tcPr>
            <w:tcW w:w="1548" w:type="dxa"/>
            <w:vAlign w:val="center"/>
          </w:tcPr>
          <w:p w:rsidR="000E557B" w:rsidRDefault="00B936AE">
            <w:pPr>
              <w:jc w:val="center"/>
            </w:pPr>
            <w:r>
              <w:rPr>
                <w:color w:val="000000"/>
                <w:sz w:val="24"/>
                <w:szCs w:val="24"/>
              </w:rPr>
              <w:t>-</w:t>
            </w:r>
          </w:p>
        </w:tc>
        <w:tc>
          <w:tcPr>
            <w:tcW w:w="1407" w:type="dxa"/>
            <w:vAlign w:val="center"/>
          </w:tcPr>
          <w:p w:rsidR="000E557B" w:rsidRDefault="00B936AE">
            <w:pPr>
              <w:jc w:val="center"/>
            </w:pPr>
            <w:r>
              <w:rPr>
                <w:color w:val="000000"/>
                <w:sz w:val="24"/>
                <w:szCs w:val="24"/>
              </w:rPr>
              <w:t>9</w:t>
            </w:r>
            <w:r>
              <w:rPr>
                <w:color w:val="000000"/>
                <w:sz w:val="24"/>
                <w:szCs w:val="24"/>
              </w:rPr>
              <w:t>年</w:t>
            </w:r>
          </w:p>
        </w:tc>
        <w:tc>
          <w:tcPr>
            <w:tcW w:w="2673" w:type="dxa"/>
            <w:vAlign w:val="center"/>
          </w:tcPr>
          <w:p w:rsidR="000E557B" w:rsidRDefault="00B936AE">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DA14B0">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E557B" w:rsidRDefault="00B936A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E557B" w:rsidRDefault="00B936A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E557B" w:rsidRDefault="00B936A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DA14B0">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DA14B0">
      <w:pPr>
        <w:spacing w:before="29" w:line="288" w:lineRule="auto"/>
        <w:ind w:firstLineChars="200" w:firstLine="480"/>
        <w:rPr>
          <w:color w:val="000000"/>
          <w:sz w:val="24"/>
          <w:szCs w:val="24"/>
        </w:rPr>
      </w:pPr>
      <w:r w:rsidRPr="00414345">
        <w:rPr>
          <w:color w:val="000000"/>
          <w:sz w:val="24"/>
          <w:szCs w:val="24"/>
        </w:rPr>
        <w:t>本报告期内，本公司管理的所有投资组合未发生参与的交易所公开竞价同日反向交易成交较少的单边交易量超过该证券当日总成交量</w:t>
      </w:r>
      <w:r w:rsidRPr="00414345">
        <w:rPr>
          <w:color w:val="000000"/>
          <w:sz w:val="24"/>
          <w:szCs w:val="24"/>
        </w:rPr>
        <w:t>5%</w:t>
      </w:r>
      <w:r w:rsidRPr="00414345">
        <w:rPr>
          <w:color w:val="000000"/>
          <w:sz w:val="24"/>
          <w:szCs w:val="24"/>
        </w:rPr>
        <w:t>的情形。本基金于本报告期内未出现异常交易行为。</w:t>
      </w:r>
    </w:p>
    <w:p w:rsidR="004061AC" w:rsidRPr="00414345" w:rsidRDefault="004061AC"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E557B" w:rsidRDefault="00B936AE">
      <w:pPr>
        <w:spacing w:before="29" w:line="288" w:lineRule="auto"/>
        <w:ind w:firstLineChars="200" w:firstLine="480"/>
        <w:rPr>
          <w:color w:val="000000"/>
          <w:sz w:val="24"/>
          <w:szCs w:val="24"/>
        </w:rPr>
      </w:pPr>
      <w:r>
        <w:rPr>
          <w:color w:val="000000"/>
          <w:sz w:val="24"/>
          <w:szCs w:val="24"/>
        </w:rPr>
        <w:t>2014</w:t>
      </w:r>
      <w:r>
        <w:rPr>
          <w:color w:val="000000"/>
          <w:sz w:val="24"/>
          <w:szCs w:val="24"/>
        </w:rPr>
        <w:t>年一季度沪深股市跌幅较大，其中沪深</w:t>
      </w:r>
      <w:r>
        <w:rPr>
          <w:color w:val="000000"/>
          <w:sz w:val="24"/>
          <w:szCs w:val="24"/>
        </w:rPr>
        <w:t>300</w:t>
      </w:r>
      <w:r>
        <w:rPr>
          <w:color w:val="000000"/>
          <w:sz w:val="24"/>
          <w:szCs w:val="24"/>
        </w:rPr>
        <w:t>指数下跌</w:t>
      </w:r>
      <w:r>
        <w:rPr>
          <w:color w:val="000000"/>
          <w:sz w:val="24"/>
          <w:szCs w:val="24"/>
        </w:rPr>
        <w:t>7.89%</w:t>
      </w:r>
      <w:r>
        <w:rPr>
          <w:color w:val="000000"/>
          <w:sz w:val="24"/>
          <w:szCs w:val="24"/>
        </w:rPr>
        <w:t>，中小板指数下跌</w:t>
      </w:r>
      <w:r>
        <w:rPr>
          <w:color w:val="000000"/>
          <w:sz w:val="24"/>
          <w:szCs w:val="24"/>
        </w:rPr>
        <w:t>7.73%</w:t>
      </w:r>
      <w:r>
        <w:rPr>
          <w:color w:val="000000"/>
          <w:sz w:val="24"/>
          <w:szCs w:val="24"/>
        </w:rPr>
        <w:t>，创业板指数则逆势上涨</w:t>
      </w:r>
      <w:r>
        <w:rPr>
          <w:color w:val="000000"/>
          <w:sz w:val="24"/>
          <w:szCs w:val="24"/>
        </w:rPr>
        <w:t>1.79%</w:t>
      </w:r>
      <w:r>
        <w:rPr>
          <w:color w:val="000000"/>
          <w:sz w:val="24"/>
          <w:szCs w:val="24"/>
        </w:rPr>
        <w:t>。一季度宏观经济下行力度和速度超出预期，信用违约事件初现端倪。</w:t>
      </w:r>
      <w:r>
        <w:rPr>
          <w:color w:val="000000"/>
          <w:sz w:val="24"/>
          <w:szCs w:val="24"/>
        </w:rPr>
        <w:t>1-2</w:t>
      </w:r>
      <w:r>
        <w:rPr>
          <w:color w:val="000000"/>
          <w:sz w:val="24"/>
          <w:szCs w:val="24"/>
        </w:rPr>
        <w:t>月市场在宏观数据尚不明朗的背景下追逐新兴产业主题，</w:t>
      </w:r>
      <w:r>
        <w:rPr>
          <w:color w:val="000000"/>
          <w:sz w:val="24"/>
          <w:szCs w:val="24"/>
        </w:rPr>
        <w:t>3</w:t>
      </w:r>
      <w:r>
        <w:rPr>
          <w:color w:val="000000"/>
          <w:sz w:val="24"/>
          <w:szCs w:val="24"/>
        </w:rPr>
        <w:t>月份风险偏好有所回落，但全季度来看创业板依然明显跑赢主板。一季度本基金配置创业板比例偏低，同时重仓股白马蓝筹股因风格因素跌幅较大，净值表现略跑输业绩比较基准。</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展望二季度，我们判断</w:t>
      </w:r>
      <w:r w:rsidRPr="00414345">
        <w:rPr>
          <w:color w:val="000000"/>
          <w:sz w:val="24"/>
          <w:szCs w:val="24"/>
        </w:rPr>
        <w:t>“</w:t>
      </w:r>
      <w:r w:rsidRPr="00414345">
        <w:rPr>
          <w:color w:val="000000"/>
          <w:sz w:val="24"/>
          <w:szCs w:val="24"/>
        </w:rPr>
        <w:t>经济增速下行有底</w:t>
      </w:r>
      <w:r w:rsidRPr="00414345">
        <w:rPr>
          <w:color w:val="000000"/>
          <w:sz w:val="24"/>
          <w:szCs w:val="24"/>
        </w:rPr>
        <w:t>”</w:t>
      </w:r>
      <w:r w:rsidRPr="00414345">
        <w:rPr>
          <w:color w:val="000000"/>
          <w:sz w:val="24"/>
          <w:szCs w:val="24"/>
        </w:rPr>
        <w:t>，政府稳增长措施推出时点早于预期，此举或将使宏观经济增速企稳。在经济疲弱通货膨胀压力较小的背景下，货币政策总体维持中性偏松的状态。我们倾向于关注符合中期结构转型、受宏观经济影响较小的行业和公司，如医药、环保及清洁能源产业链、自动化等行业。</w:t>
      </w:r>
    </w:p>
    <w:p w:rsidR="00627E2D" w:rsidRPr="00414345" w:rsidRDefault="00627E2D"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0.732</w:t>
      </w:r>
      <w:r w:rsidRPr="00414345">
        <w:rPr>
          <w:color w:val="000000"/>
          <w:sz w:val="24"/>
          <w:szCs w:val="24"/>
        </w:rPr>
        <w:t>元，本报告期份额净值增长率为</w:t>
      </w:r>
      <w:r w:rsidRPr="00414345">
        <w:rPr>
          <w:color w:val="000000"/>
          <w:sz w:val="24"/>
          <w:szCs w:val="24"/>
        </w:rPr>
        <w:t>-8.39%</w:t>
      </w:r>
      <w:r w:rsidRPr="00414345">
        <w:rPr>
          <w:color w:val="000000"/>
          <w:sz w:val="24"/>
          <w:szCs w:val="24"/>
        </w:rPr>
        <w:t>，同期业绩比较基准增长率为</w:t>
      </w:r>
      <w:r w:rsidRPr="00414345">
        <w:rPr>
          <w:color w:val="000000"/>
          <w:sz w:val="24"/>
          <w:szCs w:val="24"/>
        </w:rPr>
        <w:t>-5.57%</w:t>
      </w:r>
      <w:r w:rsidRPr="00414345">
        <w:rPr>
          <w:color w:val="000000"/>
          <w:sz w:val="24"/>
          <w:szCs w:val="24"/>
        </w:rPr>
        <w:t>。</w:t>
      </w:r>
    </w:p>
    <w:p w:rsidR="009C5186" w:rsidRPr="00414345" w:rsidRDefault="009C5186" w:rsidP="00DA14B0">
      <w:pPr>
        <w:spacing w:before="29" w:line="288" w:lineRule="auto"/>
        <w:ind w:firstLineChars="200" w:firstLine="480"/>
        <w:rPr>
          <w:color w:val="000000"/>
          <w:sz w:val="24"/>
          <w:szCs w:val="24"/>
        </w:rPr>
      </w:pPr>
    </w:p>
    <w:p w:rsidR="004061AC" w:rsidRPr="00414345" w:rsidRDefault="004061AC" w:rsidP="00B936A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DA14B0">
            <w:pPr>
              <w:spacing w:before="29" w:line="288" w:lineRule="auto"/>
              <w:ind w:left="17"/>
              <w:jc w:val="right"/>
              <w:rPr>
                <w:color w:val="000000"/>
                <w:sz w:val="24"/>
                <w:szCs w:val="24"/>
              </w:rPr>
            </w:pPr>
            <w:r w:rsidRPr="00414345">
              <w:rPr>
                <w:color w:val="000000"/>
                <w:sz w:val="24"/>
                <w:szCs w:val="24"/>
              </w:rPr>
              <w:t>630,729,983.58</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78.94</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630,729,983.58</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78.94</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22,427,949.82</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2.81</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22,427,949.82</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2.81</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7C395A">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DA14B0">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5142B9">
            <w:pPr>
              <w:spacing w:before="29" w:line="360"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145,068,689.26</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18.16</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DA14B0">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769,089.77</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0.10</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DA14B0">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798,995,712.43</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DA14B0">
      <w:pPr>
        <w:autoSpaceDE w:val="0"/>
        <w:autoSpaceDN w:val="0"/>
        <w:adjustRightInd w:val="0"/>
        <w:spacing w:before="29" w:line="288" w:lineRule="auto"/>
        <w:jc w:val="left"/>
        <w:rPr>
          <w:color w:val="00000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B936AE">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B936AE">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513,802,145.12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64.54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36,890,216.88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1,336,000.00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B936AE">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9,236,041.36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50,714,234.55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6.37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9,600,192.00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960,800.00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8,190,353.67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630,729,983.58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79.23</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E557B">
        <w:trPr>
          <w:jc w:val="center"/>
        </w:trPr>
        <w:tc>
          <w:tcPr>
            <w:tcW w:w="855" w:type="dxa"/>
            <w:vAlign w:val="center"/>
          </w:tcPr>
          <w:p w:rsidR="000E557B" w:rsidRDefault="00B936AE">
            <w:pPr>
              <w:jc w:val="center"/>
            </w:pPr>
            <w:r>
              <w:rPr>
                <w:color w:val="000000"/>
                <w:sz w:val="24"/>
                <w:szCs w:val="24"/>
              </w:rPr>
              <w:t>1</w:t>
            </w:r>
          </w:p>
        </w:tc>
        <w:tc>
          <w:tcPr>
            <w:tcW w:w="1334" w:type="dxa"/>
            <w:vAlign w:val="center"/>
          </w:tcPr>
          <w:p w:rsidR="000E557B" w:rsidRDefault="00B936AE">
            <w:pPr>
              <w:jc w:val="center"/>
            </w:pPr>
            <w:r>
              <w:rPr>
                <w:color w:val="000000"/>
                <w:sz w:val="24"/>
                <w:szCs w:val="24"/>
              </w:rPr>
              <w:t>300024</w:t>
            </w:r>
          </w:p>
        </w:tc>
        <w:tc>
          <w:tcPr>
            <w:tcW w:w="1777" w:type="dxa"/>
            <w:vAlign w:val="center"/>
          </w:tcPr>
          <w:p w:rsidR="000E557B" w:rsidRDefault="00B936AE">
            <w:pPr>
              <w:jc w:val="center"/>
            </w:pPr>
            <w:r>
              <w:rPr>
                <w:color w:val="000000"/>
                <w:sz w:val="24"/>
                <w:szCs w:val="24"/>
              </w:rPr>
              <w:t>机器人</w:t>
            </w:r>
          </w:p>
        </w:tc>
        <w:tc>
          <w:tcPr>
            <w:tcW w:w="1334" w:type="dxa"/>
            <w:vAlign w:val="center"/>
          </w:tcPr>
          <w:p w:rsidR="000E557B" w:rsidRDefault="00B936AE">
            <w:pPr>
              <w:jc w:val="right"/>
            </w:pPr>
            <w:r>
              <w:rPr>
                <w:color w:val="000000"/>
                <w:sz w:val="24"/>
                <w:szCs w:val="24"/>
              </w:rPr>
              <w:t>900,943</w:t>
            </w:r>
          </w:p>
        </w:tc>
        <w:tc>
          <w:tcPr>
            <w:tcW w:w="1924" w:type="dxa"/>
            <w:vAlign w:val="center"/>
          </w:tcPr>
          <w:p w:rsidR="000E557B" w:rsidRDefault="00B936AE">
            <w:pPr>
              <w:jc w:val="right"/>
            </w:pPr>
            <w:r>
              <w:rPr>
                <w:color w:val="000000"/>
                <w:sz w:val="24"/>
                <w:szCs w:val="24"/>
              </w:rPr>
              <w:t>41,173,095.10</w:t>
            </w:r>
          </w:p>
        </w:tc>
        <w:tc>
          <w:tcPr>
            <w:tcW w:w="1644" w:type="dxa"/>
            <w:vAlign w:val="center"/>
          </w:tcPr>
          <w:p w:rsidR="000E557B" w:rsidRDefault="00B936AE">
            <w:pPr>
              <w:jc w:val="right"/>
            </w:pPr>
            <w:r>
              <w:rPr>
                <w:color w:val="000000"/>
                <w:sz w:val="24"/>
                <w:szCs w:val="24"/>
              </w:rPr>
              <w:t>5.17</w:t>
            </w:r>
          </w:p>
        </w:tc>
      </w:tr>
      <w:tr w:rsidR="000E557B">
        <w:trPr>
          <w:jc w:val="center"/>
        </w:trPr>
        <w:tc>
          <w:tcPr>
            <w:tcW w:w="855" w:type="dxa"/>
            <w:vAlign w:val="center"/>
          </w:tcPr>
          <w:p w:rsidR="000E557B" w:rsidRDefault="00B936AE">
            <w:pPr>
              <w:jc w:val="center"/>
            </w:pPr>
            <w:r>
              <w:rPr>
                <w:color w:val="000000"/>
                <w:sz w:val="24"/>
                <w:szCs w:val="24"/>
              </w:rPr>
              <w:t>2</w:t>
            </w:r>
          </w:p>
        </w:tc>
        <w:tc>
          <w:tcPr>
            <w:tcW w:w="1334" w:type="dxa"/>
            <w:vAlign w:val="center"/>
          </w:tcPr>
          <w:p w:rsidR="000E557B" w:rsidRDefault="00B936AE">
            <w:pPr>
              <w:jc w:val="center"/>
            </w:pPr>
            <w:r>
              <w:rPr>
                <w:color w:val="000000"/>
                <w:sz w:val="24"/>
                <w:szCs w:val="24"/>
              </w:rPr>
              <w:t>000671</w:t>
            </w:r>
          </w:p>
        </w:tc>
        <w:tc>
          <w:tcPr>
            <w:tcW w:w="1777" w:type="dxa"/>
            <w:vAlign w:val="center"/>
          </w:tcPr>
          <w:p w:rsidR="000E557B" w:rsidRDefault="00B936AE">
            <w:pPr>
              <w:jc w:val="center"/>
            </w:pPr>
            <w:r>
              <w:rPr>
                <w:color w:val="000000"/>
                <w:sz w:val="24"/>
                <w:szCs w:val="24"/>
              </w:rPr>
              <w:t>阳</w:t>
            </w:r>
            <w:r>
              <w:rPr>
                <w:color w:val="000000"/>
                <w:sz w:val="24"/>
                <w:szCs w:val="24"/>
              </w:rPr>
              <w:t xml:space="preserve"> </w:t>
            </w:r>
            <w:r>
              <w:rPr>
                <w:color w:val="000000"/>
                <w:sz w:val="24"/>
                <w:szCs w:val="24"/>
              </w:rPr>
              <w:t>光</w:t>
            </w:r>
            <w:r>
              <w:rPr>
                <w:color w:val="000000"/>
                <w:sz w:val="24"/>
                <w:szCs w:val="24"/>
              </w:rPr>
              <w:t xml:space="preserve"> </w:t>
            </w:r>
            <w:r>
              <w:rPr>
                <w:color w:val="000000"/>
                <w:sz w:val="24"/>
                <w:szCs w:val="24"/>
              </w:rPr>
              <w:t>城</w:t>
            </w:r>
          </w:p>
        </w:tc>
        <w:tc>
          <w:tcPr>
            <w:tcW w:w="1334" w:type="dxa"/>
            <w:vAlign w:val="center"/>
          </w:tcPr>
          <w:p w:rsidR="000E557B" w:rsidRDefault="00B936AE">
            <w:pPr>
              <w:jc w:val="right"/>
            </w:pPr>
            <w:r>
              <w:rPr>
                <w:color w:val="000000"/>
                <w:sz w:val="24"/>
                <w:szCs w:val="24"/>
              </w:rPr>
              <w:t>3,499,919</w:t>
            </w:r>
          </w:p>
        </w:tc>
        <w:tc>
          <w:tcPr>
            <w:tcW w:w="1924" w:type="dxa"/>
            <w:vAlign w:val="center"/>
          </w:tcPr>
          <w:p w:rsidR="000E557B" w:rsidRDefault="00B936AE">
            <w:pPr>
              <w:jc w:val="right"/>
            </w:pPr>
            <w:r>
              <w:rPr>
                <w:color w:val="000000"/>
                <w:sz w:val="24"/>
                <w:szCs w:val="24"/>
              </w:rPr>
              <w:t>33,074,234.55</w:t>
            </w:r>
          </w:p>
        </w:tc>
        <w:tc>
          <w:tcPr>
            <w:tcW w:w="1644" w:type="dxa"/>
            <w:vAlign w:val="center"/>
          </w:tcPr>
          <w:p w:rsidR="000E557B" w:rsidRDefault="00B936AE">
            <w:pPr>
              <w:jc w:val="right"/>
            </w:pPr>
            <w:r>
              <w:rPr>
                <w:color w:val="000000"/>
                <w:sz w:val="24"/>
                <w:szCs w:val="24"/>
              </w:rPr>
              <w:t>4.15</w:t>
            </w:r>
          </w:p>
        </w:tc>
      </w:tr>
      <w:tr w:rsidR="000E557B">
        <w:trPr>
          <w:jc w:val="center"/>
        </w:trPr>
        <w:tc>
          <w:tcPr>
            <w:tcW w:w="855" w:type="dxa"/>
            <w:vAlign w:val="center"/>
          </w:tcPr>
          <w:p w:rsidR="000E557B" w:rsidRDefault="00B936AE">
            <w:pPr>
              <w:jc w:val="center"/>
            </w:pPr>
            <w:r>
              <w:rPr>
                <w:color w:val="000000"/>
                <w:sz w:val="24"/>
                <w:szCs w:val="24"/>
              </w:rPr>
              <w:t>3</w:t>
            </w:r>
          </w:p>
        </w:tc>
        <w:tc>
          <w:tcPr>
            <w:tcW w:w="1334" w:type="dxa"/>
            <w:vAlign w:val="center"/>
          </w:tcPr>
          <w:p w:rsidR="000E557B" w:rsidRDefault="00B936AE">
            <w:pPr>
              <w:jc w:val="center"/>
            </w:pPr>
            <w:r>
              <w:rPr>
                <w:color w:val="000000"/>
                <w:sz w:val="24"/>
                <w:szCs w:val="24"/>
              </w:rPr>
              <w:t>002415</w:t>
            </w:r>
          </w:p>
        </w:tc>
        <w:tc>
          <w:tcPr>
            <w:tcW w:w="1777" w:type="dxa"/>
            <w:vAlign w:val="center"/>
          </w:tcPr>
          <w:p w:rsidR="000E557B" w:rsidRDefault="00B936AE">
            <w:pPr>
              <w:jc w:val="center"/>
            </w:pPr>
            <w:r>
              <w:rPr>
                <w:color w:val="000000"/>
                <w:sz w:val="24"/>
                <w:szCs w:val="24"/>
              </w:rPr>
              <w:t>海康威视</w:t>
            </w:r>
          </w:p>
        </w:tc>
        <w:tc>
          <w:tcPr>
            <w:tcW w:w="1334" w:type="dxa"/>
            <w:vAlign w:val="center"/>
          </w:tcPr>
          <w:p w:rsidR="000E557B" w:rsidRDefault="00B936AE">
            <w:pPr>
              <w:jc w:val="right"/>
            </w:pPr>
            <w:r>
              <w:rPr>
                <w:color w:val="000000"/>
                <w:sz w:val="24"/>
                <w:szCs w:val="24"/>
              </w:rPr>
              <w:t>1,700,218</w:t>
            </w:r>
          </w:p>
        </w:tc>
        <w:tc>
          <w:tcPr>
            <w:tcW w:w="1924" w:type="dxa"/>
            <w:vAlign w:val="center"/>
          </w:tcPr>
          <w:p w:rsidR="000E557B" w:rsidRDefault="00B936AE">
            <w:pPr>
              <w:jc w:val="right"/>
            </w:pPr>
            <w:r>
              <w:rPr>
                <w:color w:val="000000"/>
                <w:sz w:val="24"/>
                <w:szCs w:val="24"/>
              </w:rPr>
              <w:t>29,668,804.10</w:t>
            </w:r>
          </w:p>
        </w:tc>
        <w:tc>
          <w:tcPr>
            <w:tcW w:w="1644" w:type="dxa"/>
            <w:vAlign w:val="center"/>
          </w:tcPr>
          <w:p w:rsidR="000E557B" w:rsidRDefault="00B936AE">
            <w:pPr>
              <w:jc w:val="right"/>
            </w:pPr>
            <w:r>
              <w:rPr>
                <w:color w:val="000000"/>
                <w:sz w:val="24"/>
                <w:szCs w:val="24"/>
              </w:rPr>
              <w:t>3.73</w:t>
            </w:r>
          </w:p>
        </w:tc>
      </w:tr>
      <w:tr w:rsidR="000E557B">
        <w:trPr>
          <w:jc w:val="center"/>
        </w:trPr>
        <w:tc>
          <w:tcPr>
            <w:tcW w:w="855" w:type="dxa"/>
            <w:vAlign w:val="center"/>
          </w:tcPr>
          <w:p w:rsidR="000E557B" w:rsidRDefault="00B936AE">
            <w:pPr>
              <w:jc w:val="center"/>
            </w:pPr>
            <w:r>
              <w:rPr>
                <w:color w:val="000000"/>
                <w:sz w:val="24"/>
                <w:szCs w:val="24"/>
              </w:rPr>
              <w:t>4</w:t>
            </w:r>
          </w:p>
        </w:tc>
        <w:tc>
          <w:tcPr>
            <w:tcW w:w="1334" w:type="dxa"/>
            <w:vAlign w:val="center"/>
          </w:tcPr>
          <w:p w:rsidR="000E557B" w:rsidRDefault="00B936AE">
            <w:pPr>
              <w:jc w:val="center"/>
            </w:pPr>
            <w:r>
              <w:rPr>
                <w:color w:val="000000"/>
                <w:sz w:val="24"/>
                <w:szCs w:val="24"/>
              </w:rPr>
              <w:t>000625</w:t>
            </w:r>
          </w:p>
        </w:tc>
        <w:tc>
          <w:tcPr>
            <w:tcW w:w="1777" w:type="dxa"/>
            <w:vAlign w:val="center"/>
          </w:tcPr>
          <w:p w:rsidR="000E557B" w:rsidRDefault="00B936AE">
            <w:pPr>
              <w:jc w:val="center"/>
            </w:pPr>
            <w:r>
              <w:rPr>
                <w:color w:val="000000"/>
                <w:sz w:val="24"/>
                <w:szCs w:val="24"/>
              </w:rPr>
              <w:t>长安汽车</w:t>
            </w:r>
          </w:p>
        </w:tc>
        <w:tc>
          <w:tcPr>
            <w:tcW w:w="1334" w:type="dxa"/>
            <w:vAlign w:val="center"/>
          </w:tcPr>
          <w:p w:rsidR="000E557B" w:rsidRDefault="00B936AE">
            <w:pPr>
              <w:jc w:val="right"/>
            </w:pPr>
            <w:r>
              <w:rPr>
                <w:color w:val="000000"/>
                <w:sz w:val="24"/>
                <w:szCs w:val="24"/>
              </w:rPr>
              <w:t>2,999,903</w:t>
            </w:r>
          </w:p>
        </w:tc>
        <w:tc>
          <w:tcPr>
            <w:tcW w:w="1924" w:type="dxa"/>
            <w:vAlign w:val="center"/>
          </w:tcPr>
          <w:p w:rsidR="000E557B" w:rsidRDefault="00B936AE">
            <w:pPr>
              <w:jc w:val="right"/>
            </w:pPr>
            <w:r>
              <w:rPr>
                <w:color w:val="000000"/>
                <w:sz w:val="24"/>
                <w:szCs w:val="24"/>
              </w:rPr>
              <w:t>28,709,071.71</w:t>
            </w:r>
          </w:p>
        </w:tc>
        <w:tc>
          <w:tcPr>
            <w:tcW w:w="1644" w:type="dxa"/>
            <w:vAlign w:val="center"/>
          </w:tcPr>
          <w:p w:rsidR="000E557B" w:rsidRDefault="00B936AE">
            <w:pPr>
              <w:jc w:val="right"/>
            </w:pPr>
            <w:r>
              <w:rPr>
                <w:color w:val="000000"/>
                <w:sz w:val="24"/>
                <w:szCs w:val="24"/>
              </w:rPr>
              <w:t>3.61</w:t>
            </w:r>
          </w:p>
        </w:tc>
      </w:tr>
      <w:tr w:rsidR="000E557B">
        <w:trPr>
          <w:jc w:val="center"/>
        </w:trPr>
        <w:tc>
          <w:tcPr>
            <w:tcW w:w="855" w:type="dxa"/>
            <w:vAlign w:val="center"/>
          </w:tcPr>
          <w:p w:rsidR="000E557B" w:rsidRDefault="00B936AE">
            <w:pPr>
              <w:jc w:val="center"/>
            </w:pPr>
            <w:r>
              <w:rPr>
                <w:color w:val="000000"/>
                <w:sz w:val="24"/>
                <w:szCs w:val="24"/>
              </w:rPr>
              <w:t>5</w:t>
            </w:r>
          </w:p>
        </w:tc>
        <w:tc>
          <w:tcPr>
            <w:tcW w:w="1334" w:type="dxa"/>
            <w:vAlign w:val="center"/>
          </w:tcPr>
          <w:p w:rsidR="000E557B" w:rsidRDefault="00B936AE">
            <w:pPr>
              <w:jc w:val="center"/>
            </w:pPr>
            <w:r>
              <w:rPr>
                <w:color w:val="000000"/>
                <w:sz w:val="24"/>
                <w:szCs w:val="24"/>
              </w:rPr>
              <w:t>002317</w:t>
            </w:r>
          </w:p>
        </w:tc>
        <w:tc>
          <w:tcPr>
            <w:tcW w:w="1777" w:type="dxa"/>
            <w:vAlign w:val="center"/>
          </w:tcPr>
          <w:p w:rsidR="000E557B" w:rsidRDefault="00B936AE">
            <w:pPr>
              <w:jc w:val="center"/>
            </w:pPr>
            <w:r>
              <w:rPr>
                <w:color w:val="000000"/>
                <w:sz w:val="24"/>
                <w:szCs w:val="24"/>
              </w:rPr>
              <w:t>众生药业</w:t>
            </w:r>
          </w:p>
        </w:tc>
        <w:tc>
          <w:tcPr>
            <w:tcW w:w="1334" w:type="dxa"/>
            <w:vAlign w:val="center"/>
          </w:tcPr>
          <w:p w:rsidR="000E557B" w:rsidRDefault="00B936AE">
            <w:pPr>
              <w:jc w:val="right"/>
            </w:pPr>
            <w:r>
              <w:rPr>
                <w:color w:val="000000"/>
                <w:sz w:val="24"/>
                <w:szCs w:val="24"/>
              </w:rPr>
              <w:t>1,518,710</w:t>
            </w:r>
          </w:p>
        </w:tc>
        <w:tc>
          <w:tcPr>
            <w:tcW w:w="1924" w:type="dxa"/>
            <w:vAlign w:val="center"/>
          </w:tcPr>
          <w:p w:rsidR="000E557B" w:rsidRDefault="00B936AE">
            <w:pPr>
              <w:jc w:val="right"/>
            </w:pPr>
            <w:r>
              <w:rPr>
                <w:color w:val="000000"/>
                <w:sz w:val="24"/>
                <w:szCs w:val="24"/>
              </w:rPr>
              <w:t>28,080,947.90</w:t>
            </w:r>
          </w:p>
        </w:tc>
        <w:tc>
          <w:tcPr>
            <w:tcW w:w="1644" w:type="dxa"/>
            <w:vAlign w:val="center"/>
          </w:tcPr>
          <w:p w:rsidR="000E557B" w:rsidRDefault="00B936AE">
            <w:pPr>
              <w:jc w:val="right"/>
            </w:pPr>
            <w:r>
              <w:rPr>
                <w:color w:val="000000"/>
                <w:sz w:val="24"/>
                <w:szCs w:val="24"/>
              </w:rPr>
              <w:t>3.53</w:t>
            </w:r>
          </w:p>
        </w:tc>
      </w:tr>
      <w:tr w:rsidR="000E557B">
        <w:trPr>
          <w:jc w:val="center"/>
        </w:trPr>
        <w:tc>
          <w:tcPr>
            <w:tcW w:w="855" w:type="dxa"/>
            <w:vAlign w:val="center"/>
          </w:tcPr>
          <w:p w:rsidR="000E557B" w:rsidRDefault="00B936AE">
            <w:pPr>
              <w:jc w:val="center"/>
            </w:pPr>
            <w:r>
              <w:rPr>
                <w:color w:val="000000"/>
                <w:sz w:val="24"/>
                <w:szCs w:val="24"/>
              </w:rPr>
              <w:t>6</w:t>
            </w:r>
          </w:p>
        </w:tc>
        <w:tc>
          <w:tcPr>
            <w:tcW w:w="1334" w:type="dxa"/>
            <w:vAlign w:val="center"/>
          </w:tcPr>
          <w:p w:rsidR="000E557B" w:rsidRDefault="00B936AE">
            <w:pPr>
              <w:jc w:val="center"/>
            </w:pPr>
            <w:r>
              <w:rPr>
                <w:color w:val="000000"/>
                <w:sz w:val="24"/>
                <w:szCs w:val="24"/>
              </w:rPr>
              <w:t>002701</w:t>
            </w:r>
          </w:p>
        </w:tc>
        <w:tc>
          <w:tcPr>
            <w:tcW w:w="1777" w:type="dxa"/>
            <w:vAlign w:val="center"/>
          </w:tcPr>
          <w:p w:rsidR="000E557B" w:rsidRDefault="00B936AE">
            <w:pPr>
              <w:jc w:val="center"/>
            </w:pPr>
            <w:r>
              <w:rPr>
                <w:color w:val="000000"/>
                <w:sz w:val="24"/>
                <w:szCs w:val="24"/>
              </w:rPr>
              <w:t>奥瑞金</w:t>
            </w:r>
          </w:p>
        </w:tc>
        <w:tc>
          <w:tcPr>
            <w:tcW w:w="1334" w:type="dxa"/>
            <w:vAlign w:val="center"/>
          </w:tcPr>
          <w:p w:rsidR="000E557B" w:rsidRDefault="00B936AE">
            <w:pPr>
              <w:jc w:val="right"/>
            </w:pPr>
            <w:r>
              <w:rPr>
                <w:color w:val="000000"/>
                <w:sz w:val="24"/>
                <w:szCs w:val="24"/>
              </w:rPr>
              <w:t>599,935</w:t>
            </w:r>
          </w:p>
        </w:tc>
        <w:tc>
          <w:tcPr>
            <w:tcW w:w="1924" w:type="dxa"/>
            <w:vAlign w:val="center"/>
          </w:tcPr>
          <w:p w:rsidR="000E557B" w:rsidRDefault="00B936AE">
            <w:pPr>
              <w:jc w:val="right"/>
            </w:pPr>
            <w:r>
              <w:rPr>
                <w:color w:val="000000"/>
                <w:sz w:val="24"/>
                <w:szCs w:val="24"/>
              </w:rPr>
              <w:t>26,097,172.50</w:t>
            </w:r>
          </w:p>
        </w:tc>
        <w:tc>
          <w:tcPr>
            <w:tcW w:w="1644" w:type="dxa"/>
            <w:vAlign w:val="center"/>
          </w:tcPr>
          <w:p w:rsidR="000E557B" w:rsidRDefault="00B936AE">
            <w:pPr>
              <w:jc w:val="right"/>
            </w:pPr>
            <w:r>
              <w:rPr>
                <w:color w:val="000000"/>
                <w:sz w:val="24"/>
                <w:szCs w:val="24"/>
              </w:rPr>
              <w:t>3.28</w:t>
            </w:r>
          </w:p>
        </w:tc>
      </w:tr>
      <w:tr w:rsidR="000E557B">
        <w:trPr>
          <w:jc w:val="center"/>
        </w:trPr>
        <w:tc>
          <w:tcPr>
            <w:tcW w:w="855" w:type="dxa"/>
            <w:vAlign w:val="center"/>
          </w:tcPr>
          <w:p w:rsidR="000E557B" w:rsidRDefault="00B936AE">
            <w:pPr>
              <w:jc w:val="center"/>
            </w:pPr>
            <w:r>
              <w:rPr>
                <w:color w:val="000000"/>
                <w:sz w:val="24"/>
                <w:szCs w:val="24"/>
              </w:rPr>
              <w:t>7</w:t>
            </w:r>
          </w:p>
        </w:tc>
        <w:tc>
          <w:tcPr>
            <w:tcW w:w="1334" w:type="dxa"/>
            <w:vAlign w:val="center"/>
          </w:tcPr>
          <w:p w:rsidR="000E557B" w:rsidRDefault="00B936AE">
            <w:pPr>
              <w:jc w:val="center"/>
            </w:pPr>
            <w:r>
              <w:rPr>
                <w:color w:val="000000"/>
                <w:sz w:val="24"/>
                <w:szCs w:val="24"/>
              </w:rPr>
              <w:t>600875</w:t>
            </w:r>
          </w:p>
        </w:tc>
        <w:tc>
          <w:tcPr>
            <w:tcW w:w="1777" w:type="dxa"/>
            <w:vAlign w:val="center"/>
          </w:tcPr>
          <w:p w:rsidR="000E557B" w:rsidRDefault="00B936AE">
            <w:pPr>
              <w:jc w:val="center"/>
            </w:pPr>
            <w:r>
              <w:rPr>
                <w:color w:val="000000"/>
                <w:sz w:val="24"/>
                <w:szCs w:val="24"/>
              </w:rPr>
              <w:t>东方电气</w:t>
            </w:r>
          </w:p>
        </w:tc>
        <w:tc>
          <w:tcPr>
            <w:tcW w:w="1334" w:type="dxa"/>
            <w:vAlign w:val="center"/>
          </w:tcPr>
          <w:p w:rsidR="000E557B" w:rsidRDefault="00B936AE">
            <w:pPr>
              <w:jc w:val="right"/>
            </w:pPr>
            <w:r>
              <w:rPr>
                <w:color w:val="000000"/>
                <w:sz w:val="24"/>
                <w:szCs w:val="24"/>
              </w:rPr>
              <w:t>1,999,993</w:t>
            </w:r>
          </w:p>
        </w:tc>
        <w:tc>
          <w:tcPr>
            <w:tcW w:w="1924" w:type="dxa"/>
            <w:vAlign w:val="center"/>
          </w:tcPr>
          <w:p w:rsidR="000E557B" w:rsidRDefault="00B936AE">
            <w:pPr>
              <w:jc w:val="right"/>
            </w:pPr>
            <w:r>
              <w:rPr>
                <w:color w:val="000000"/>
                <w:sz w:val="24"/>
                <w:szCs w:val="24"/>
              </w:rPr>
              <w:t>24,999,912.50</w:t>
            </w:r>
          </w:p>
        </w:tc>
        <w:tc>
          <w:tcPr>
            <w:tcW w:w="1644" w:type="dxa"/>
            <w:vAlign w:val="center"/>
          </w:tcPr>
          <w:p w:rsidR="000E557B" w:rsidRDefault="00B936AE">
            <w:pPr>
              <w:jc w:val="right"/>
            </w:pPr>
            <w:r>
              <w:rPr>
                <w:color w:val="000000"/>
                <w:sz w:val="24"/>
                <w:szCs w:val="24"/>
              </w:rPr>
              <w:t>3.14</w:t>
            </w:r>
          </w:p>
        </w:tc>
      </w:tr>
      <w:tr w:rsidR="000E557B">
        <w:trPr>
          <w:jc w:val="center"/>
        </w:trPr>
        <w:tc>
          <w:tcPr>
            <w:tcW w:w="855" w:type="dxa"/>
            <w:vAlign w:val="center"/>
          </w:tcPr>
          <w:p w:rsidR="000E557B" w:rsidRDefault="00B936AE">
            <w:pPr>
              <w:jc w:val="center"/>
            </w:pPr>
            <w:r>
              <w:rPr>
                <w:color w:val="000000"/>
                <w:sz w:val="24"/>
                <w:szCs w:val="24"/>
              </w:rPr>
              <w:t>8</w:t>
            </w:r>
          </w:p>
        </w:tc>
        <w:tc>
          <w:tcPr>
            <w:tcW w:w="1334" w:type="dxa"/>
            <w:vAlign w:val="center"/>
          </w:tcPr>
          <w:p w:rsidR="000E557B" w:rsidRDefault="00B936AE">
            <w:pPr>
              <w:jc w:val="center"/>
            </w:pPr>
            <w:r>
              <w:rPr>
                <w:color w:val="000000"/>
                <w:sz w:val="24"/>
                <w:szCs w:val="24"/>
              </w:rPr>
              <w:t>300334</w:t>
            </w:r>
          </w:p>
        </w:tc>
        <w:tc>
          <w:tcPr>
            <w:tcW w:w="1777" w:type="dxa"/>
            <w:vAlign w:val="center"/>
          </w:tcPr>
          <w:p w:rsidR="000E557B" w:rsidRDefault="00B936AE">
            <w:pPr>
              <w:jc w:val="center"/>
            </w:pPr>
            <w:r>
              <w:rPr>
                <w:color w:val="000000"/>
                <w:sz w:val="24"/>
                <w:szCs w:val="24"/>
              </w:rPr>
              <w:t>津膜科技</w:t>
            </w:r>
          </w:p>
        </w:tc>
        <w:tc>
          <w:tcPr>
            <w:tcW w:w="1334" w:type="dxa"/>
            <w:vAlign w:val="center"/>
          </w:tcPr>
          <w:p w:rsidR="000E557B" w:rsidRDefault="00B936AE">
            <w:pPr>
              <w:jc w:val="right"/>
            </w:pPr>
            <w:r>
              <w:rPr>
                <w:color w:val="000000"/>
                <w:sz w:val="24"/>
                <w:szCs w:val="24"/>
              </w:rPr>
              <w:t>749,901</w:t>
            </w:r>
          </w:p>
        </w:tc>
        <w:tc>
          <w:tcPr>
            <w:tcW w:w="1924" w:type="dxa"/>
            <w:vAlign w:val="center"/>
          </w:tcPr>
          <w:p w:rsidR="000E557B" w:rsidRDefault="00B936AE">
            <w:pPr>
              <w:jc w:val="right"/>
            </w:pPr>
            <w:r>
              <w:rPr>
                <w:color w:val="000000"/>
                <w:sz w:val="24"/>
                <w:szCs w:val="24"/>
              </w:rPr>
              <w:t>24,896,713.20</w:t>
            </w:r>
          </w:p>
        </w:tc>
        <w:tc>
          <w:tcPr>
            <w:tcW w:w="1644" w:type="dxa"/>
            <w:vAlign w:val="center"/>
          </w:tcPr>
          <w:p w:rsidR="000E557B" w:rsidRDefault="00B936AE">
            <w:pPr>
              <w:jc w:val="right"/>
            </w:pPr>
            <w:r>
              <w:rPr>
                <w:color w:val="000000"/>
                <w:sz w:val="24"/>
                <w:szCs w:val="24"/>
              </w:rPr>
              <w:t>3.13</w:t>
            </w:r>
          </w:p>
        </w:tc>
      </w:tr>
      <w:tr w:rsidR="000E557B">
        <w:trPr>
          <w:jc w:val="center"/>
        </w:trPr>
        <w:tc>
          <w:tcPr>
            <w:tcW w:w="855" w:type="dxa"/>
            <w:vAlign w:val="center"/>
          </w:tcPr>
          <w:p w:rsidR="000E557B" w:rsidRDefault="00B936AE">
            <w:pPr>
              <w:jc w:val="center"/>
            </w:pPr>
            <w:r>
              <w:rPr>
                <w:color w:val="000000"/>
                <w:sz w:val="24"/>
                <w:szCs w:val="24"/>
              </w:rPr>
              <w:t>9</w:t>
            </w:r>
          </w:p>
        </w:tc>
        <w:tc>
          <w:tcPr>
            <w:tcW w:w="1334" w:type="dxa"/>
            <w:vAlign w:val="center"/>
          </w:tcPr>
          <w:p w:rsidR="000E557B" w:rsidRDefault="00B936AE">
            <w:pPr>
              <w:jc w:val="center"/>
            </w:pPr>
            <w:r>
              <w:rPr>
                <w:color w:val="000000"/>
                <w:sz w:val="24"/>
                <w:szCs w:val="24"/>
              </w:rPr>
              <w:t>300026</w:t>
            </w:r>
          </w:p>
        </w:tc>
        <w:tc>
          <w:tcPr>
            <w:tcW w:w="1777" w:type="dxa"/>
            <w:vAlign w:val="center"/>
          </w:tcPr>
          <w:p w:rsidR="000E557B" w:rsidRDefault="00B936AE">
            <w:pPr>
              <w:jc w:val="center"/>
            </w:pPr>
            <w:r>
              <w:rPr>
                <w:color w:val="000000"/>
                <w:sz w:val="24"/>
                <w:szCs w:val="24"/>
              </w:rPr>
              <w:t>红日药业</w:t>
            </w:r>
          </w:p>
        </w:tc>
        <w:tc>
          <w:tcPr>
            <w:tcW w:w="1334" w:type="dxa"/>
            <w:vAlign w:val="center"/>
          </w:tcPr>
          <w:p w:rsidR="000E557B" w:rsidRDefault="00B936AE">
            <w:pPr>
              <w:jc w:val="right"/>
            </w:pPr>
            <w:r>
              <w:rPr>
                <w:color w:val="000000"/>
                <w:sz w:val="24"/>
                <w:szCs w:val="24"/>
              </w:rPr>
              <w:t>700,127</w:t>
            </w:r>
          </w:p>
        </w:tc>
        <w:tc>
          <w:tcPr>
            <w:tcW w:w="1924" w:type="dxa"/>
            <w:vAlign w:val="center"/>
          </w:tcPr>
          <w:p w:rsidR="000E557B" w:rsidRDefault="00B936AE">
            <w:pPr>
              <w:jc w:val="right"/>
            </w:pPr>
            <w:r>
              <w:rPr>
                <w:color w:val="000000"/>
                <w:sz w:val="24"/>
                <w:szCs w:val="24"/>
              </w:rPr>
              <w:t>24,798,498.34</w:t>
            </w:r>
          </w:p>
        </w:tc>
        <w:tc>
          <w:tcPr>
            <w:tcW w:w="1644" w:type="dxa"/>
            <w:vAlign w:val="center"/>
          </w:tcPr>
          <w:p w:rsidR="000E557B" w:rsidRDefault="00B936AE">
            <w:pPr>
              <w:jc w:val="right"/>
            </w:pPr>
            <w:r>
              <w:rPr>
                <w:color w:val="000000"/>
                <w:sz w:val="24"/>
                <w:szCs w:val="24"/>
              </w:rPr>
              <w:t>3.12</w:t>
            </w:r>
          </w:p>
        </w:tc>
      </w:tr>
      <w:tr w:rsidR="000E557B">
        <w:trPr>
          <w:jc w:val="center"/>
        </w:trPr>
        <w:tc>
          <w:tcPr>
            <w:tcW w:w="855" w:type="dxa"/>
            <w:vAlign w:val="center"/>
          </w:tcPr>
          <w:p w:rsidR="000E557B" w:rsidRDefault="00B936AE">
            <w:pPr>
              <w:jc w:val="center"/>
            </w:pPr>
            <w:r>
              <w:rPr>
                <w:color w:val="000000"/>
                <w:sz w:val="24"/>
                <w:szCs w:val="24"/>
              </w:rPr>
              <w:t>10</w:t>
            </w:r>
          </w:p>
        </w:tc>
        <w:tc>
          <w:tcPr>
            <w:tcW w:w="1334" w:type="dxa"/>
            <w:vAlign w:val="center"/>
          </w:tcPr>
          <w:p w:rsidR="000E557B" w:rsidRDefault="00B936AE">
            <w:pPr>
              <w:jc w:val="center"/>
            </w:pPr>
            <w:r>
              <w:rPr>
                <w:color w:val="000000"/>
                <w:sz w:val="24"/>
                <w:szCs w:val="24"/>
              </w:rPr>
              <w:t>600535</w:t>
            </w:r>
          </w:p>
        </w:tc>
        <w:tc>
          <w:tcPr>
            <w:tcW w:w="1777" w:type="dxa"/>
            <w:vAlign w:val="center"/>
          </w:tcPr>
          <w:p w:rsidR="000E557B" w:rsidRDefault="00B936AE">
            <w:pPr>
              <w:jc w:val="center"/>
            </w:pPr>
            <w:r>
              <w:rPr>
                <w:color w:val="000000"/>
                <w:sz w:val="24"/>
                <w:szCs w:val="24"/>
              </w:rPr>
              <w:t>天士力</w:t>
            </w:r>
          </w:p>
        </w:tc>
        <w:tc>
          <w:tcPr>
            <w:tcW w:w="1334" w:type="dxa"/>
            <w:vAlign w:val="center"/>
          </w:tcPr>
          <w:p w:rsidR="000E557B" w:rsidRDefault="00B936AE">
            <w:pPr>
              <w:jc w:val="right"/>
            </w:pPr>
            <w:r>
              <w:rPr>
                <w:color w:val="000000"/>
                <w:sz w:val="24"/>
                <w:szCs w:val="24"/>
              </w:rPr>
              <w:t>601,168</w:t>
            </w:r>
          </w:p>
        </w:tc>
        <w:tc>
          <w:tcPr>
            <w:tcW w:w="1924" w:type="dxa"/>
            <w:vAlign w:val="center"/>
          </w:tcPr>
          <w:p w:rsidR="000E557B" w:rsidRDefault="00B936AE">
            <w:pPr>
              <w:jc w:val="right"/>
            </w:pPr>
            <w:r>
              <w:rPr>
                <w:color w:val="000000"/>
                <w:sz w:val="24"/>
                <w:szCs w:val="24"/>
              </w:rPr>
              <w:t>23,439,540.32</w:t>
            </w:r>
          </w:p>
        </w:tc>
        <w:tc>
          <w:tcPr>
            <w:tcW w:w="1644" w:type="dxa"/>
            <w:vAlign w:val="center"/>
          </w:tcPr>
          <w:p w:rsidR="000E557B" w:rsidRDefault="00B936AE">
            <w:pPr>
              <w:jc w:val="right"/>
            </w:pPr>
            <w:r>
              <w:rPr>
                <w:color w:val="000000"/>
                <w:sz w:val="24"/>
                <w:szCs w:val="24"/>
              </w:rPr>
              <w:t>2.94</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DA14B0">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DA14B0">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DA14B0">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22,427,949.82</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2.82</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22,427,949.82</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2.82</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E557B">
        <w:trPr>
          <w:jc w:val="center"/>
        </w:trPr>
        <w:tc>
          <w:tcPr>
            <w:tcW w:w="850" w:type="dxa"/>
            <w:vAlign w:val="center"/>
          </w:tcPr>
          <w:p w:rsidR="000E557B" w:rsidRDefault="00B936AE">
            <w:pPr>
              <w:jc w:val="center"/>
            </w:pPr>
            <w:r>
              <w:rPr>
                <w:color w:val="000000"/>
                <w:sz w:val="24"/>
                <w:szCs w:val="24"/>
              </w:rPr>
              <w:t>1</w:t>
            </w:r>
          </w:p>
        </w:tc>
        <w:tc>
          <w:tcPr>
            <w:tcW w:w="1475" w:type="dxa"/>
            <w:vAlign w:val="center"/>
          </w:tcPr>
          <w:p w:rsidR="000E557B" w:rsidRDefault="00B936AE">
            <w:pPr>
              <w:jc w:val="center"/>
            </w:pPr>
            <w:r>
              <w:rPr>
                <w:color w:val="000000"/>
                <w:sz w:val="24"/>
                <w:szCs w:val="24"/>
              </w:rPr>
              <w:t>113001</w:t>
            </w:r>
          </w:p>
        </w:tc>
        <w:tc>
          <w:tcPr>
            <w:tcW w:w="1769" w:type="dxa"/>
            <w:vAlign w:val="center"/>
          </w:tcPr>
          <w:p w:rsidR="000E557B" w:rsidRDefault="00B936AE">
            <w:pPr>
              <w:jc w:val="center"/>
            </w:pPr>
            <w:r>
              <w:rPr>
                <w:color w:val="000000"/>
                <w:sz w:val="24"/>
                <w:szCs w:val="24"/>
              </w:rPr>
              <w:t>中行转债</w:t>
            </w:r>
          </w:p>
        </w:tc>
        <w:tc>
          <w:tcPr>
            <w:tcW w:w="1387" w:type="dxa"/>
            <w:vAlign w:val="center"/>
          </w:tcPr>
          <w:p w:rsidR="000E557B" w:rsidRDefault="00B936AE">
            <w:pPr>
              <w:jc w:val="right"/>
            </w:pPr>
            <w:r>
              <w:rPr>
                <w:color w:val="000000"/>
                <w:sz w:val="24"/>
                <w:szCs w:val="24"/>
              </w:rPr>
              <w:t>200,730</w:t>
            </w:r>
          </w:p>
        </w:tc>
        <w:tc>
          <w:tcPr>
            <w:tcW w:w="2150" w:type="dxa"/>
            <w:vAlign w:val="center"/>
          </w:tcPr>
          <w:p w:rsidR="000E557B" w:rsidRDefault="00B936AE">
            <w:pPr>
              <w:jc w:val="right"/>
            </w:pPr>
            <w:r>
              <w:rPr>
                <w:color w:val="000000"/>
                <w:sz w:val="24"/>
                <w:szCs w:val="24"/>
              </w:rPr>
              <w:t>19,657,488.90</w:t>
            </w:r>
          </w:p>
        </w:tc>
        <w:tc>
          <w:tcPr>
            <w:tcW w:w="1237" w:type="dxa"/>
            <w:vAlign w:val="center"/>
          </w:tcPr>
          <w:p w:rsidR="000E557B" w:rsidRDefault="00B936AE">
            <w:pPr>
              <w:jc w:val="right"/>
            </w:pPr>
            <w:r>
              <w:rPr>
                <w:color w:val="000000"/>
                <w:sz w:val="24"/>
                <w:szCs w:val="24"/>
              </w:rPr>
              <w:t>2.47</w:t>
            </w:r>
          </w:p>
        </w:tc>
      </w:tr>
      <w:tr w:rsidR="000E557B">
        <w:trPr>
          <w:jc w:val="center"/>
        </w:trPr>
        <w:tc>
          <w:tcPr>
            <w:tcW w:w="850" w:type="dxa"/>
            <w:vAlign w:val="center"/>
          </w:tcPr>
          <w:p w:rsidR="000E557B" w:rsidRDefault="00B936AE">
            <w:pPr>
              <w:jc w:val="center"/>
            </w:pPr>
            <w:r>
              <w:rPr>
                <w:color w:val="000000"/>
                <w:sz w:val="24"/>
                <w:szCs w:val="24"/>
              </w:rPr>
              <w:t>2</w:t>
            </w:r>
          </w:p>
        </w:tc>
        <w:tc>
          <w:tcPr>
            <w:tcW w:w="1475" w:type="dxa"/>
            <w:vAlign w:val="center"/>
          </w:tcPr>
          <w:p w:rsidR="000E557B" w:rsidRDefault="00B936AE">
            <w:pPr>
              <w:jc w:val="center"/>
            </w:pPr>
            <w:r>
              <w:rPr>
                <w:color w:val="000000"/>
                <w:sz w:val="24"/>
                <w:szCs w:val="24"/>
              </w:rPr>
              <w:t>110023</w:t>
            </w:r>
          </w:p>
        </w:tc>
        <w:tc>
          <w:tcPr>
            <w:tcW w:w="1769" w:type="dxa"/>
            <w:vAlign w:val="center"/>
          </w:tcPr>
          <w:p w:rsidR="000E557B" w:rsidRDefault="00B936AE">
            <w:pPr>
              <w:jc w:val="center"/>
            </w:pPr>
            <w:r>
              <w:rPr>
                <w:color w:val="000000"/>
                <w:sz w:val="24"/>
                <w:szCs w:val="24"/>
              </w:rPr>
              <w:t>民生转债</w:t>
            </w:r>
          </w:p>
        </w:tc>
        <w:tc>
          <w:tcPr>
            <w:tcW w:w="1387" w:type="dxa"/>
            <w:vAlign w:val="center"/>
          </w:tcPr>
          <w:p w:rsidR="000E557B" w:rsidRDefault="00B936AE">
            <w:pPr>
              <w:jc w:val="right"/>
            </w:pPr>
            <w:r>
              <w:rPr>
                <w:color w:val="000000"/>
                <w:sz w:val="24"/>
                <w:szCs w:val="24"/>
              </w:rPr>
              <w:t>24,820</w:t>
            </w:r>
          </w:p>
        </w:tc>
        <w:tc>
          <w:tcPr>
            <w:tcW w:w="2150" w:type="dxa"/>
            <w:vAlign w:val="center"/>
          </w:tcPr>
          <w:p w:rsidR="000E557B" w:rsidRDefault="00B936AE">
            <w:pPr>
              <w:jc w:val="right"/>
            </w:pPr>
            <w:r>
              <w:rPr>
                <w:color w:val="000000"/>
                <w:sz w:val="24"/>
                <w:szCs w:val="24"/>
              </w:rPr>
              <w:t>2,196,818.20</w:t>
            </w:r>
          </w:p>
        </w:tc>
        <w:tc>
          <w:tcPr>
            <w:tcW w:w="1237" w:type="dxa"/>
            <w:vAlign w:val="center"/>
          </w:tcPr>
          <w:p w:rsidR="000E557B" w:rsidRDefault="00B936AE">
            <w:pPr>
              <w:jc w:val="right"/>
            </w:pPr>
            <w:r>
              <w:rPr>
                <w:color w:val="000000"/>
                <w:sz w:val="24"/>
                <w:szCs w:val="24"/>
              </w:rPr>
              <w:t>0.28</w:t>
            </w:r>
          </w:p>
        </w:tc>
      </w:tr>
      <w:tr w:rsidR="000E557B">
        <w:trPr>
          <w:jc w:val="center"/>
        </w:trPr>
        <w:tc>
          <w:tcPr>
            <w:tcW w:w="850" w:type="dxa"/>
            <w:vAlign w:val="center"/>
          </w:tcPr>
          <w:p w:rsidR="000E557B" w:rsidRDefault="00B936AE">
            <w:pPr>
              <w:jc w:val="center"/>
            </w:pPr>
            <w:r>
              <w:rPr>
                <w:color w:val="000000"/>
                <w:sz w:val="24"/>
                <w:szCs w:val="24"/>
              </w:rPr>
              <w:t>3</w:t>
            </w:r>
          </w:p>
        </w:tc>
        <w:tc>
          <w:tcPr>
            <w:tcW w:w="1475" w:type="dxa"/>
            <w:vAlign w:val="center"/>
          </w:tcPr>
          <w:p w:rsidR="000E557B" w:rsidRDefault="00B936AE">
            <w:pPr>
              <w:jc w:val="center"/>
            </w:pPr>
            <w:r>
              <w:rPr>
                <w:color w:val="000000"/>
                <w:sz w:val="24"/>
                <w:szCs w:val="24"/>
              </w:rPr>
              <w:t>128002</w:t>
            </w:r>
          </w:p>
        </w:tc>
        <w:tc>
          <w:tcPr>
            <w:tcW w:w="1769" w:type="dxa"/>
            <w:vAlign w:val="center"/>
          </w:tcPr>
          <w:p w:rsidR="000E557B" w:rsidRDefault="00B936AE">
            <w:pPr>
              <w:jc w:val="center"/>
            </w:pPr>
            <w:r>
              <w:rPr>
                <w:color w:val="000000"/>
                <w:sz w:val="24"/>
                <w:szCs w:val="24"/>
              </w:rPr>
              <w:t>东华转债</w:t>
            </w:r>
          </w:p>
        </w:tc>
        <w:tc>
          <w:tcPr>
            <w:tcW w:w="1387" w:type="dxa"/>
            <w:vAlign w:val="center"/>
          </w:tcPr>
          <w:p w:rsidR="000E557B" w:rsidRDefault="00B936AE">
            <w:pPr>
              <w:jc w:val="right"/>
            </w:pPr>
            <w:r>
              <w:rPr>
                <w:color w:val="000000"/>
                <w:sz w:val="24"/>
                <w:szCs w:val="24"/>
              </w:rPr>
              <w:t>3,360</w:t>
            </w:r>
          </w:p>
        </w:tc>
        <w:tc>
          <w:tcPr>
            <w:tcW w:w="2150" w:type="dxa"/>
            <w:vAlign w:val="center"/>
          </w:tcPr>
          <w:p w:rsidR="000E557B" w:rsidRDefault="00B936AE">
            <w:pPr>
              <w:jc w:val="right"/>
            </w:pPr>
            <w:r>
              <w:rPr>
                <w:color w:val="000000"/>
                <w:sz w:val="24"/>
                <w:szCs w:val="24"/>
              </w:rPr>
              <w:t>573,642.72</w:t>
            </w:r>
          </w:p>
        </w:tc>
        <w:tc>
          <w:tcPr>
            <w:tcW w:w="1237" w:type="dxa"/>
            <w:vAlign w:val="center"/>
          </w:tcPr>
          <w:p w:rsidR="000E557B" w:rsidRDefault="00B936AE">
            <w:pPr>
              <w:jc w:val="right"/>
            </w:pPr>
            <w:r>
              <w:rPr>
                <w:color w:val="000000"/>
                <w:sz w:val="24"/>
                <w:szCs w:val="24"/>
              </w:rPr>
              <w:t>0.07</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DA14B0">
      <w:pPr>
        <w:autoSpaceDE w:val="0"/>
        <w:autoSpaceDN w:val="0"/>
        <w:adjustRightInd w:val="0"/>
        <w:spacing w:before="29" w:line="288" w:lineRule="auto"/>
        <w:jc w:val="left"/>
        <w:rPr>
          <w:color w:val="000000"/>
          <w:sz w:val="24"/>
          <w:szCs w:val="24"/>
        </w:rPr>
      </w:pPr>
    </w:p>
    <w:p w:rsidR="00A54C7D" w:rsidRPr="00414345" w:rsidRDefault="00A54C7D" w:rsidP="00DA14B0">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632B0F">
      <w:pPr>
        <w:widowControl/>
        <w:spacing w:line="360" w:lineRule="auto"/>
        <w:jc w:val="left"/>
        <w:rPr>
          <w:sz w:val="24"/>
          <w:szCs w:val="24"/>
        </w:rPr>
      </w:pPr>
      <w:r w:rsidRPr="00414345">
        <w:rPr>
          <w:sz w:val="24"/>
          <w:szCs w:val="24"/>
        </w:rPr>
        <w:t>本基金本报告期末未持有贵金属。</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A917B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275745"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DA14B0">
      <w:pPr>
        <w:adjustRightInd w:val="0"/>
        <w:snapToGrid w:val="0"/>
        <w:spacing w:before="29" w:line="288" w:lineRule="auto"/>
        <w:rPr>
          <w:sz w:val="24"/>
          <w:szCs w:val="24"/>
        </w:rPr>
      </w:pPr>
    </w:p>
    <w:p w:rsidR="00A669FC" w:rsidRPr="00414345" w:rsidRDefault="00312A9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DA14B0">
      <w:pPr>
        <w:autoSpaceDE w:val="0"/>
        <w:autoSpaceDN w:val="0"/>
        <w:adjustRightInd w:val="0"/>
        <w:spacing w:before="29" w:line="288" w:lineRule="auto"/>
        <w:jc w:val="left"/>
        <w:rPr>
          <w:color w:val="000000"/>
          <w:sz w:val="24"/>
          <w:szCs w:val="24"/>
        </w:rPr>
      </w:pPr>
    </w:p>
    <w:p w:rsidR="004061AC"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542,160.21</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215,949.08</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10,980.48</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769,089.77</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0E557B">
        <w:trPr>
          <w:jc w:val="center"/>
        </w:trPr>
        <w:tc>
          <w:tcPr>
            <w:tcW w:w="1883" w:type="dxa"/>
            <w:vAlign w:val="center"/>
          </w:tcPr>
          <w:p w:rsidR="000E557B" w:rsidRDefault="00B936AE">
            <w:pPr>
              <w:jc w:val="center"/>
            </w:pPr>
            <w:r>
              <w:rPr>
                <w:color w:val="000000"/>
                <w:sz w:val="24"/>
                <w:szCs w:val="24"/>
              </w:rPr>
              <w:t>1</w:t>
            </w:r>
          </w:p>
        </w:tc>
        <w:tc>
          <w:tcPr>
            <w:tcW w:w="1801" w:type="dxa"/>
            <w:vAlign w:val="center"/>
          </w:tcPr>
          <w:p w:rsidR="000E557B" w:rsidRDefault="00B936AE">
            <w:pPr>
              <w:jc w:val="center"/>
            </w:pPr>
            <w:r>
              <w:rPr>
                <w:color w:val="000000"/>
                <w:sz w:val="24"/>
                <w:szCs w:val="24"/>
              </w:rPr>
              <w:t>113001</w:t>
            </w:r>
          </w:p>
        </w:tc>
        <w:tc>
          <w:tcPr>
            <w:tcW w:w="1727" w:type="dxa"/>
            <w:vAlign w:val="center"/>
          </w:tcPr>
          <w:p w:rsidR="000E557B" w:rsidRDefault="00B936AE">
            <w:pPr>
              <w:jc w:val="center"/>
            </w:pPr>
            <w:r>
              <w:rPr>
                <w:color w:val="000000"/>
                <w:sz w:val="24"/>
                <w:szCs w:val="24"/>
              </w:rPr>
              <w:t>中行转债</w:t>
            </w:r>
          </w:p>
        </w:tc>
        <w:tc>
          <w:tcPr>
            <w:tcW w:w="1768" w:type="dxa"/>
            <w:vAlign w:val="center"/>
          </w:tcPr>
          <w:p w:rsidR="000E557B" w:rsidRDefault="00B936AE">
            <w:pPr>
              <w:jc w:val="right"/>
            </w:pPr>
            <w:r>
              <w:rPr>
                <w:color w:val="000000"/>
                <w:sz w:val="24"/>
                <w:szCs w:val="24"/>
              </w:rPr>
              <w:t>19,657,488.90</w:t>
            </w:r>
          </w:p>
        </w:tc>
        <w:tc>
          <w:tcPr>
            <w:tcW w:w="1689" w:type="dxa"/>
            <w:vAlign w:val="center"/>
          </w:tcPr>
          <w:p w:rsidR="000E557B" w:rsidRDefault="00B936AE">
            <w:pPr>
              <w:jc w:val="right"/>
            </w:pPr>
            <w:r>
              <w:rPr>
                <w:color w:val="000000"/>
                <w:sz w:val="24"/>
                <w:szCs w:val="24"/>
              </w:rPr>
              <w:t>2.47</w:t>
            </w:r>
          </w:p>
        </w:tc>
      </w:tr>
      <w:tr w:rsidR="000E557B">
        <w:trPr>
          <w:jc w:val="center"/>
        </w:trPr>
        <w:tc>
          <w:tcPr>
            <w:tcW w:w="1883" w:type="dxa"/>
            <w:vAlign w:val="center"/>
          </w:tcPr>
          <w:p w:rsidR="000E557B" w:rsidRDefault="00B936AE">
            <w:pPr>
              <w:jc w:val="center"/>
            </w:pPr>
            <w:r>
              <w:rPr>
                <w:color w:val="000000"/>
                <w:sz w:val="24"/>
                <w:szCs w:val="24"/>
              </w:rPr>
              <w:t>2</w:t>
            </w:r>
          </w:p>
        </w:tc>
        <w:tc>
          <w:tcPr>
            <w:tcW w:w="1801" w:type="dxa"/>
            <w:vAlign w:val="center"/>
          </w:tcPr>
          <w:p w:rsidR="000E557B" w:rsidRDefault="00B936AE">
            <w:pPr>
              <w:jc w:val="center"/>
            </w:pPr>
            <w:r>
              <w:rPr>
                <w:color w:val="000000"/>
                <w:sz w:val="24"/>
                <w:szCs w:val="24"/>
              </w:rPr>
              <w:t>110023</w:t>
            </w:r>
          </w:p>
        </w:tc>
        <w:tc>
          <w:tcPr>
            <w:tcW w:w="1727" w:type="dxa"/>
            <w:vAlign w:val="center"/>
          </w:tcPr>
          <w:p w:rsidR="000E557B" w:rsidRDefault="00B936AE">
            <w:pPr>
              <w:jc w:val="center"/>
            </w:pPr>
            <w:r>
              <w:rPr>
                <w:color w:val="000000"/>
                <w:sz w:val="24"/>
                <w:szCs w:val="24"/>
              </w:rPr>
              <w:t>民生转债</w:t>
            </w:r>
          </w:p>
        </w:tc>
        <w:tc>
          <w:tcPr>
            <w:tcW w:w="1768" w:type="dxa"/>
            <w:vAlign w:val="center"/>
          </w:tcPr>
          <w:p w:rsidR="000E557B" w:rsidRDefault="00B936AE">
            <w:pPr>
              <w:jc w:val="right"/>
            </w:pPr>
            <w:r>
              <w:rPr>
                <w:color w:val="000000"/>
                <w:sz w:val="24"/>
                <w:szCs w:val="24"/>
              </w:rPr>
              <w:t>2,196,818.20</w:t>
            </w:r>
          </w:p>
        </w:tc>
        <w:tc>
          <w:tcPr>
            <w:tcW w:w="1689" w:type="dxa"/>
            <w:vAlign w:val="center"/>
          </w:tcPr>
          <w:p w:rsidR="000E557B" w:rsidRDefault="00B936AE">
            <w:pPr>
              <w:jc w:val="right"/>
            </w:pPr>
            <w:r>
              <w:rPr>
                <w:color w:val="000000"/>
                <w:sz w:val="24"/>
                <w:szCs w:val="24"/>
              </w:rPr>
              <w:t>0.28</w:t>
            </w:r>
          </w:p>
        </w:tc>
      </w:tr>
      <w:tr w:rsidR="000E557B">
        <w:trPr>
          <w:jc w:val="center"/>
        </w:trPr>
        <w:tc>
          <w:tcPr>
            <w:tcW w:w="1883" w:type="dxa"/>
            <w:vAlign w:val="center"/>
          </w:tcPr>
          <w:p w:rsidR="000E557B" w:rsidRDefault="00B936AE">
            <w:pPr>
              <w:jc w:val="center"/>
            </w:pPr>
            <w:r>
              <w:rPr>
                <w:color w:val="000000"/>
                <w:sz w:val="24"/>
                <w:szCs w:val="24"/>
              </w:rPr>
              <w:t>3</w:t>
            </w:r>
          </w:p>
        </w:tc>
        <w:tc>
          <w:tcPr>
            <w:tcW w:w="1801" w:type="dxa"/>
            <w:vAlign w:val="center"/>
          </w:tcPr>
          <w:p w:rsidR="000E557B" w:rsidRDefault="00B936AE">
            <w:pPr>
              <w:jc w:val="center"/>
            </w:pPr>
            <w:r>
              <w:rPr>
                <w:color w:val="000000"/>
                <w:sz w:val="24"/>
                <w:szCs w:val="24"/>
              </w:rPr>
              <w:t>128002</w:t>
            </w:r>
          </w:p>
        </w:tc>
        <w:tc>
          <w:tcPr>
            <w:tcW w:w="1727" w:type="dxa"/>
            <w:vAlign w:val="center"/>
          </w:tcPr>
          <w:p w:rsidR="000E557B" w:rsidRDefault="00B936AE">
            <w:pPr>
              <w:jc w:val="center"/>
            </w:pPr>
            <w:r>
              <w:rPr>
                <w:color w:val="000000"/>
                <w:sz w:val="24"/>
                <w:szCs w:val="24"/>
              </w:rPr>
              <w:t>东华转债</w:t>
            </w:r>
          </w:p>
        </w:tc>
        <w:tc>
          <w:tcPr>
            <w:tcW w:w="1768" w:type="dxa"/>
            <w:vAlign w:val="center"/>
          </w:tcPr>
          <w:p w:rsidR="000E557B" w:rsidRDefault="00B936AE">
            <w:pPr>
              <w:jc w:val="right"/>
            </w:pPr>
            <w:r>
              <w:rPr>
                <w:color w:val="000000"/>
                <w:sz w:val="24"/>
                <w:szCs w:val="24"/>
              </w:rPr>
              <w:t>573,642.72</w:t>
            </w:r>
          </w:p>
        </w:tc>
        <w:tc>
          <w:tcPr>
            <w:tcW w:w="1689" w:type="dxa"/>
            <w:vAlign w:val="center"/>
          </w:tcPr>
          <w:p w:rsidR="000E557B" w:rsidRDefault="00B936AE">
            <w:pPr>
              <w:jc w:val="right"/>
            </w:pPr>
            <w:r>
              <w:rPr>
                <w:color w:val="000000"/>
                <w:sz w:val="24"/>
                <w:szCs w:val="24"/>
              </w:rPr>
              <w:t>0.07</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流通受限情况说明</w:t>
            </w:r>
          </w:p>
        </w:tc>
      </w:tr>
      <w:tr w:rsidR="000E557B">
        <w:trPr>
          <w:jc w:val="center"/>
        </w:trPr>
        <w:tc>
          <w:tcPr>
            <w:tcW w:w="1129" w:type="dxa"/>
            <w:vAlign w:val="center"/>
          </w:tcPr>
          <w:p w:rsidR="000E557B" w:rsidRDefault="00B936AE">
            <w:pPr>
              <w:jc w:val="center"/>
            </w:pPr>
            <w:r>
              <w:rPr>
                <w:color w:val="000000"/>
                <w:sz w:val="24"/>
                <w:szCs w:val="24"/>
              </w:rPr>
              <w:t>1</w:t>
            </w:r>
          </w:p>
        </w:tc>
        <w:tc>
          <w:tcPr>
            <w:tcW w:w="1356" w:type="dxa"/>
            <w:vAlign w:val="center"/>
          </w:tcPr>
          <w:p w:rsidR="000E557B" w:rsidRDefault="00B936AE">
            <w:pPr>
              <w:jc w:val="center"/>
            </w:pPr>
            <w:r>
              <w:rPr>
                <w:color w:val="000000"/>
                <w:sz w:val="24"/>
                <w:szCs w:val="24"/>
              </w:rPr>
              <w:t>300334</w:t>
            </w:r>
          </w:p>
        </w:tc>
        <w:tc>
          <w:tcPr>
            <w:tcW w:w="1355" w:type="dxa"/>
            <w:vAlign w:val="center"/>
          </w:tcPr>
          <w:p w:rsidR="000E557B" w:rsidRDefault="00B936AE">
            <w:pPr>
              <w:jc w:val="center"/>
            </w:pPr>
            <w:r>
              <w:rPr>
                <w:color w:val="000000"/>
                <w:sz w:val="24"/>
                <w:szCs w:val="24"/>
              </w:rPr>
              <w:t>津膜科技</w:t>
            </w:r>
          </w:p>
        </w:tc>
        <w:tc>
          <w:tcPr>
            <w:tcW w:w="1880" w:type="dxa"/>
            <w:vAlign w:val="center"/>
          </w:tcPr>
          <w:p w:rsidR="000E557B" w:rsidRDefault="00B936AE">
            <w:pPr>
              <w:jc w:val="right"/>
            </w:pPr>
            <w:r>
              <w:rPr>
                <w:color w:val="000000"/>
                <w:sz w:val="24"/>
                <w:szCs w:val="24"/>
              </w:rPr>
              <w:t>24,896,713.20</w:t>
            </w:r>
          </w:p>
        </w:tc>
        <w:tc>
          <w:tcPr>
            <w:tcW w:w="1724" w:type="dxa"/>
            <w:vAlign w:val="center"/>
          </w:tcPr>
          <w:p w:rsidR="000E557B" w:rsidRDefault="00B936AE">
            <w:pPr>
              <w:jc w:val="right"/>
            </w:pPr>
            <w:r>
              <w:rPr>
                <w:color w:val="000000"/>
                <w:sz w:val="24"/>
                <w:szCs w:val="24"/>
              </w:rPr>
              <w:t>3.13</w:t>
            </w:r>
          </w:p>
        </w:tc>
        <w:tc>
          <w:tcPr>
            <w:tcW w:w="1424" w:type="dxa"/>
            <w:vAlign w:val="center"/>
          </w:tcPr>
          <w:p w:rsidR="000E557B" w:rsidRDefault="00B936AE">
            <w:pPr>
              <w:jc w:val="right"/>
            </w:pPr>
            <w:r>
              <w:rPr>
                <w:color w:val="000000"/>
                <w:sz w:val="24"/>
                <w:szCs w:val="24"/>
              </w:rPr>
              <w:t>重大事项</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DA14B0">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DA14B0">
      <w:pPr>
        <w:spacing w:before="29" w:line="288" w:lineRule="auto"/>
        <w:ind w:firstLineChars="200" w:firstLine="480"/>
        <w:rPr>
          <w:color w:val="000000"/>
          <w:sz w:val="24"/>
          <w:szCs w:val="24"/>
        </w:rPr>
      </w:pPr>
    </w:p>
    <w:p w:rsidR="004061AC" w:rsidRPr="00414345" w:rsidRDefault="004061AC" w:rsidP="00DA14B0">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1,187,050,931.20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2,234,959.71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102,363,296.83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1,086,922,594.08</w:t>
            </w:r>
          </w:p>
        </w:tc>
      </w:tr>
    </w:tbl>
    <w:p w:rsidR="000E557B" w:rsidRDefault="00B936A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DA14B0">
      <w:pPr>
        <w:autoSpaceDE w:val="0"/>
        <w:autoSpaceDN w:val="0"/>
        <w:adjustRightInd w:val="0"/>
        <w:spacing w:before="29" w:line="288" w:lineRule="auto"/>
        <w:jc w:val="left"/>
        <w:rPr>
          <w:color w:val="000000"/>
          <w:sz w:val="24"/>
          <w:szCs w:val="24"/>
        </w:rPr>
      </w:pPr>
    </w:p>
    <w:p w:rsidR="00ED2620" w:rsidRPr="00ED2620" w:rsidRDefault="000A2FC0" w:rsidP="00B936AE">
      <w:pPr>
        <w:pStyle w:val="1"/>
        <w:tabs>
          <w:tab w:val="center" w:pos="4156"/>
          <w:tab w:val="right" w:pos="8312"/>
        </w:tabs>
        <w:spacing w:beforeLines="100" w:before="312" w:afterLines="100" w:after="312" w:line="360"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ED2620">
      <w:pPr>
        <w:spacing w:line="360"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ED2620">
      <w:pPr>
        <w:autoSpaceDE w:val="0"/>
        <w:autoSpaceDN w:val="0"/>
        <w:adjustRightInd w:val="0"/>
        <w:spacing w:before="29" w:line="360"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pStyle w:val="ad"/>
              <w:adjustRightInd w:val="0"/>
              <w:snapToGrid w:val="0"/>
              <w:spacing w:line="360" w:lineRule="exact"/>
              <w:rPr>
                <w:rFonts w:eastAsia="方正仿宋简体"/>
                <w:color w:val="000000"/>
              </w:rPr>
            </w:pPr>
            <w:r w:rsidRPr="00ED2620">
              <w:rPr>
                <w:color w:val="000000"/>
              </w:rPr>
              <w:t>报告期期初管理人持有的本基金份额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sz w:val="24"/>
                <w:szCs w:val="24"/>
              </w:rPr>
            </w:pPr>
            <w:r w:rsidRPr="00ED2620">
              <w:rPr>
                <w:rFonts w:eastAsiaTheme="minorEastAsia"/>
                <w:color w:val="000000"/>
                <w:sz w:val="24"/>
              </w:rPr>
              <w:t>20,001,800.00</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color w:val="000000"/>
                <w:sz w:val="24"/>
              </w:rPr>
              <w:t>报告期期末管理人持有的本基金份额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sz w:val="24"/>
                <w:szCs w:val="24"/>
              </w:rPr>
            </w:pPr>
            <w:r w:rsidRPr="00ED2620">
              <w:rPr>
                <w:rFonts w:eastAsiaTheme="minorEastAsia"/>
                <w:color w:val="000000"/>
                <w:sz w:val="24"/>
              </w:rPr>
              <w:t>20,001,800.00</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1.84</w:t>
            </w:r>
          </w:p>
        </w:tc>
      </w:tr>
    </w:tbl>
    <w:p w:rsidR="000E557B" w:rsidRDefault="00B936A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41063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410630">
      <w:pPr>
        <w:autoSpaceDE w:val="0"/>
        <w:autoSpaceDN w:val="0"/>
        <w:adjustRightInd w:val="0"/>
        <w:spacing w:before="29" w:line="288" w:lineRule="auto"/>
        <w:jc w:val="left"/>
        <w:rPr>
          <w:rFonts w:eastAsiaTheme="minorEastAsia"/>
          <w:color w:val="000000"/>
          <w:sz w:val="24"/>
        </w:rPr>
      </w:pPr>
    </w:p>
    <w:p w:rsidR="00320300" w:rsidRDefault="00410630" w:rsidP="00410630">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DA14B0">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DA14B0">
      <w:pPr>
        <w:autoSpaceDE w:val="0"/>
        <w:autoSpaceDN w:val="0"/>
        <w:adjustRightInd w:val="0"/>
        <w:spacing w:before="29" w:line="288" w:lineRule="auto"/>
        <w:jc w:val="left"/>
        <w:rPr>
          <w:color w:val="000000"/>
          <w:sz w:val="24"/>
        </w:rPr>
      </w:pPr>
    </w:p>
    <w:p w:rsidR="004061AC" w:rsidRPr="00414345" w:rsidRDefault="004061AC" w:rsidP="00B936A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0E557B" w:rsidRDefault="00B936A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0E557B" w:rsidRDefault="00B936A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、《交银施罗德趋势优先股票证券投资基金基金合同》；</w:t>
      </w:r>
      <w:r>
        <w:rPr>
          <w:color w:val="000000"/>
          <w:sz w:val="24"/>
          <w:szCs w:val="24"/>
        </w:rPr>
        <w:t xml:space="preserve"> </w:t>
      </w:r>
    </w:p>
    <w:p w:rsidR="000E557B" w:rsidRDefault="00B936A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、《交银施罗德趋势优先股票证券投资基金招募说明书》；</w:t>
      </w:r>
    </w:p>
    <w:p w:rsidR="000E557B" w:rsidRDefault="00B936A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、《交银施罗德趋势优先股票证券投资基金托管协议》；</w:t>
      </w:r>
      <w:r>
        <w:rPr>
          <w:color w:val="000000"/>
          <w:sz w:val="24"/>
          <w:szCs w:val="24"/>
        </w:rPr>
        <w:t xml:space="preserve"> </w:t>
      </w:r>
    </w:p>
    <w:p w:rsidR="000E557B" w:rsidRDefault="00B936AE">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0E557B" w:rsidRDefault="00B936A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0E557B" w:rsidRDefault="00B936A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、报告期内交银施罗德趋势优先股票证券投资基金在指定报刊上各项公告的原稿。</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0E557B" w:rsidRDefault="00B936A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2C3C7A">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2C3C7A">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AE9" w:rsidRDefault="00C77AE9" w:rsidP="00876D65">
      <w:r>
        <w:separator/>
      </w:r>
    </w:p>
  </w:endnote>
  <w:endnote w:type="continuationSeparator" w:id="0">
    <w:p w:rsidR="00C77AE9" w:rsidRDefault="00C77AE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E557B">
      <w:rPr>
        <w:kern w:val="0"/>
        <w:szCs w:val="21"/>
      </w:rPr>
      <w:fldChar w:fldCharType="begin"/>
    </w:r>
    <w:r>
      <w:rPr>
        <w:kern w:val="0"/>
        <w:szCs w:val="21"/>
      </w:rPr>
      <w:instrText xml:space="preserve"> PAGE </w:instrText>
    </w:r>
    <w:r w:rsidR="000E557B">
      <w:rPr>
        <w:kern w:val="0"/>
        <w:szCs w:val="21"/>
      </w:rPr>
      <w:fldChar w:fldCharType="separate"/>
    </w:r>
    <w:r w:rsidR="007D15C5">
      <w:rPr>
        <w:noProof/>
        <w:kern w:val="0"/>
        <w:szCs w:val="21"/>
      </w:rPr>
      <w:t>1</w:t>
    </w:r>
    <w:r w:rsidR="000E557B">
      <w:rPr>
        <w:kern w:val="0"/>
        <w:szCs w:val="21"/>
      </w:rPr>
      <w:fldChar w:fldCharType="end"/>
    </w:r>
    <w:r>
      <w:rPr>
        <w:rFonts w:hint="eastAsia"/>
        <w:kern w:val="0"/>
        <w:szCs w:val="21"/>
      </w:rPr>
      <w:t>页共</w:t>
    </w:r>
    <w:r w:rsidR="000E557B">
      <w:rPr>
        <w:kern w:val="0"/>
        <w:szCs w:val="21"/>
      </w:rPr>
      <w:fldChar w:fldCharType="begin"/>
    </w:r>
    <w:r>
      <w:rPr>
        <w:kern w:val="0"/>
        <w:szCs w:val="21"/>
      </w:rPr>
      <w:instrText xml:space="preserve"> NUMPAGES </w:instrText>
    </w:r>
    <w:r w:rsidR="000E557B">
      <w:rPr>
        <w:kern w:val="0"/>
        <w:szCs w:val="21"/>
      </w:rPr>
      <w:fldChar w:fldCharType="separate"/>
    </w:r>
    <w:r w:rsidR="007D15C5">
      <w:rPr>
        <w:noProof/>
        <w:kern w:val="0"/>
        <w:szCs w:val="21"/>
      </w:rPr>
      <w:t>12</w:t>
    </w:r>
    <w:r w:rsidR="000E557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AE9" w:rsidRDefault="00C77AE9" w:rsidP="00876D65">
      <w:r>
        <w:separator/>
      </w:r>
    </w:p>
  </w:footnote>
  <w:footnote w:type="continuationSeparator" w:id="0">
    <w:p w:rsidR="00C77AE9" w:rsidRDefault="00C77AE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E557B"/>
    <w:rsid w:val="000F6CC8"/>
    <w:rsid w:val="00111261"/>
    <w:rsid w:val="00133015"/>
    <w:rsid w:val="00137452"/>
    <w:rsid w:val="00137B31"/>
    <w:rsid w:val="00144F93"/>
    <w:rsid w:val="00147376"/>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CD8"/>
    <w:rsid w:val="00655E1C"/>
    <w:rsid w:val="006571DC"/>
    <w:rsid w:val="00660D4B"/>
    <w:rsid w:val="00664ECC"/>
    <w:rsid w:val="00670989"/>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D15C5"/>
    <w:rsid w:val="007E2686"/>
    <w:rsid w:val="007F29B1"/>
    <w:rsid w:val="008014F9"/>
    <w:rsid w:val="0080358B"/>
    <w:rsid w:val="008059BD"/>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67573"/>
    <w:rsid w:val="008700EC"/>
    <w:rsid w:val="008749A7"/>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4F90"/>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7214"/>
    <w:rsid w:val="00B92FF5"/>
    <w:rsid w:val="00B936AE"/>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7047C"/>
    <w:rsid w:val="00C71497"/>
    <w:rsid w:val="00C72F5B"/>
    <w:rsid w:val="00C73BCD"/>
    <w:rsid w:val="00C74E5E"/>
    <w:rsid w:val="00C77AE9"/>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388A"/>
    <w:rsid w:val="00D75E69"/>
    <w:rsid w:val="00D8099B"/>
    <w:rsid w:val="00D866A8"/>
    <w:rsid w:val="00D94B8D"/>
    <w:rsid w:val="00D96C8D"/>
    <w:rsid w:val="00D974EF"/>
    <w:rsid w:val="00DA0C61"/>
    <w:rsid w:val="00DA14B0"/>
    <w:rsid w:val="00DA2876"/>
    <w:rsid w:val="00DC0B51"/>
    <w:rsid w:val="00DC6B55"/>
    <w:rsid w:val="00DE27F7"/>
    <w:rsid w:val="00DE4B43"/>
    <w:rsid w:val="00E36549"/>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D0328"/>
    <w:rsid w:val="00ED14D5"/>
    <w:rsid w:val="00ED2620"/>
    <w:rsid w:val="00ED62BE"/>
    <w:rsid w:val="00ED6E80"/>
    <w:rsid w:val="00ED7B83"/>
    <w:rsid w:val="00EE3BC8"/>
    <w:rsid w:val="00EF17AB"/>
    <w:rsid w:val="00EF6FA5"/>
    <w:rsid w:val="00F11104"/>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924D713-FC46-4BA6-ACC3-45321F15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C0B7C-7D0C-47F5-BE07-49A7B886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1036</Words>
  <Characters>5907</Characters>
  <Application>Microsoft Office Word</Application>
  <DocSecurity>0</DocSecurity>
  <Lines>49</Lines>
  <Paragraphs>13</Paragraphs>
  <ScaleCrop>false</ScaleCrop>
  <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荣华</cp:lastModifiedBy>
  <cp:revision>2</cp:revision>
  <dcterms:created xsi:type="dcterms:W3CDTF">2014-04-16T12:32:00Z</dcterms:created>
  <dcterms:modified xsi:type="dcterms:W3CDTF">2014-04-16T12:32:00Z</dcterms:modified>
</cp:coreProperties>
</file>