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交银施罗德主题优选灵活配置混合型证券投资基金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基金托管人：中国建设银行股份有限公司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60443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E004C" w:rsidRDefault="00A76A4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60443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717,700,489.55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bookmarkStart w:id="0" w:name="_GoBack"/>
            <w:bookmarkEnd w:id="0"/>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60443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76A45" w:rsidRPr="00414345" w:rsidTr="00A76A45">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76A45" w:rsidRPr="00414345" w:rsidTr="00A76A45">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-3,512,109.06</w:t>
            </w:r>
          </w:p>
        </w:tc>
      </w:tr>
      <w:tr w:rsidR="00A76A45" w:rsidRPr="00414345" w:rsidTr="00A76A45">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-17,082,523.54</w:t>
            </w:r>
          </w:p>
        </w:tc>
      </w:tr>
      <w:tr w:rsidR="00A76A45" w:rsidRPr="00414345" w:rsidTr="00A76A45">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-0.0233</w:t>
            </w:r>
          </w:p>
        </w:tc>
      </w:tr>
      <w:tr w:rsidR="00A76A45" w:rsidRPr="00414345" w:rsidTr="00A76A45">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542,252,581.16</w:t>
            </w:r>
          </w:p>
        </w:tc>
      </w:tr>
      <w:tr w:rsidR="00A76A45" w:rsidRPr="00414345" w:rsidTr="00A76A45">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0.756</w:t>
            </w:r>
          </w:p>
        </w:tc>
      </w:tr>
    </w:tbl>
    <w:p w:rsidR="003E004C" w:rsidRDefault="00A76A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E004C">
        <w:trPr>
          <w:jc w:val="center"/>
        </w:trPr>
        <w:tc>
          <w:tcPr>
            <w:tcW w:w="1701" w:type="dxa"/>
            <w:vAlign w:val="center"/>
          </w:tcPr>
          <w:p w:rsidR="003E004C" w:rsidRDefault="00A76A45">
            <w:pPr>
              <w:jc w:val="left"/>
            </w:pPr>
            <w:r>
              <w:rPr>
                <w:color w:val="000000"/>
                <w:sz w:val="24"/>
                <w:szCs w:val="24"/>
              </w:rPr>
              <w:t>过去三个月</w:t>
            </w:r>
          </w:p>
        </w:tc>
        <w:tc>
          <w:tcPr>
            <w:tcW w:w="1045" w:type="dxa"/>
            <w:vAlign w:val="center"/>
          </w:tcPr>
          <w:p w:rsidR="003E004C" w:rsidRDefault="00A76A45">
            <w:pPr>
              <w:jc w:val="center"/>
            </w:pPr>
            <w:r>
              <w:rPr>
                <w:color w:val="000000"/>
                <w:sz w:val="24"/>
                <w:szCs w:val="24"/>
              </w:rPr>
              <w:t>-3.08%</w:t>
            </w:r>
          </w:p>
        </w:tc>
        <w:tc>
          <w:tcPr>
            <w:tcW w:w="1344" w:type="dxa"/>
            <w:vAlign w:val="center"/>
          </w:tcPr>
          <w:p w:rsidR="003E004C" w:rsidRDefault="00A76A45">
            <w:pPr>
              <w:jc w:val="center"/>
            </w:pPr>
            <w:r>
              <w:rPr>
                <w:color w:val="000000"/>
                <w:sz w:val="24"/>
                <w:szCs w:val="24"/>
              </w:rPr>
              <w:t>0.85%</w:t>
            </w:r>
          </w:p>
        </w:tc>
        <w:tc>
          <w:tcPr>
            <w:tcW w:w="1194" w:type="dxa"/>
            <w:vAlign w:val="center"/>
          </w:tcPr>
          <w:p w:rsidR="003E004C" w:rsidRDefault="00A76A45">
            <w:pPr>
              <w:jc w:val="center"/>
            </w:pPr>
            <w:r>
              <w:rPr>
                <w:color w:val="000000"/>
                <w:sz w:val="24"/>
                <w:szCs w:val="24"/>
              </w:rPr>
              <w:t>-4.18%</w:t>
            </w:r>
          </w:p>
        </w:tc>
        <w:tc>
          <w:tcPr>
            <w:tcW w:w="1492" w:type="dxa"/>
            <w:vAlign w:val="center"/>
          </w:tcPr>
          <w:p w:rsidR="003E004C" w:rsidRDefault="00A76A45">
            <w:pPr>
              <w:jc w:val="center"/>
            </w:pPr>
            <w:r>
              <w:rPr>
                <w:color w:val="000000"/>
                <w:sz w:val="24"/>
                <w:szCs w:val="24"/>
              </w:rPr>
              <w:t>0.72%</w:t>
            </w:r>
          </w:p>
        </w:tc>
        <w:tc>
          <w:tcPr>
            <w:tcW w:w="1194" w:type="dxa"/>
            <w:vAlign w:val="center"/>
          </w:tcPr>
          <w:p w:rsidR="003E004C" w:rsidRDefault="00A76A45">
            <w:pPr>
              <w:jc w:val="center"/>
            </w:pPr>
            <w:r>
              <w:rPr>
                <w:color w:val="000000"/>
                <w:sz w:val="24"/>
                <w:szCs w:val="24"/>
              </w:rPr>
              <w:t>1.10%</w:t>
            </w:r>
          </w:p>
        </w:tc>
        <w:tc>
          <w:tcPr>
            <w:tcW w:w="898" w:type="dxa"/>
            <w:vAlign w:val="center"/>
          </w:tcPr>
          <w:p w:rsidR="003E004C" w:rsidRDefault="00A76A45">
            <w:pPr>
              <w:jc w:val="center"/>
            </w:pPr>
            <w:r>
              <w:rPr>
                <w:color w:val="000000"/>
                <w:sz w:val="24"/>
                <w:szCs w:val="24"/>
              </w:rPr>
              <w:t>0.13%</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60443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3E004C">
        <w:trPr>
          <w:jc w:val="center"/>
        </w:trPr>
        <w:tc>
          <w:tcPr>
            <w:tcW w:w="846" w:type="dxa"/>
            <w:vAlign w:val="center"/>
          </w:tcPr>
          <w:p w:rsidR="003E004C" w:rsidRDefault="00A76A45">
            <w:pPr>
              <w:jc w:val="center"/>
            </w:pPr>
            <w:r>
              <w:rPr>
                <w:color w:val="000000"/>
                <w:sz w:val="24"/>
                <w:szCs w:val="24"/>
              </w:rPr>
              <w:t>李永兴</w:t>
            </w:r>
          </w:p>
        </w:tc>
        <w:tc>
          <w:tcPr>
            <w:tcW w:w="845" w:type="dxa"/>
            <w:vAlign w:val="center"/>
          </w:tcPr>
          <w:p w:rsidR="003E004C" w:rsidRDefault="00A76A45">
            <w:pPr>
              <w:jc w:val="center"/>
            </w:pPr>
            <w:r>
              <w:rPr>
                <w:color w:val="000000"/>
                <w:sz w:val="24"/>
                <w:szCs w:val="24"/>
              </w:rPr>
              <w:t>本基金的基金经理</w:t>
            </w:r>
          </w:p>
        </w:tc>
        <w:tc>
          <w:tcPr>
            <w:tcW w:w="1549" w:type="dxa"/>
            <w:vAlign w:val="center"/>
          </w:tcPr>
          <w:p w:rsidR="003E004C" w:rsidRDefault="00A76A45">
            <w:pPr>
              <w:jc w:val="center"/>
            </w:pPr>
            <w:r>
              <w:rPr>
                <w:color w:val="000000"/>
                <w:sz w:val="24"/>
                <w:szCs w:val="24"/>
              </w:rPr>
              <w:t>2012-03-20</w:t>
            </w:r>
          </w:p>
        </w:tc>
        <w:tc>
          <w:tcPr>
            <w:tcW w:w="1548" w:type="dxa"/>
            <w:vAlign w:val="center"/>
          </w:tcPr>
          <w:p w:rsidR="003E004C" w:rsidRDefault="00A76A45">
            <w:pPr>
              <w:jc w:val="center"/>
            </w:pPr>
            <w:r>
              <w:rPr>
                <w:color w:val="000000"/>
                <w:sz w:val="24"/>
                <w:szCs w:val="24"/>
              </w:rPr>
              <w:t>-</w:t>
            </w:r>
          </w:p>
        </w:tc>
        <w:tc>
          <w:tcPr>
            <w:tcW w:w="1407" w:type="dxa"/>
            <w:vAlign w:val="center"/>
          </w:tcPr>
          <w:p w:rsidR="003E004C" w:rsidRDefault="00A76A45">
            <w:pPr>
              <w:jc w:val="center"/>
            </w:pPr>
            <w:r>
              <w:rPr>
                <w:color w:val="000000"/>
                <w:sz w:val="24"/>
                <w:szCs w:val="24"/>
              </w:rPr>
              <w:t>8</w:t>
            </w:r>
            <w:r>
              <w:rPr>
                <w:color w:val="000000"/>
                <w:sz w:val="24"/>
                <w:szCs w:val="24"/>
              </w:rPr>
              <w:t>年</w:t>
            </w:r>
          </w:p>
        </w:tc>
        <w:tc>
          <w:tcPr>
            <w:tcW w:w="2673" w:type="dxa"/>
            <w:vAlign w:val="center"/>
          </w:tcPr>
          <w:p w:rsidR="003E004C" w:rsidRDefault="00A76A45">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E004C" w:rsidRDefault="00A76A4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E004C" w:rsidRDefault="00A76A4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E004C" w:rsidRDefault="00A76A4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E004C" w:rsidRDefault="00A76A45">
      <w:pPr>
        <w:spacing w:before="29" w:line="288" w:lineRule="auto"/>
        <w:ind w:firstLineChars="200" w:firstLine="480"/>
        <w:rPr>
          <w:color w:val="000000"/>
          <w:sz w:val="24"/>
          <w:szCs w:val="24"/>
        </w:rPr>
      </w:pPr>
      <w:r>
        <w:rPr>
          <w:color w:val="000000"/>
          <w:sz w:val="24"/>
          <w:szCs w:val="24"/>
        </w:rPr>
        <w:t>2014</w:t>
      </w:r>
      <w:r>
        <w:rPr>
          <w:color w:val="000000"/>
          <w:sz w:val="24"/>
          <w:szCs w:val="24"/>
        </w:rPr>
        <w:t>年一季度，沪深</w:t>
      </w:r>
      <w:r>
        <w:rPr>
          <w:color w:val="000000"/>
          <w:sz w:val="24"/>
          <w:szCs w:val="24"/>
        </w:rPr>
        <w:t>300</w:t>
      </w:r>
      <w:r>
        <w:rPr>
          <w:color w:val="000000"/>
          <w:sz w:val="24"/>
          <w:szCs w:val="24"/>
        </w:rPr>
        <w:t>指数下跌</w:t>
      </w:r>
      <w:r>
        <w:rPr>
          <w:color w:val="000000"/>
          <w:sz w:val="24"/>
          <w:szCs w:val="24"/>
        </w:rPr>
        <w:t>7.89%</w:t>
      </w:r>
      <w:r>
        <w:rPr>
          <w:color w:val="000000"/>
          <w:sz w:val="24"/>
          <w:szCs w:val="24"/>
        </w:rPr>
        <w:t>，本基金净值下跌</w:t>
      </w:r>
      <w:r>
        <w:rPr>
          <w:color w:val="000000"/>
          <w:sz w:val="24"/>
          <w:szCs w:val="24"/>
        </w:rPr>
        <w:t>3.08%</w:t>
      </w:r>
      <w:r>
        <w:rPr>
          <w:color w:val="000000"/>
          <w:sz w:val="24"/>
          <w:szCs w:val="24"/>
        </w:rPr>
        <w:t>，净值跌幅少于沪深</w:t>
      </w:r>
      <w:r>
        <w:rPr>
          <w:color w:val="000000"/>
          <w:sz w:val="24"/>
          <w:szCs w:val="24"/>
        </w:rPr>
        <w:t>300</w:t>
      </w:r>
      <w:r>
        <w:rPr>
          <w:color w:val="000000"/>
          <w:sz w:val="24"/>
          <w:szCs w:val="24"/>
        </w:rPr>
        <w:t>指数和业绩比较基准。</w:t>
      </w:r>
    </w:p>
    <w:p w:rsidR="003E004C" w:rsidRDefault="00A76A45">
      <w:pPr>
        <w:spacing w:before="29" w:line="288" w:lineRule="auto"/>
        <w:ind w:firstLineChars="200" w:firstLine="480"/>
        <w:rPr>
          <w:color w:val="000000"/>
          <w:sz w:val="24"/>
          <w:szCs w:val="24"/>
        </w:rPr>
      </w:pPr>
      <w:r>
        <w:rPr>
          <w:color w:val="000000"/>
          <w:sz w:val="24"/>
          <w:szCs w:val="24"/>
        </w:rPr>
        <w:t>四季度股票市场呈现剧烈波动的走势，年初在互联网、新能源汽车、智能家居等主题投资的带动下，中小板和创业板都出现较大涨幅，但是后续随着宏观经济数据的下滑，市场出现了较为明显的下跌，而蓝筹股在下跌过程中表现较为抗跌。一季度市场表现的行业特征不是特别明显，即便在传统产业中只要能和</w:t>
      </w:r>
      <w:r>
        <w:rPr>
          <w:color w:val="000000"/>
          <w:sz w:val="24"/>
          <w:szCs w:val="24"/>
        </w:rPr>
        <w:t>“</w:t>
      </w:r>
      <w:r>
        <w:rPr>
          <w:color w:val="000000"/>
          <w:sz w:val="24"/>
          <w:szCs w:val="24"/>
        </w:rPr>
        <w:t>互联网</w:t>
      </w:r>
      <w:r>
        <w:rPr>
          <w:color w:val="000000"/>
          <w:sz w:val="24"/>
          <w:szCs w:val="24"/>
        </w:rPr>
        <w:t>”</w:t>
      </w:r>
      <w:r>
        <w:rPr>
          <w:color w:val="000000"/>
          <w:sz w:val="24"/>
          <w:szCs w:val="24"/>
        </w:rPr>
        <w:t>、</w:t>
      </w:r>
      <w:r>
        <w:rPr>
          <w:color w:val="000000"/>
          <w:sz w:val="24"/>
          <w:szCs w:val="24"/>
        </w:rPr>
        <w:t>“</w:t>
      </w:r>
      <w:r>
        <w:rPr>
          <w:color w:val="000000"/>
          <w:sz w:val="24"/>
          <w:szCs w:val="24"/>
        </w:rPr>
        <w:t>智能化</w:t>
      </w:r>
      <w:r>
        <w:rPr>
          <w:color w:val="000000"/>
          <w:sz w:val="24"/>
          <w:szCs w:val="24"/>
        </w:rPr>
        <w:t>”</w:t>
      </w:r>
      <w:r>
        <w:rPr>
          <w:color w:val="000000"/>
          <w:sz w:val="24"/>
          <w:szCs w:val="24"/>
        </w:rPr>
        <w:t>等主题挂钩的公司都有较大涨幅，而新兴产业中一些不贴近主题投资方向的公司甚至出现了较大跌幅。</w:t>
      </w:r>
    </w:p>
    <w:p w:rsidR="003E004C" w:rsidRDefault="00A76A45">
      <w:pPr>
        <w:spacing w:before="29" w:line="288" w:lineRule="auto"/>
        <w:ind w:firstLineChars="200" w:firstLine="480"/>
        <w:rPr>
          <w:color w:val="000000"/>
          <w:sz w:val="24"/>
          <w:szCs w:val="24"/>
        </w:rPr>
      </w:pPr>
      <w:r>
        <w:rPr>
          <w:color w:val="000000"/>
          <w:sz w:val="24"/>
          <w:szCs w:val="24"/>
        </w:rPr>
        <w:t>本基金在一季度中，一方面在尽力控制风险的前提下适当参与了符合经济未来发展方向的部分主题投资，另一方面由于担心经济的进一步下滑，继续较大幅度地降低了股票仓位，为基金持有人适当规避了市场下跌的风险。</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二季度，经济增长下滑的风险进一步增加，而政府稳增长的态度和政策调控的力度将决定经济增长何时能够稳住。本基金将暂时继续保持较低股票仓位，等待政府政策的变化以及经济运行数据的变化，再根据这些变化对仓位和持仓结构做出相应调整。</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0.756</w:t>
      </w:r>
      <w:r w:rsidRPr="00414345">
        <w:rPr>
          <w:color w:val="000000"/>
          <w:sz w:val="24"/>
          <w:szCs w:val="24"/>
        </w:rPr>
        <w:t>元，本报告期份额净值增长率为</w:t>
      </w:r>
      <w:r w:rsidRPr="00414345">
        <w:rPr>
          <w:color w:val="000000"/>
          <w:sz w:val="24"/>
          <w:szCs w:val="24"/>
        </w:rPr>
        <w:t>-3.08%</w:t>
      </w:r>
      <w:r w:rsidRPr="00414345">
        <w:rPr>
          <w:color w:val="000000"/>
          <w:sz w:val="24"/>
          <w:szCs w:val="24"/>
        </w:rPr>
        <w:t>，同期业绩比较基准增长率为</w:t>
      </w:r>
      <w:r w:rsidRPr="00414345">
        <w:rPr>
          <w:color w:val="000000"/>
          <w:sz w:val="24"/>
          <w:szCs w:val="24"/>
        </w:rPr>
        <w:t>-4.18%</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60443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177,017,882.09</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32.48</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177,017,882.09</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32.48</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117,442,000.00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21.55</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117,442,000.00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21.55</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95,400,463.10</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17.51</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149,970,430.36</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27.52</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5,141,456.69</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0.94</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544,972,232.24</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A76A4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A76A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135,692,162.16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25.02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31,120,596.68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A76A45">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10,205,123.25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177,017,882.09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32.64</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E004C">
        <w:trPr>
          <w:jc w:val="center"/>
        </w:trPr>
        <w:tc>
          <w:tcPr>
            <w:tcW w:w="855" w:type="dxa"/>
            <w:vAlign w:val="center"/>
          </w:tcPr>
          <w:p w:rsidR="003E004C" w:rsidRDefault="00A76A45">
            <w:pPr>
              <w:jc w:val="center"/>
            </w:pPr>
            <w:r>
              <w:rPr>
                <w:color w:val="000000"/>
                <w:sz w:val="24"/>
                <w:szCs w:val="24"/>
              </w:rPr>
              <w:t>1</w:t>
            </w:r>
          </w:p>
        </w:tc>
        <w:tc>
          <w:tcPr>
            <w:tcW w:w="1334" w:type="dxa"/>
            <w:vAlign w:val="center"/>
          </w:tcPr>
          <w:p w:rsidR="003E004C" w:rsidRDefault="00A76A45">
            <w:pPr>
              <w:jc w:val="center"/>
            </w:pPr>
            <w:r>
              <w:rPr>
                <w:color w:val="000000"/>
                <w:sz w:val="24"/>
                <w:szCs w:val="24"/>
              </w:rPr>
              <w:t>300005</w:t>
            </w:r>
          </w:p>
        </w:tc>
        <w:tc>
          <w:tcPr>
            <w:tcW w:w="1777" w:type="dxa"/>
            <w:vAlign w:val="center"/>
          </w:tcPr>
          <w:p w:rsidR="003E004C" w:rsidRDefault="00A76A45">
            <w:pPr>
              <w:jc w:val="center"/>
            </w:pPr>
            <w:r>
              <w:rPr>
                <w:color w:val="000000"/>
                <w:sz w:val="24"/>
                <w:szCs w:val="24"/>
              </w:rPr>
              <w:t>探路者</w:t>
            </w:r>
          </w:p>
        </w:tc>
        <w:tc>
          <w:tcPr>
            <w:tcW w:w="1334" w:type="dxa"/>
            <w:vAlign w:val="center"/>
          </w:tcPr>
          <w:p w:rsidR="003E004C" w:rsidRDefault="00A76A45">
            <w:pPr>
              <w:jc w:val="right"/>
            </w:pPr>
            <w:r>
              <w:rPr>
                <w:color w:val="000000"/>
                <w:sz w:val="24"/>
                <w:szCs w:val="24"/>
              </w:rPr>
              <w:t>2,010,497</w:t>
            </w:r>
          </w:p>
        </w:tc>
        <w:tc>
          <w:tcPr>
            <w:tcW w:w="1924" w:type="dxa"/>
            <w:vAlign w:val="center"/>
          </w:tcPr>
          <w:p w:rsidR="003E004C" w:rsidRDefault="00A76A45">
            <w:pPr>
              <w:jc w:val="right"/>
            </w:pPr>
            <w:r>
              <w:rPr>
                <w:color w:val="000000"/>
                <w:sz w:val="24"/>
                <w:szCs w:val="24"/>
              </w:rPr>
              <w:t>38,018,498.27</w:t>
            </w:r>
          </w:p>
        </w:tc>
        <w:tc>
          <w:tcPr>
            <w:tcW w:w="1644" w:type="dxa"/>
            <w:vAlign w:val="center"/>
          </w:tcPr>
          <w:p w:rsidR="003E004C" w:rsidRDefault="00A76A45">
            <w:pPr>
              <w:jc w:val="right"/>
            </w:pPr>
            <w:r>
              <w:rPr>
                <w:color w:val="000000"/>
                <w:sz w:val="24"/>
                <w:szCs w:val="24"/>
              </w:rPr>
              <w:t>7.01</w:t>
            </w:r>
          </w:p>
        </w:tc>
      </w:tr>
      <w:tr w:rsidR="003E004C">
        <w:trPr>
          <w:jc w:val="center"/>
        </w:trPr>
        <w:tc>
          <w:tcPr>
            <w:tcW w:w="855" w:type="dxa"/>
            <w:vAlign w:val="center"/>
          </w:tcPr>
          <w:p w:rsidR="003E004C" w:rsidRDefault="00A76A45">
            <w:pPr>
              <w:jc w:val="center"/>
            </w:pPr>
            <w:r>
              <w:rPr>
                <w:color w:val="000000"/>
                <w:sz w:val="24"/>
                <w:szCs w:val="24"/>
              </w:rPr>
              <w:t>2</w:t>
            </w:r>
          </w:p>
        </w:tc>
        <w:tc>
          <w:tcPr>
            <w:tcW w:w="1334" w:type="dxa"/>
            <w:vAlign w:val="center"/>
          </w:tcPr>
          <w:p w:rsidR="003E004C" w:rsidRDefault="00A76A45">
            <w:pPr>
              <w:jc w:val="center"/>
            </w:pPr>
            <w:r>
              <w:rPr>
                <w:color w:val="000000"/>
                <w:sz w:val="24"/>
                <w:szCs w:val="24"/>
              </w:rPr>
              <w:t>002223</w:t>
            </w:r>
          </w:p>
        </w:tc>
        <w:tc>
          <w:tcPr>
            <w:tcW w:w="1777" w:type="dxa"/>
            <w:vAlign w:val="center"/>
          </w:tcPr>
          <w:p w:rsidR="003E004C" w:rsidRDefault="00A76A45">
            <w:pPr>
              <w:jc w:val="center"/>
            </w:pPr>
            <w:r>
              <w:rPr>
                <w:color w:val="000000"/>
                <w:sz w:val="24"/>
                <w:szCs w:val="24"/>
              </w:rPr>
              <w:t>鱼跃医疗</w:t>
            </w:r>
          </w:p>
        </w:tc>
        <w:tc>
          <w:tcPr>
            <w:tcW w:w="1334" w:type="dxa"/>
            <w:vAlign w:val="center"/>
          </w:tcPr>
          <w:p w:rsidR="003E004C" w:rsidRDefault="00A76A45">
            <w:pPr>
              <w:jc w:val="right"/>
            </w:pPr>
            <w:r>
              <w:rPr>
                <w:color w:val="000000"/>
                <w:sz w:val="24"/>
                <w:szCs w:val="24"/>
              </w:rPr>
              <w:t>1,003,041</w:t>
            </w:r>
          </w:p>
        </w:tc>
        <w:tc>
          <w:tcPr>
            <w:tcW w:w="1924" w:type="dxa"/>
            <w:vAlign w:val="center"/>
          </w:tcPr>
          <w:p w:rsidR="003E004C" w:rsidRDefault="00A76A45">
            <w:pPr>
              <w:jc w:val="right"/>
            </w:pPr>
            <w:r>
              <w:rPr>
                <w:color w:val="000000"/>
                <w:sz w:val="24"/>
                <w:szCs w:val="24"/>
              </w:rPr>
              <w:t>28,155,360.87</w:t>
            </w:r>
          </w:p>
        </w:tc>
        <w:tc>
          <w:tcPr>
            <w:tcW w:w="1644" w:type="dxa"/>
            <w:vAlign w:val="center"/>
          </w:tcPr>
          <w:p w:rsidR="003E004C" w:rsidRDefault="00A76A45">
            <w:pPr>
              <w:jc w:val="right"/>
            </w:pPr>
            <w:r>
              <w:rPr>
                <w:color w:val="000000"/>
                <w:sz w:val="24"/>
                <w:szCs w:val="24"/>
              </w:rPr>
              <w:t>5.19</w:t>
            </w:r>
          </w:p>
        </w:tc>
      </w:tr>
      <w:tr w:rsidR="003E004C">
        <w:trPr>
          <w:jc w:val="center"/>
        </w:trPr>
        <w:tc>
          <w:tcPr>
            <w:tcW w:w="855" w:type="dxa"/>
            <w:vAlign w:val="center"/>
          </w:tcPr>
          <w:p w:rsidR="003E004C" w:rsidRDefault="00A76A45">
            <w:pPr>
              <w:jc w:val="center"/>
            </w:pPr>
            <w:r>
              <w:rPr>
                <w:color w:val="000000"/>
                <w:sz w:val="24"/>
                <w:szCs w:val="24"/>
              </w:rPr>
              <w:t>3</w:t>
            </w:r>
          </w:p>
        </w:tc>
        <w:tc>
          <w:tcPr>
            <w:tcW w:w="1334" w:type="dxa"/>
            <w:vAlign w:val="center"/>
          </w:tcPr>
          <w:p w:rsidR="003E004C" w:rsidRDefault="00A76A45">
            <w:pPr>
              <w:jc w:val="center"/>
            </w:pPr>
            <w:r>
              <w:rPr>
                <w:color w:val="000000"/>
                <w:sz w:val="24"/>
                <w:szCs w:val="24"/>
              </w:rPr>
              <w:t>600600</w:t>
            </w:r>
          </w:p>
        </w:tc>
        <w:tc>
          <w:tcPr>
            <w:tcW w:w="1777" w:type="dxa"/>
            <w:vAlign w:val="center"/>
          </w:tcPr>
          <w:p w:rsidR="003E004C" w:rsidRDefault="00A76A45">
            <w:pPr>
              <w:jc w:val="center"/>
            </w:pPr>
            <w:r>
              <w:rPr>
                <w:color w:val="000000"/>
                <w:sz w:val="24"/>
                <w:szCs w:val="24"/>
              </w:rPr>
              <w:t>青岛啤酒</w:t>
            </w:r>
          </w:p>
        </w:tc>
        <w:tc>
          <w:tcPr>
            <w:tcW w:w="1334" w:type="dxa"/>
            <w:vAlign w:val="center"/>
          </w:tcPr>
          <w:p w:rsidR="003E004C" w:rsidRDefault="00A76A45">
            <w:pPr>
              <w:jc w:val="right"/>
            </w:pPr>
            <w:r>
              <w:rPr>
                <w:color w:val="000000"/>
                <w:sz w:val="24"/>
                <w:szCs w:val="24"/>
              </w:rPr>
              <w:t>555,001</w:t>
            </w:r>
          </w:p>
        </w:tc>
        <w:tc>
          <w:tcPr>
            <w:tcW w:w="1924" w:type="dxa"/>
            <w:vAlign w:val="center"/>
          </w:tcPr>
          <w:p w:rsidR="003E004C" w:rsidRDefault="00A76A45">
            <w:pPr>
              <w:jc w:val="right"/>
            </w:pPr>
            <w:r>
              <w:rPr>
                <w:color w:val="000000"/>
                <w:sz w:val="24"/>
                <w:szCs w:val="24"/>
              </w:rPr>
              <w:t>21,206,588.21</w:t>
            </w:r>
          </w:p>
        </w:tc>
        <w:tc>
          <w:tcPr>
            <w:tcW w:w="1644" w:type="dxa"/>
            <w:vAlign w:val="center"/>
          </w:tcPr>
          <w:p w:rsidR="003E004C" w:rsidRDefault="00A76A45">
            <w:pPr>
              <w:jc w:val="right"/>
            </w:pPr>
            <w:r>
              <w:rPr>
                <w:color w:val="000000"/>
                <w:sz w:val="24"/>
                <w:szCs w:val="24"/>
              </w:rPr>
              <w:t>3.91</w:t>
            </w:r>
          </w:p>
        </w:tc>
      </w:tr>
      <w:tr w:rsidR="003E004C">
        <w:trPr>
          <w:jc w:val="center"/>
        </w:trPr>
        <w:tc>
          <w:tcPr>
            <w:tcW w:w="855" w:type="dxa"/>
            <w:vAlign w:val="center"/>
          </w:tcPr>
          <w:p w:rsidR="003E004C" w:rsidRDefault="00A76A45">
            <w:pPr>
              <w:jc w:val="center"/>
            </w:pPr>
            <w:r>
              <w:rPr>
                <w:color w:val="000000"/>
                <w:sz w:val="24"/>
                <w:szCs w:val="24"/>
              </w:rPr>
              <w:t>4</w:t>
            </w:r>
          </w:p>
        </w:tc>
        <w:tc>
          <w:tcPr>
            <w:tcW w:w="1334" w:type="dxa"/>
            <w:vAlign w:val="center"/>
          </w:tcPr>
          <w:p w:rsidR="003E004C" w:rsidRDefault="00A76A45">
            <w:pPr>
              <w:jc w:val="center"/>
            </w:pPr>
            <w:r>
              <w:rPr>
                <w:color w:val="000000"/>
                <w:sz w:val="24"/>
                <w:szCs w:val="24"/>
              </w:rPr>
              <w:t>601933</w:t>
            </w:r>
          </w:p>
        </w:tc>
        <w:tc>
          <w:tcPr>
            <w:tcW w:w="1777" w:type="dxa"/>
            <w:vAlign w:val="center"/>
          </w:tcPr>
          <w:p w:rsidR="003E004C" w:rsidRDefault="00A76A45">
            <w:pPr>
              <w:jc w:val="center"/>
            </w:pPr>
            <w:r>
              <w:rPr>
                <w:color w:val="000000"/>
                <w:sz w:val="24"/>
                <w:szCs w:val="24"/>
              </w:rPr>
              <w:t>永辉超市</w:t>
            </w:r>
          </w:p>
        </w:tc>
        <w:tc>
          <w:tcPr>
            <w:tcW w:w="1334" w:type="dxa"/>
            <w:vAlign w:val="center"/>
          </w:tcPr>
          <w:p w:rsidR="003E004C" w:rsidRDefault="00A76A45">
            <w:pPr>
              <w:jc w:val="right"/>
            </w:pPr>
            <w:r>
              <w:rPr>
                <w:color w:val="000000"/>
                <w:sz w:val="24"/>
                <w:szCs w:val="24"/>
              </w:rPr>
              <w:t>1,341,476</w:t>
            </w:r>
          </w:p>
        </w:tc>
        <w:tc>
          <w:tcPr>
            <w:tcW w:w="1924" w:type="dxa"/>
            <w:vAlign w:val="center"/>
          </w:tcPr>
          <w:p w:rsidR="003E004C" w:rsidRDefault="00A76A45">
            <w:pPr>
              <w:jc w:val="right"/>
            </w:pPr>
            <w:r>
              <w:rPr>
                <w:color w:val="000000"/>
                <w:sz w:val="24"/>
                <w:szCs w:val="24"/>
              </w:rPr>
              <w:t>16,526,984.32</w:t>
            </w:r>
          </w:p>
        </w:tc>
        <w:tc>
          <w:tcPr>
            <w:tcW w:w="1644" w:type="dxa"/>
            <w:vAlign w:val="center"/>
          </w:tcPr>
          <w:p w:rsidR="003E004C" w:rsidRDefault="00A76A45">
            <w:pPr>
              <w:jc w:val="right"/>
            </w:pPr>
            <w:r>
              <w:rPr>
                <w:color w:val="000000"/>
                <w:sz w:val="24"/>
                <w:szCs w:val="24"/>
              </w:rPr>
              <w:t>3.05</w:t>
            </w:r>
          </w:p>
        </w:tc>
      </w:tr>
      <w:tr w:rsidR="003E004C">
        <w:trPr>
          <w:jc w:val="center"/>
        </w:trPr>
        <w:tc>
          <w:tcPr>
            <w:tcW w:w="855" w:type="dxa"/>
            <w:vAlign w:val="center"/>
          </w:tcPr>
          <w:p w:rsidR="003E004C" w:rsidRDefault="00A76A45">
            <w:pPr>
              <w:jc w:val="center"/>
            </w:pPr>
            <w:r>
              <w:rPr>
                <w:color w:val="000000"/>
                <w:sz w:val="24"/>
                <w:szCs w:val="24"/>
              </w:rPr>
              <w:t>5</w:t>
            </w:r>
          </w:p>
        </w:tc>
        <w:tc>
          <w:tcPr>
            <w:tcW w:w="1334" w:type="dxa"/>
            <w:vAlign w:val="center"/>
          </w:tcPr>
          <w:p w:rsidR="003E004C" w:rsidRDefault="00A76A45">
            <w:pPr>
              <w:jc w:val="center"/>
            </w:pPr>
            <w:r>
              <w:rPr>
                <w:color w:val="000000"/>
                <w:sz w:val="24"/>
                <w:szCs w:val="24"/>
              </w:rPr>
              <w:t>000423</w:t>
            </w:r>
          </w:p>
        </w:tc>
        <w:tc>
          <w:tcPr>
            <w:tcW w:w="1777" w:type="dxa"/>
            <w:vAlign w:val="center"/>
          </w:tcPr>
          <w:p w:rsidR="003E004C" w:rsidRDefault="00A76A45">
            <w:pPr>
              <w:jc w:val="center"/>
            </w:pPr>
            <w:r>
              <w:rPr>
                <w:color w:val="000000"/>
                <w:sz w:val="24"/>
                <w:szCs w:val="24"/>
              </w:rPr>
              <w:t>东阿阿胶</w:t>
            </w:r>
          </w:p>
        </w:tc>
        <w:tc>
          <w:tcPr>
            <w:tcW w:w="1334" w:type="dxa"/>
            <w:vAlign w:val="center"/>
          </w:tcPr>
          <w:p w:rsidR="003E004C" w:rsidRDefault="00A76A45">
            <w:pPr>
              <w:jc w:val="right"/>
            </w:pPr>
            <w:r>
              <w:rPr>
                <w:color w:val="000000"/>
                <w:sz w:val="24"/>
                <w:szCs w:val="24"/>
              </w:rPr>
              <w:t>437,844</w:t>
            </w:r>
          </w:p>
        </w:tc>
        <w:tc>
          <w:tcPr>
            <w:tcW w:w="1924" w:type="dxa"/>
            <w:vAlign w:val="center"/>
          </w:tcPr>
          <w:p w:rsidR="003E004C" w:rsidRDefault="00A76A45">
            <w:pPr>
              <w:jc w:val="right"/>
            </w:pPr>
            <w:r>
              <w:rPr>
                <w:color w:val="000000"/>
                <w:sz w:val="24"/>
                <w:szCs w:val="24"/>
              </w:rPr>
              <w:t>14,930,480.40</w:t>
            </w:r>
          </w:p>
        </w:tc>
        <w:tc>
          <w:tcPr>
            <w:tcW w:w="1644" w:type="dxa"/>
            <w:vAlign w:val="center"/>
          </w:tcPr>
          <w:p w:rsidR="003E004C" w:rsidRDefault="00A76A45">
            <w:pPr>
              <w:jc w:val="right"/>
            </w:pPr>
            <w:r>
              <w:rPr>
                <w:color w:val="000000"/>
                <w:sz w:val="24"/>
                <w:szCs w:val="24"/>
              </w:rPr>
              <w:t>2.75</w:t>
            </w:r>
          </w:p>
        </w:tc>
      </w:tr>
      <w:tr w:rsidR="003E004C">
        <w:trPr>
          <w:jc w:val="center"/>
        </w:trPr>
        <w:tc>
          <w:tcPr>
            <w:tcW w:w="855" w:type="dxa"/>
            <w:vAlign w:val="center"/>
          </w:tcPr>
          <w:p w:rsidR="003E004C" w:rsidRDefault="00A76A45">
            <w:pPr>
              <w:jc w:val="center"/>
            </w:pPr>
            <w:r>
              <w:rPr>
                <w:color w:val="000000"/>
                <w:sz w:val="24"/>
                <w:szCs w:val="24"/>
              </w:rPr>
              <w:t>6</w:t>
            </w:r>
          </w:p>
        </w:tc>
        <w:tc>
          <w:tcPr>
            <w:tcW w:w="1334" w:type="dxa"/>
            <w:vAlign w:val="center"/>
          </w:tcPr>
          <w:p w:rsidR="003E004C" w:rsidRDefault="00A76A45">
            <w:pPr>
              <w:jc w:val="center"/>
            </w:pPr>
            <w:r>
              <w:rPr>
                <w:color w:val="000000"/>
                <w:sz w:val="24"/>
                <w:szCs w:val="24"/>
              </w:rPr>
              <w:t>600511</w:t>
            </w:r>
          </w:p>
        </w:tc>
        <w:tc>
          <w:tcPr>
            <w:tcW w:w="1777" w:type="dxa"/>
            <w:vAlign w:val="center"/>
          </w:tcPr>
          <w:p w:rsidR="003E004C" w:rsidRDefault="00A76A45">
            <w:pPr>
              <w:jc w:val="center"/>
            </w:pPr>
            <w:r>
              <w:rPr>
                <w:color w:val="000000"/>
                <w:sz w:val="24"/>
                <w:szCs w:val="24"/>
              </w:rPr>
              <w:t>国药股份</w:t>
            </w:r>
          </w:p>
        </w:tc>
        <w:tc>
          <w:tcPr>
            <w:tcW w:w="1334" w:type="dxa"/>
            <w:vAlign w:val="center"/>
          </w:tcPr>
          <w:p w:rsidR="003E004C" w:rsidRDefault="00A76A45">
            <w:pPr>
              <w:jc w:val="right"/>
            </w:pPr>
            <w:r>
              <w:rPr>
                <w:color w:val="000000"/>
                <w:sz w:val="24"/>
                <w:szCs w:val="24"/>
              </w:rPr>
              <w:t>715,724</w:t>
            </w:r>
          </w:p>
        </w:tc>
        <w:tc>
          <w:tcPr>
            <w:tcW w:w="1924" w:type="dxa"/>
            <w:vAlign w:val="center"/>
          </w:tcPr>
          <w:p w:rsidR="003E004C" w:rsidRDefault="00A76A45">
            <w:pPr>
              <w:jc w:val="right"/>
            </w:pPr>
            <w:r>
              <w:rPr>
                <w:color w:val="000000"/>
                <w:sz w:val="24"/>
                <w:szCs w:val="24"/>
              </w:rPr>
              <w:t>14,593,612.36</w:t>
            </w:r>
          </w:p>
        </w:tc>
        <w:tc>
          <w:tcPr>
            <w:tcW w:w="1644" w:type="dxa"/>
            <w:vAlign w:val="center"/>
          </w:tcPr>
          <w:p w:rsidR="003E004C" w:rsidRDefault="00A76A45">
            <w:pPr>
              <w:jc w:val="right"/>
            </w:pPr>
            <w:r>
              <w:rPr>
                <w:color w:val="000000"/>
                <w:sz w:val="24"/>
                <w:szCs w:val="24"/>
              </w:rPr>
              <w:t>2.69</w:t>
            </w:r>
          </w:p>
        </w:tc>
      </w:tr>
      <w:tr w:rsidR="003E004C">
        <w:trPr>
          <w:jc w:val="center"/>
        </w:trPr>
        <w:tc>
          <w:tcPr>
            <w:tcW w:w="855" w:type="dxa"/>
            <w:vAlign w:val="center"/>
          </w:tcPr>
          <w:p w:rsidR="003E004C" w:rsidRDefault="00A76A45">
            <w:pPr>
              <w:jc w:val="center"/>
            </w:pPr>
            <w:r>
              <w:rPr>
                <w:color w:val="000000"/>
                <w:sz w:val="24"/>
                <w:szCs w:val="24"/>
              </w:rPr>
              <w:t>7</w:t>
            </w:r>
          </w:p>
        </w:tc>
        <w:tc>
          <w:tcPr>
            <w:tcW w:w="1334" w:type="dxa"/>
            <w:vAlign w:val="center"/>
          </w:tcPr>
          <w:p w:rsidR="003E004C" w:rsidRDefault="00A76A45">
            <w:pPr>
              <w:jc w:val="center"/>
            </w:pPr>
            <w:r>
              <w:rPr>
                <w:color w:val="000000"/>
                <w:sz w:val="24"/>
                <w:szCs w:val="24"/>
              </w:rPr>
              <w:t>000729</w:t>
            </w:r>
          </w:p>
        </w:tc>
        <w:tc>
          <w:tcPr>
            <w:tcW w:w="1777" w:type="dxa"/>
            <w:vAlign w:val="center"/>
          </w:tcPr>
          <w:p w:rsidR="003E004C" w:rsidRDefault="00A76A45">
            <w:pPr>
              <w:jc w:val="center"/>
            </w:pPr>
            <w:r>
              <w:rPr>
                <w:color w:val="000000"/>
                <w:sz w:val="24"/>
                <w:szCs w:val="24"/>
              </w:rPr>
              <w:t>燕京啤酒</w:t>
            </w:r>
          </w:p>
        </w:tc>
        <w:tc>
          <w:tcPr>
            <w:tcW w:w="1334" w:type="dxa"/>
            <w:vAlign w:val="center"/>
          </w:tcPr>
          <w:p w:rsidR="003E004C" w:rsidRDefault="00A76A45">
            <w:pPr>
              <w:jc w:val="right"/>
            </w:pPr>
            <w:r>
              <w:rPr>
                <w:color w:val="000000"/>
                <w:sz w:val="24"/>
                <w:szCs w:val="24"/>
              </w:rPr>
              <w:t>1,856,648</w:t>
            </w:r>
          </w:p>
        </w:tc>
        <w:tc>
          <w:tcPr>
            <w:tcW w:w="1924" w:type="dxa"/>
            <w:vAlign w:val="center"/>
          </w:tcPr>
          <w:p w:rsidR="003E004C" w:rsidRDefault="00A76A45">
            <w:pPr>
              <w:jc w:val="right"/>
            </w:pPr>
            <w:r>
              <w:rPr>
                <w:color w:val="000000"/>
                <w:sz w:val="24"/>
                <w:szCs w:val="24"/>
              </w:rPr>
              <w:t>12,532,374.00</w:t>
            </w:r>
          </w:p>
        </w:tc>
        <w:tc>
          <w:tcPr>
            <w:tcW w:w="1644" w:type="dxa"/>
            <w:vAlign w:val="center"/>
          </w:tcPr>
          <w:p w:rsidR="003E004C" w:rsidRDefault="00A76A45">
            <w:pPr>
              <w:jc w:val="right"/>
            </w:pPr>
            <w:r>
              <w:rPr>
                <w:color w:val="000000"/>
                <w:sz w:val="24"/>
                <w:szCs w:val="24"/>
              </w:rPr>
              <w:t>2.31</w:t>
            </w:r>
          </w:p>
        </w:tc>
      </w:tr>
      <w:tr w:rsidR="003E004C">
        <w:trPr>
          <w:jc w:val="center"/>
        </w:trPr>
        <w:tc>
          <w:tcPr>
            <w:tcW w:w="855" w:type="dxa"/>
            <w:vAlign w:val="center"/>
          </w:tcPr>
          <w:p w:rsidR="003E004C" w:rsidRDefault="00A76A45">
            <w:pPr>
              <w:jc w:val="center"/>
            </w:pPr>
            <w:r>
              <w:rPr>
                <w:color w:val="000000"/>
                <w:sz w:val="24"/>
                <w:szCs w:val="24"/>
              </w:rPr>
              <w:t>8</w:t>
            </w:r>
          </w:p>
        </w:tc>
        <w:tc>
          <w:tcPr>
            <w:tcW w:w="1334" w:type="dxa"/>
            <w:vAlign w:val="center"/>
          </w:tcPr>
          <w:p w:rsidR="003E004C" w:rsidRDefault="00A76A45">
            <w:pPr>
              <w:jc w:val="center"/>
            </w:pPr>
            <w:r>
              <w:rPr>
                <w:color w:val="000000"/>
                <w:sz w:val="24"/>
                <w:szCs w:val="24"/>
              </w:rPr>
              <w:t>601888</w:t>
            </w:r>
          </w:p>
        </w:tc>
        <w:tc>
          <w:tcPr>
            <w:tcW w:w="1777" w:type="dxa"/>
            <w:vAlign w:val="center"/>
          </w:tcPr>
          <w:p w:rsidR="003E004C" w:rsidRDefault="00A76A45">
            <w:pPr>
              <w:jc w:val="center"/>
            </w:pPr>
            <w:r>
              <w:rPr>
                <w:color w:val="000000"/>
                <w:sz w:val="24"/>
                <w:szCs w:val="24"/>
              </w:rPr>
              <w:t>中国国旅</w:t>
            </w:r>
          </w:p>
        </w:tc>
        <w:tc>
          <w:tcPr>
            <w:tcW w:w="1334" w:type="dxa"/>
            <w:vAlign w:val="center"/>
          </w:tcPr>
          <w:p w:rsidR="003E004C" w:rsidRDefault="00A76A45">
            <w:pPr>
              <w:jc w:val="right"/>
            </w:pPr>
            <w:r>
              <w:rPr>
                <w:color w:val="000000"/>
                <w:sz w:val="24"/>
                <w:szCs w:val="24"/>
              </w:rPr>
              <w:t>306,921</w:t>
            </w:r>
          </w:p>
        </w:tc>
        <w:tc>
          <w:tcPr>
            <w:tcW w:w="1924" w:type="dxa"/>
            <w:vAlign w:val="center"/>
          </w:tcPr>
          <w:p w:rsidR="003E004C" w:rsidRDefault="00A76A45">
            <w:pPr>
              <w:jc w:val="right"/>
            </w:pPr>
            <w:r>
              <w:rPr>
                <w:color w:val="000000"/>
                <w:sz w:val="24"/>
                <w:szCs w:val="24"/>
              </w:rPr>
              <w:t>10,205,123.25</w:t>
            </w:r>
          </w:p>
        </w:tc>
        <w:tc>
          <w:tcPr>
            <w:tcW w:w="1644" w:type="dxa"/>
            <w:vAlign w:val="center"/>
          </w:tcPr>
          <w:p w:rsidR="003E004C" w:rsidRDefault="00A76A45">
            <w:pPr>
              <w:jc w:val="right"/>
            </w:pPr>
            <w:r>
              <w:rPr>
                <w:color w:val="000000"/>
                <w:sz w:val="24"/>
                <w:szCs w:val="24"/>
              </w:rPr>
              <w:t>1.88</w:t>
            </w:r>
          </w:p>
        </w:tc>
      </w:tr>
      <w:tr w:rsidR="003E004C">
        <w:trPr>
          <w:jc w:val="center"/>
        </w:trPr>
        <w:tc>
          <w:tcPr>
            <w:tcW w:w="855" w:type="dxa"/>
            <w:vAlign w:val="center"/>
          </w:tcPr>
          <w:p w:rsidR="003E004C" w:rsidRDefault="00A76A45">
            <w:pPr>
              <w:jc w:val="center"/>
            </w:pPr>
            <w:r>
              <w:rPr>
                <w:color w:val="000000"/>
                <w:sz w:val="24"/>
                <w:szCs w:val="24"/>
              </w:rPr>
              <w:t>9</w:t>
            </w:r>
          </w:p>
        </w:tc>
        <w:tc>
          <w:tcPr>
            <w:tcW w:w="1334" w:type="dxa"/>
            <w:vAlign w:val="center"/>
          </w:tcPr>
          <w:p w:rsidR="003E004C" w:rsidRDefault="00A76A45">
            <w:pPr>
              <w:jc w:val="center"/>
            </w:pPr>
            <w:r>
              <w:rPr>
                <w:color w:val="000000"/>
                <w:sz w:val="24"/>
                <w:szCs w:val="24"/>
              </w:rPr>
              <w:t>600566</w:t>
            </w:r>
          </w:p>
        </w:tc>
        <w:tc>
          <w:tcPr>
            <w:tcW w:w="1777" w:type="dxa"/>
            <w:vAlign w:val="center"/>
          </w:tcPr>
          <w:p w:rsidR="003E004C" w:rsidRDefault="00A76A45">
            <w:pPr>
              <w:jc w:val="center"/>
            </w:pPr>
            <w:r>
              <w:rPr>
                <w:color w:val="000000"/>
                <w:sz w:val="24"/>
                <w:szCs w:val="24"/>
              </w:rPr>
              <w:t>洪城股份</w:t>
            </w:r>
          </w:p>
        </w:tc>
        <w:tc>
          <w:tcPr>
            <w:tcW w:w="1334" w:type="dxa"/>
            <w:vAlign w:val="center"/>
          </w:tcPr>
          <w:p w:rsidR="003E004C" w:rsidRDefault="00A76A45">
            <w:pPr>
              <w:jc w:val="right"/>
            </w:pPr>
            <w:r>
              <w:rPr>
                <w:color w:val="000000"/>
                <w:sz w:val="24"/>
                <w:szCs w:val="24"/>
              </w:rPr>
              <w:t>469,184</w:t>
            </w:r>
          </w:p>
        </w:tc>
        <w:tc>
          <w:tcPr>
            <w:tcW w:w="1924" w:type="dxa"/>
            <w:vAlign w:val="center"/>
          </w:tcPr>
          <w:p w:rsidR="003E004C" w:rsidRDefault="00A76A45">
            <w:pPr>
              <w:jc w:val="right"/>
            </w:pPr>
            <w:r>
              <w:rPr>
                <w:color w:val="000000"/>
                <w:sz w:val="24"/>
                <w:szCs w:val="24"/>
              </w:rPr>
              <w:t>9,524,435.20</w:t>
            </w:r>
          </w:p>
        </w:tc>
        <w:tc>
          <w:tcPr>
            <w:tcW w:w="1644" w:type="dxa"/>
            <w:vAlign w:val="center"/>
          </w:tcPr>
          <w:p w:rsidR="003E004C" w:rsidRDefault="00A76A45">
            <w:pPr>
              <w:jc w:val="right"/>
            </w:pPr>
            <w:r>
              <w:rPr>
                <w:color w:val="000000"/>
                <w:sz w:val="24"/>
                <w:szCs w:val="24"/>
              </w:rPr>
              <w:t>1.76</w:t>
            </w:r>
          </w:p>
        </w:tc>
      </w:tr>
      <w:tr w:rsidR="003E004C">
        <w:trPr>
          <w:jc w:val="center"/>
        </w:trPr>
        <w:tc>
          <w:tcPr>
            <w:tcW w:w="855" w:type="dxa"/>
            <w:vAlign w:val="center"/>
          </w:tcPr>
          <w:p w:rsidR="003E004C" w:rsidRDefault="00A76A45">
            <w:pPr>
              <w:jc w:val="center"/>
            </w:pPr>
            <w:r>
              <w:rPr>
                <w:color w:val="000000"/>
                <w:sz w:val="24"/>
                <w:szCs w:val="24"/>
              </w:rPr>
              <w:t>10</w:t>
            </w:r>
          </w:p>
        </w:tc>
        <w:tc>
          <w:tcPr>
            <w:tcW w:w="1334" w:type="dxa"/>
            <w:vAlign w:val="center"/>
          </w:tcPr>
          <w:p w:rsidR="003E004C" w:rsidRDefault="00A76A45">
            <w:pPr>
              <w:jc w:val="center"/>
            </w:pPr>
            <w:r>
              <w:rPr>
                <w:color w:val="000000"/>
                <w:sz w:val="24"/>
                <w:szCs w:val="24"/>
              </w:rPr>
              <w:t>002317</w:t>
            </w:r>
          </w:p>
        </w:tc>
        <w:tc>
          <w:tcPr>
            <w:tcW w:w="1777" w:type="dxa"/>
            <w:vAlign w:val="center"/>
          </w:tcPr>
          <w:p w:rsidR="003E004C" w:rsidRDefault="00A76A45">
            <w:pPr>
              <w:jc w:val="center"/>
            </w:pPr>
            <w:r>
              <w:rPr>
                <w:color w:val="000000"/>
                <w:sz w:val="24"/>
                <w:szCs w:val="24"/>
              </w:rPr>
              <w:t>众生药业</w:t>
            </w:r>
          </w:p>
        </w:tc>
        <w:tc>
          <w:tcPr>
            <w:tcW w:w="1334" w:type="dxa"/>
            <w:vAlign w:val="center"/>
          </w:tcPr>
          <w:p w:rsidR="003E004C" w:rsidRDefault="00A76A45">
            <w:pPr>
              <w:jc w:val="right"/>
            </w:pPr>
            <w:r>
              <w:rPr>
                <w:color w:val="000000"/>
                <w:sz w:val="24"/>
                <w:szCs w:val="24"/>
              </w:rPr>
              <w:t>276,487</w:t>
            </w:r>
          </w:p>
        </w:tc>
        <w:tc>
          <w:tcPr>
            <w:tcW w:w="1924" w:type="dxa"/>
            <w:vAlign w:val="center"/>
          </w:tcPr>
          <w:p w:rsidR="003E004C" w:rsidRDefault="00A76A45">
            <w:pPr>
              <w:jc w:val="right"/>
            </w:pPr>
            <w:r>
              <w:rPr>
                <w:color w:val="000000"/>
                <w:sz w:val="24"/>
                <w:szCs w:val="24"/>
              </w:rPr>
              <w:t>5,112,244.63</w:t>
            </w:r>
          </w:p>
        </w:tc>
        <w:tc>
          <w:tcPr>
            <w:tcW w:w="1644" w:type="dxa"/>
            <w:vAlign w:val="center"/>
          </w:tcPr>
          <w:p w:rsidR="003E004C" w:rsidRDefault="00A76A45">
            <w:pPr>
              <w:jc w:val="right"/>
            </w:pPr>
            <w:r>
              <w:rPr>
                <w:color w:val="000000"/>
                <w:sz w:val="24"/>
                <w:szCs w:val="24"/>
              </w:rPr>
              <w:t>0.94</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97,650,000.00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18.01</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19,792,000.00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3.65</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117,442,000.00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21.66</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E004C">
        <w:trPr>
          <w:jc w:val="center"/>
        </w:trPr>
        <w:tc>
          <w:tcPr>
            <w:tcW w:w="850" w:type="dxa"/>
            <w:vAlign w:val="center"/>
          </w:tcPr>
          <w:p w:rsidR="003E004C" w:rsidRDefault="00A76A45">
            <w:pPr>
              <w:jc w:val="center"/>
            </w:pPr>
            <w:r>
              <w:rPr>
                <w:color w:val="000000"/>
                <w:sz w:val="24"/>
                <w:szCs w:val="24"/>
              </w:rPr>
              <w:t>1</w:t>
            </w:r>
          </w:p>
        </w:tc>
        <w:tc>
          <w:tcPr>
            <w:tcW w:w="1475" w:type="dxa"/>
            <w:vAlign w:val="center"/>
          </w:tcPr>
          <w:p w:rsidR="003E004C" w:rsidRDefault="00A76A45">
            <w:pPr>
              <w:jc w:val="center"/>
            </w:pPr>
            <w:r>
              <w:rPr>
                <w:color w:val="000000"/>
                <w:sz w:val="24"/>
                <w:szCs w:val="24"/>
              </w:rPr>
              <w:t>130020</w:t>
            </w:r>
          </w:p>
        </w:tc>
        <w:tc>
          <w:tcPr>
            <w:tcW w:w="1769" w:type="dxa"/>
            <w:vAlign w:val="center"/>
          </w:tcPr>
          <w:p w:rsidR="003E004C" w:rsidRDefault="00A76A45">
            <w:pPr>
              <w:jc w:val="center"/>
            </w:pPr>
            <w:r>
              <w:rPr>
                <w:color w:val="000000"/>
                <w:sz w:val="24"/>
                <w:szCs w:val="24"/>
              </w:rPr>
              <w:t>13</w:t>
            </w:r>
            <w:r>
              <w:rPr>
                <w:color w:val="000000"/>
                <w:sz w:val="24"/>
                <w:szCs w:val="24"/>
              </w:rPr>
              <w:t>附息国债</w:t>
            </w:r>
            <w:r>
              <w:rPr>
                <w:color w:val="000000"/>
                <w:sz w:val="24"/>
                <w:szCs w:val="24"/>
              </w:rPr>
              <w:t>20</w:t>
            </w:r>
          </w:p>
        </w:tc>
        <w:tc>
          <w:tcPr>
            <w:tcW w:w="1387" w:type="dxa"/>
            <w:vAlign w:val="center"/>
          </w:tcPr>
          <w:p w:rsidR="003E004C" w:rsidRDefault="00A76A45">
            <w:pPr>
              <w:jc w:val="right"/>
            </w:pPr>
            <w:r>
              <w:rPr>
                <w:color w:val="000000"/>
                <w:sz w:val="24"/>
                <w:szCs w:val="24"/>
              </w:rPr>
              <w:t>500,000</w:t>
            </w:r>
          </w:p>
        </w:tc>
        <w:tc>
          <w:tcPr>
            <w:tcW w:w="2150" w:type="dxa"/>
            <w:vAlign w:val="center"/>
          </w:tcPr>
          <w:p w:rsidR="003E004C" w:rsidRDefault="00A76A45">
            <w:pPr>
              <w:jc w:val="right"/>
            </w:pPr>
            <w:r>
              <w:rPr>
                <w:color w:val="000000"/>
                <w:sz w:val="24"/>
                <w:szCs w:val="24"/>
              </w:rPr>
              <w:t>49,190,000.00</w:t>
            </w:r>
          </w:p>
        </w:tc>
        <w:tc>
          <w:tcPr>
            <w:tcW w:w="1237" w:type="dxa"/>
            <w:vAlign w:val="center"/>
          </w:tcPr>
          <w:p w:rsidR="003E004C" w:rsidRDefault="00A76A45">
            <w:pPr>
              <w:jc w:val="right"/>
            </w:pPr>
            <w:r>
              <w:rPr>
                <w:color w:val="000000"/>
                <w:sz w:val="24"/>
                <w:szCs w:val="24"/>
              </w:rPr>
              <w:t>9.07</w:t>
            </w:r>
          </w:p>
        </w:tc>
      </w:tr>
      <w:tr w:rsidR="003E004C">
        <w:trPr>
          <w:jc w:val="center"/>
        </w:trPr>
        <w:tc>
          <w:tcPr>
            <w:tcW w:w="850" w:type="dxa"/>
            <w:vAlign w:val="center"/>
          </w:tcPr>
          <w:p w:rsidR="003E004C" w:rsidRDefault="00A76A45">
            <w:pPr>
              <w:jc w:val="center"/>
            </w:pPr>
            <w:r>
              <w:rPr>
                <w:color w:val="000000"/>
                <w:sz w:val="24"/>
                <w:szCs w:val="24"/>
              </w:rPr>
              <w:t>2</w:t>
            </w:r>
          </w:p>
        </w:tc>
        <w:tc>
          <w:tcPr>
            <w:tcW w:w="1475" w:type="dxa"/>
            <w:vAlign w:val="center"/>
          </w:tcPr>
          <w:p w:rsidR="003E004C" w:rsidRDefault="00A76A45">
            <w:pPr>
              <w:jc w:val="center"/>
            </w:pPr>
            <w:r>
              <w:rPr>
                <w:color w:val="000000"/>
                <w:sz w:val="24"/>
                <w:szCs w:val="24"/>
              </w:rPr>
              <w:t>130018</w:t>
            </w:r>
          </w:p>
        </w:tc>
        <w:tc>
          <w:tcPr>
            <w:tcW w:w="1769" w:type="dxa"/>
            <w:vAlign w:val="center"/>
          </w:tcPr>
          <w:p w:rsidR="003E004C" w:rsidRDefault="00A76A45">
            <w:pPr>
              <w:jc w:val="center"/>
            </w:pPr>
            <w:r>
              <w:rPr>
                <w:color w:val="000000"/>
                <w:sz w:val="24"/>
                <w:szCs w:val="24"/>
              </w:rPr>
              <w:t>13</w:t>
            </w:r>
            <w:r>
              <w:rPr>
                <w:color w:val="000000"/>
                <w:sz w:val="24"/>
                <w:szCs w:val="24"/>
              </w:rPr>
              <w:t>附息国债</w:t>
            </w:r>
            <w:r>
              <w:rPr>
                <w:color w:val="000000"/>
                <w:sz w:val="24"/>
                <w:szCs w:val="24"/>
              </w:rPr>
              <w:t>18</w:t>
            </w:r>
          </w:p>
        </w:tc>
        <w:tc>
          <w:tcPr>
            <w:tcW w:w="1387" w:type="dxa"/>
            <w:vAlign w:val="center"/>
          </w:tcPr>
          <w:p w:rsidR="003E004C" w:rsidRDefault="00A76A45">
            <w:pPr>
              <w:jc w:val="right"/>
            </w:pPr>
            <w:r>
              <w:rPr>
                <w:color w:val="000000"/>
                <w:sz w:val="24"/>
                <w:szCs w:val="24"/>
              </w:rPr>
              <w:t>500,000</w:t>
            </w:r>
          </w:p>
        </w:tc>
        <w:tc>
          <w:tcPr>
            <w:tcW w:w="2150" w:type="dxa"/>
            <w:vAlign w:val="center"/>
          </w:tcPr>
          <w:p w:rsidR="003E004C" w:rsidRDefault="00A76A45">
            <w:pPr>
              <w:jc w:val="right"/>
            </w:pPr>
            <w:r>
              <w:rPr>
                <w:color w:val="000000"/>
                <w:sz w:val="24"/>
                <w:szCs w:val="24"/>
              </w:rPr>
              <w:t>48,460,000.00</w:t>
            </w:r>
          </w:p>
        </w:tc>
        <w:tc>
          <w:tcPr>
            <w:tcW w:w="1237" w:type="dxa"/>
            <w:vAlign w:val="center"/>
          </w:tcPr>
          <w:p w:rsidR="003E004C" w:rsidRDefault="00A76A45">
            <w:pPr>
              <w:jc w:val="right"/>
            </w:pPr>
            <w:r>
              <w:rPr>
                <w:color w:val="000000"/>
                <w:sz w:val="24"/>
                <w:szCs w:val="24"/>
              </w:rPr>
              <w:t>8.94</w:t>
            </w:r>
          </w:p>
        </w:tc>
      </w:tr>
      <w:tr w:rsidR="003E004C">
        <w:trPr>
          <w:jc w:val="center"/>
        </w:trPr>
        <w:tc>
          <w:tcPr>
            <w:tcW w:w="850" w:type="dxa"/>
            <w:vAlign w:val="center"/>
          </w:tcPr>
          <w:p w:rsidR="003E004C" w:rsidRDefault="00A76A45">
            <w:pPr>
              <w:jc w:val="center"/>
            </w:pPr>
            <w:r>
              <w:rPr>
                <w:color w:val="000000"/>
                <w:sz w:val="24"/>
                <w:szCs w:val="24"/>
              </w:rPr>
              <w:t>3</w:t>
            </w:r>
          </w:p>
        </w:tc>
        <w:tc>
          <w:tcPr>
            <w:tcW w:w="1475" w:type="dxa"/>
            <w:vAlign w:val="center"/>
          </w:tcPr>
          <w:p w:rsidR="003E004C" w:rsidRDefault="00A76A45">
            <w:pPr>
              <w:jc w:val="center"/>
            </w:pPr>
            <w:r>
              <w:rPr>
                <w:color w:val="000000"/>
                <w:sz w:val="24"/>
                <w:szCs w:val="24"/>
              </w:rPr>
              <w:t>1080077</w:t>
            </w:r>
          </w:p>
        </w:tc>
        <w:tc>
          <w:tcPr>
            <w:tcW w:w="1769" w:type="dxa"/>
            <w:vAlign w:val="center"/>
          </w:tcPr>
          <w:p w:rsidR="003E004C" w:rsidRDefault="00A76A45">
            <w:pPr>
              <w:jc w:val="center"/>
            </w:pPr>
            <w:r>
              <w:rPr>
                <w:color w:val="000000"/>
                <w:sz w:val="24"/>
                <w:szCs w:val="24"/>
              </w:rPr>
              <w:t>10</w:t>
            </w:r>
            <w:r>
              <w:rPr>
                <w:color w:val="000000"/>
                <w:sz w:val="24"/>
                <w:szCs w:val="24"/>
              </w:rPr>
              <w:t>马建投债</w:t>
            </w:r>
          </w:p>
        </w:tc>
        <w:tc>
          <w:tcPr>
            <w:tcW w:w="1387" w:type="dxa"/>
            <w:vAlign w:val="center"/>
          </w:tcPr>
          <w:p w:rsidR="003E004C" w:rsidRDefault="00A76A45">
            <w:pPr>
              <w:jc w:val="right"/>
            </w:pPr>
            <w:r>
              <w:rPr>
                <w:color w:val="000000"/>
                <w:sz w:val="24"/>
                <w:szCs w:val="24"/>
              </w:rPr>
              <w:t>200,000</w:t>
            </w:r>
          </w:p>
        </w:tc>
        <w:tc>
          <w:tcPr>
            <w:tcW w:w="2150" w:type="dxa"/>
            <w:vAlign w:val="center"/>
          </w:tcPr>
          <w:p w:rsidR="003E004C" w:rsidRDefault="00A76A45">
            <w:pPr>
              <w:jc w:val="right"/>
            </w:pPr>
            <w:r>
              <w:rPr>
                <w:color w:val="000000"/>
                <w:sz w:val="24"/>
                <w:szCs w:val="24"/>
              </w:rPr>
              <w:t>19,792,000.00</w:t>
            </w:r>
          </w:p>
        </w:tc>
        <w:tc>
          <w:tcPr>
            <w:tcW w:w="1237" w:type="dxa"/>
            <w:vAlign w:val="center"/>
          </w:tcPr>
          <w:p w:rsidR="003E004C" w:rsidRDefault="00A76A45">
            <w:pPr>
              <w:jc w:val="right"/>
            </w:pPr>
            <w:r>
              <w:rPr>
                <w:color w:val="000000"/>
                <w:sz w:val="24"/>
                <w:szCs w:val="24"/>
              </w:rPr>
              <w:t>3.65</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228,058.87</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3,084,601.74</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1,781,035.63</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47,760.45</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5,141,456.69</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流通受限情况说明</w:t>
            </w:r>
          </w:p>
        </w:tc>
      </w:tr>
      <w:tr w:rsidR="003E004C">
        <w:trPr>
          <w:jc w:val="center"/>
        </w:trPr>
        <w:tc>
          <w:tcPr>
            <w:tcW w:w="1129" w:type="dxa"/>
            <w:vAlign w:val="center"/>
          </w:tcPr>
          <w:p w:rsidR="003E004C" w:rsidRDefault="00A76A45">
            <w:pPr>
              <w:jc w:val="center"/>
            </w:pPr>
            <w:r>
              <w:rPr>
                <w:color w:val="000000"/>
                <w:sz w:val="24"/>
                <w:szCs w:val="24"/>
              </w:rPr>
              <w:t>1</w:t>
            </w:r>
          </w:p>
        </w:tc>
        <w:tc>
          <w:tcPr>
            <w:tcW w:w="1356" w:type="dxa"/>
            <w:vAlign w:val="center"/>
          </w:tcPr>
          <w:p w:rsidR="003E004C" w:rsidRDefault="00A76A45">
            <w:pPr>
              <w:jc w:val="center"/>
            </w:pPr>
            <w:r>
              <w:rPr>
                <w:color w:val="000000"/>
                <w:sz w:val="24"/>
                <w:szCs w:val="24"/>
              </w:rPr>
              <w:t>002223</w:t>
            </w:r>
          </w:p>
        </w:tc>
        <w:tc>
          <w:tcPr>
            <w:tcW w:w="1355" w:type="dxa"/>
            <w:vAlign w:val="center"/>
          </w:tcPr>
          <w:p w:rsidR="003E004C" w:rsidRDefault="00A76A45">
            <w:pPr>
              <w:jc w:val="center"/>
            </w:pPr>
            <w:r>
              <w:rPr>
                <w:color w:val="000000"/>
                <w:sz w:val="24"/>
                <w:szCs w:val="24"/>
              </w:rPr>
              <w:t>鱼跃医疗</w:t>
            </w:r>
          </w:p>
        </w:tc>
        <w:tc>
          <w:tcPr>
            <w:tcW w:w="1880" w:type="dxa"/>
            <w:vAlign w:val="center"/>
          </w:tcPr>
          <w:p w:rsidR="003E004C" w:rsidRDefault="00A76A45">
            <w:pPr>
              <w:jc w:val="right"/>
            </w:pPr>
            <w:r>
              <w:rPr>
                <w:color w:val="000000"/>
                <w:sz w:val="24"/>
                <w:szCs w:val="24"/>
              </w:rPr>
              <w:t>28,155,360.87</w:t>
            </w:r>
          </w:p>
        </w:tc>
        <w:tc>
          <w:tcPr>
            <w:tcW w:w="1724" w:type="dxa"/>
            <w:vAlign w:val="center"/>
          </w:tcPr>
          <w:p w:rsidR="003E004C" w:rsidRDefault="00A76A45">
            <w:pPr>
              <w:jc w:val="right"/>
            </w:pPr>
            <w:r>
              <w:rPr>
                <w:color w:val="000000"/>
                <w:sz w:val="24"/>
                <w:szCs w:val="24"/>
              </w:rPr>
              <w:t>5.19</w:t>
            </w:r>
          </w:p>
        </w:tc>
        <w:tc>
          <w:tcPr>
            <w:tcW w:w="1424" w:type="dxa"/>
            <w:vAlign w:val="center"/>
          </w:tcPr>
          <w:p w:rsidR="003E004C" w:rsidRDefault="00A76A45">
            <w:pPr>
              <w:jc w:val="right"/>
            </w:pPr>
            <w:r>
              <w:rPr>
                <w:color w:val="000000"/>
                <w:sz w:val="24"/>
                <w:szCs w:val="24"/>
              </w:rPr>
              <w:t>重大事项</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756,457,043.77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4,346,209.15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43,102,763.37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717,700,489.55</w:t>
            </w:r>
          </w:p>
        </w:tc>
      </w:tr>
    </w:tbl>
    <w:p w:rsidR="003E004C" w:rsidRDefault="00A76A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604435">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202,878,105.88</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202,878,105.88</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28.27</w:t>
            </w:r>
          </w:p>
        </w:tc>
      </w:tr>
    </w:tbl>
    <w:p w:rsidR="003E004C" w:rsidRDefault="00A76A4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60443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Default="00B16533" w:rsidP="00DA14B0">
      <w:pPr>
        <w:spacing w:before="29" w:line="288" w:lineRule="auto"/>
        <w:ind w:firstLineChars="200" w:firstLine="480"/>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依据中国证监会《关于进一步规范证券投资基金估值业务的指导意见》（证监会公告</w:t>
      </w:r>
      <w:r w:rsidR="004061AC" w:rsidRPr="00414345">
        <w:rPr>
          <w:color w:val="000000"/>
          <w:sz w:val="24"/>
          <w:szCs w:val="24"/>
        </w:rPr>
        <w:t>[2008]38</w:t>
      </w:r>
      <w:r w:rsidR="004061AC" w:rsidRPr="00414345">
        <w:rPr>
          <w:color w:val="000000"/>
          <w:sz w:val="24"/>
          <w:szCs w:val="24"/>
        </w:rPr>
        <w:t>号）的有关规定和《关于发布中基协（</w:t>
      </w:r>
      <w:r w:rsidR="004061AC" w:rsidRPr="00414345">
        <w:rPr>
          <w:color w:val="000000"/>
          <w:sz w:val="24"/>
          <w:szCs w:val="24"/>
        </w:rPr>
        <w:t>AMAC</w:t>
      </w:r>
      <w:r w:rsidR="004061AC" w:rsidRPr="00414345">
        <w:rPr>
          <w:color w:val="000000"/>
          <w:sz w:val="24"/>
          <w:szCs w:val="24"/>
        </w:rPr>
        <w:t>）基金行业股票估值指数的通知》的指导意见，经与基金托管人协商一致，本基金对其所持有的鱼跃医疗（证券代码：</w:t>
      </w:r>
      <w:r w:rsidR="004061AC" w:rsidRPr="00414345">
        <w:rPr>
          <w:color w:val="000000"/>
          <w:sz w:val="24"/>
          <w:szCs w:val="24"/>
        </w:rPr>
        <w:t>002223</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3</w:t>
      </w:r>
      <w:r w:rsidR="004061AC" w:rsidRPr="00414345">
        <w:rPr>
          <w:color w:val="000000"/>
          <w:sz w:val="24"/>
          <w:szCs w:val="24"/>
        </w:rPr>
        <w:t>月</w:t>
      </w:r>
      <w:r w:rsidR="004061AC" w:rsidRPr="00414345">
        <w:rPr>
          <w:color w:val="000000"/>
          <w:sz w:val="24"/>
          <w:szCs w:val="24"/>
        </w:rPr>
        <w:t>28</w:t>
      </w:r>
      <w:r w:rsidR="004061AC" w:rsidRPr="00414345">
        <w:rPr>
          <w:color w:val="000000"/>
          <w:sz w:val="24"/>
          <w:szCs w:val="24"/>
        </w:rPr>
        <w:t>日起按照指数收益法进行估值。</w:t>
      </w:r>
    </w:p>
    <w:p w:rsidR="00B16533" w:rsidRPr="00414345" w:rsidRDefault="00B16533" w:rsidP="00DA14B0">
      <w:pPr>
        <w:spacing w:before="29" w:line="288" w:lineRule="auto"/>
        <w:ind w:firstLineChars="200" w:firstLine="480"/>
        <w:rPr>
          <w:color w:val="000000"/>
          <w:sz w:val="24"/>
          <w:szCs w:val="24"/>
        </w:rPr>
      </w:pPr>
      <w:r>
        <w:rPr>
          <w:rFonts w:ascii="宋体" w:hAnsi="宋体"/>
          <w:sz w:val="24"/>
        </w:rPr>
        <w:t>2</w:t>
      </w:r>
      <w:r>
        <w:rPr>
          <w:rFonts w:ascii="宋体" w:hAnsi="宋体" w:hint="eastAsia"/>
          <w:sz w:val="24"/>
        </w:rPr>
        <w:t>、本基金托管人</w:t>
      </w:r>
      <w:r w:rsidRPr="00956296">
        <w:rPr>
          <w:color w:val="000000"/>
          <w:sz w:val="24"/>
          <w:szCs w:val="24"/>
        </w:rPr>
        <w:t>2014</w:t>
      </w:r>
      <w:r w:rsidRPr="00956296">
        <w:rPr>
          <w:rFonts w:hint="eastAsia"/>
          <w:color w:val="000000"/>
          <w:sz w:val="24"/>
          <w:szCs w:val="24"/>
        </w:rPr>
        <w:t>年</w:t>
      </w:r>
      <w:r w:rsidRPr="00956296">
        <w:rPr>
          <w:color w:val="000000"/>
          <w:sz w:val="24"/>
          <w:szCs w:val="24"/>
        </w:rPr>
        <w:t>2</w:t>
      </w:r>
      <w:r w:rsidRPr="00956296">
        <w:rPr>
          <w:rFonts w:hint="eastAsia"/>
          <w:color w:val="000000"/>
          <w:sz w:val="24"/>
          <w:szCs w:val="24"/>
        </w:rPr>
        <w:t>月</w:t>
      </w:r>
      <w:r w:rsidRPr="00956296">
        <w:rPr>
          <w:color w:val="000000"/>
          <w:sz w:val="24"/>
          <w:szCs w:val="24"/>
        </w:rPr>
        <w:t>7</w:t>
      </w:r>
      <w:r w:rsidRPr="00956296">
        <w:rPr>
          <w:rFonts w:hint="eastAsia"/>
          <w:color w:val="000000"/>
          <w:sz w:val="24"/>
          <w:szCs w:val="24"/>
        </w:rPr>
        <w:t>日</w:t>
      </w:r>
      <w:r>
        <w:rPr>
          <w:rFonts w:ascii="宋体" w:hAnsi="宋体" w:hint="eastAsia"/>
          <w:sz w:val="24"/>
        </w:rPr>
        <w:t>发布任免通知，解聘尹东中国建设银行投资托管业务部总经理助理职务。</w:t>
      </w:r>
    </w:p>
    <w:p w:rsidR="00ED6E80" w:rsidRPr="00414345" w:rsidRDefault="00ED6E80" w:rsidP="00DA14B0">
      <w:pPr>
        <w:spacing w:before="29" w:line="288" w:lineRule="auto"/>
        <w:ind w:firstLineChars="200" w:firstLine="480"/>
        <w:rPr>
          <w:color w:val="000000"/>
          <w:sz w:val="24"/>
          <w:szCs w:val="24"/>
        </w:rPr>
      </w:pPr>
    </w:p>
    <w:p w:rsidR="004061AC" w:rsidRPr="00414345" w:rsidRDefault="004061AC" w:rsidP="0060443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E004C" w:rsidRDefault="00A76A4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3E004C" w:rsidRDefault="00A76A4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E004C" w:rsidRDefault="00A76A4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E004C" w:rsidRDefault="00A76A4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9E" w:rsidRDefault="0015139E" w:rsidP="00876D65">
      <w:r>
        <w:separator/>
      </w:r>
    </w:p>
  </w:endnote>
  <w:endnote w:type="continuationSeparator" w:id="0">
    <w:p w:rsidR="0015139E" w:rsidRDefault="0015139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286859">
      <w:rPr>
        <w:kern w:val="0"/>
        <w:szCs w:val="21"/>
      </w:rPr>
      <w:fldChar w:fldCharType="begin"/>
    </w:r>
    <w:r>
      <w:rPr>
        <w:kern w:val="0"/>
        <w:szCs w:val="21"/>
      </w:rPr>
      <w:instrText xml:space="preserve"> PAGE </w:instrText>
    </w:r>
    <w:r w:rsidR="00286859">
      <w:rPr>
        <w:kern w:val="0"/>
        <w:szCs w:val="21"/>
      </w:rPr>
      <w:fldChar w:fldCharType="separate"/>
    </w:r>
    <w:r w:rsidR="00956296">
      <w:rPr>
        <w:noProof/>
        <w:kern w:val="0"/>
        <w:szCs w:val="21"/>
      </w:rPr>
      <w:t>3</w:t>
    </w:r>
    <w:r w:rsidR="00286859">
      <w:rPr>
        <w:kern w:val="0"/>
        <w:szCs w:val="21"/>
      </w:rPr>
      <w:fldChar w:fldCharType="end"/>
    </w:r>
    <w:r>
      <w:rPr>
        <w:rFonts w:hint="eastAsia"/>
        <w:kern w:val="0"/>
        <w:szCs w:val="21"/>
      </w:rPr>
      <w:t>页共</w:t>
    </w:r>
    <w:r w:rsidR="00286859">
      <w:rPr>
        <w:kern w:val="0"/>
        <w:szCs w:val="21"/>
      </w:rPr>
      <w:fldChar w:fldCharType="begin"/>
    </w:r>
    <w:r>
      <w:rPr>
        <w:kern w:val="0"/>
        <w:szCs w:val="21"/>
      </w:rPr>
      <w:instrText xml:space="preserve"> NUMPAGES </w:instrText>
    </w:r>
    <w:r w:rsidR="00286859">
      <w:rPr>
        <w:kern w:val="0"/>
        <w:szCs w:val="21"/>
      </w:rPr>
      <w:fldChar w:fldCharType="separate"/>
    </w:r>
    <w:r w:rsidR="00956296">
      <w:rPr>
        <w:noProof/>
        <w:kern w:val="0"/>
        <w:szCs w:val="21"/>
      </w:rPr>
      <w:t>11</w:t>
    </w:r>
    <w:r w:rsidR="0028685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9E" w:rsidRDefault="0015139E" w:rsidP="00876D65">
      <w:r>
        <w:separator/>
      </w:r>
    </w:p>
  </w:footnote>
  <w:footnote w:type="continuationSeparator" w:id="0">
    <w:p w:rsidR="0015139E" w:rsidRDefault="0015139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67824"/>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139E"/>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859"/>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004C"/>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435"/>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6296"/>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07EC"/>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76A4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533"/>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A8C4737-CA95-4277-8BAB-984DBCCB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3DB0-4CAC-47CE-B51A-809C6A92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2014-04-16T12:31:00Z</dcterms:created>
  <dcterms:modified xsi:type="dcterms:W3CDTF">2014-04-16T12:31:00Z</dcterms:modified>
</cp:coreProperties>
</file>