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36"/>
          <w:szCs w:val="36"/>
        </w:rPr>
      </w:pPr>
    </w:p>
    <w:p w:rsidR="008D7EF7" w:rsidRPr="0036023B" w:rsidRDefault="008D7EF7" w:rsidP="001C27F0">
      <w:pPr>
        <w:spacing w:before="29" w:line="288" w:lineRule="auto"/>
        <w:jc w:val="center"/>
        <w:rPr>
          <w:b/>
          <w:sz w:val="24"/>
        </w:rPr>
      </w:pPr>
      <w:r w:rsidRPr="0036023B">
        <w:rPr>
          <w:b/>
          <w:sz w:val="24"/>
        </w:rPr>
        <w:t>上证</w:t>
      </w:r>
      <w:r w:rsidRPr="0036023B">
        <w:rPr>
          <w:b/>
          <w:sz w:val="24"/>
        </w:rPr>
        <w:t>180</w:t>
      </w:r>
      <w:r w:rsidRPr="0036023B">
        <w:rPr>
          <w:b/>
          <w:sz w:val="24"/>
        </w:rPr>
        <w:t>公司治理交易型开放式指数证券投资基金</w:t>
      </w:r>
    </w:p>
    <w:p w:rsidR="008D7EF7" w:rsidRPr="0036023B" w:rsidRDefault="008D7EF7" w:rsidP="001C27F0">
      <w:pPr>
        <w:spacing w:before="29" w:line="288" w:lineRule="auto"/>
        <w:jc w:val="center"/>
        <w:rPr>
          <w:b/>
          <w:sz w:val="24"/>
        </w:rPr>
      </w:pPr>
      <w:r w:rsidRPr="0036023B">
        <w:rPr>
          <w:b/>
          <w:sz w:val="24"/>
        </w:rPr>
        <w:t>2014</w:t>
      </w:r>
      <w:r w:rsidRPr="0036023B">
        <w:rPr>
          <w:b/>
          <w:sz w:val="24"/>
        </w:rPr>
        <w:t>年第</w:t>
      </w:r>
      <w:r w:rsidRPr="0036023B">
        <w:rPr>
          <w:b/>
          <w:sz w:val="24"/>
        </w:rPr>
        <w:t>1</w:t>
      </w:r>
      <w:r w:rsidRPr="0036023B">
        <w:rPr>
          <w:b/>
          <w:sz w:val="24"/>
        </w:rPr>
        <w:t>季度报告</w:t>
      </w:r>
    </w:p>
    <w:p w:rsidR="00074E9F" w:rsidRPr="0036023B" w:rsidRDefault="005C0A04" w:rsidP="001C27F0">
      <w:pPr>
        <w:spacing w:before="29" w:line="288" w:lineRule="auto"/>
        <w:jc w:val="center"/>
        <w:rPr>
          <w:sz w:val="24"/>
        </w:rPr>
      </w:pPr>
      <w:r w:rsidRPr="0036023B">
        <w:rPr>
          <w:sz w:val="24"/>
        </w:rPr>
        <w:t>2014</w:t>
      </w:r>
      <w:r w:rsidRPr="0036023B">
        <w:rPr>
          <w:sz w:val="24"/>
        </w:rPr>
        <w:t>年</w:t>
      </w:r>
      <w:r w:rsidRPr="0036023B">
        <w:rPr>
          <w:sz w:val="24"/>
        </w:rPr>
        <w:t>3</w:t>
      </w:r>
      <w:r w:rsidRPr="0036023B">
        <w:rPr>
          <w:sz w:val="24"/>
        </w:rPr>
        <w:t>月</w:t>
      </w:r>
      <w:r w:rsidRPr="0036023B">
        <w:rPr>
          <w:sz w:val="24"/>
        </w:rPr>
        <w:t>31</w:t>
      </w:r>
      <w:r w:rsidRPr="0036023B">
        <w:rPr>
          <w:sz w:val="24"/>
        </w:rPr>
        <w:t>日</w:t>
      </w: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rPr>
          <w:b/>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基金管理人：</w:t>
      </w:r>
      <w:r w:rsidR="008F4AAB" w:rsidRPr="0036023B">
        <w:rPr>
          <w:color w:val="000000"/>
          <w:sz w:val="24"/>
        </w:rPr>
        <w:t>交银施罗德基金管理有限公司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基金托管人：</w:t>
      </w:r>
      <w:r w:rsidR="008F4AAB" w:rsidRPr="0036023B">
        <w:rPr>
          <w:color w:val="000000"/>
          <w:sz w:val="24"/>
        </w:rPr>
        <w:t>中国农业银行股份有限公司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b/>
          <w:color w:val="000000"/>
          <w:sz w:val="24"/>
        </w:rPr>
        <w:sectPr w:rsidR="00074E9F" w:rsidRPr="0036023B" w:rsidSect="00385786">
          <w:headerReference w:type="default" r:id="rId7"/>
          <w:footerReference w:type="default" r:id="rId8"/>
          <w:pgSz w:w="11926" w:h="15840"/>
          <w:pgMar w:top="1418" w:right="1440" w:bottom="851" w:left="1440" w:header="851" w:footer="992" w:gutter="0"/>
          <w:cols w:space="720"/>
          <w:noEndnote/>
        </w:sectPr>
      </w:pPr>
      <w:r w:rsidRPr="0036023B">
        <w:rPr>
          <w:color w:val="000000"/>
          <w:sz w:val="24"/>
        </w:rPr>
        <w:t>报告送出日期：</w:t>
      </w:r>
      <w:r w:rsidR="00665677" w:rsidRPr="0036023B">
        <w:rPr>
          <w:color w:val="000000"/>
          <w:sz w:val="24"/>
        </w:rPr>
        <w:t>二〇一四年四月二十二日</w:t>
      </w:r>
    </w:p>
    <w:p w:rsidR="00220542" w:rsidRPr="0036023B" w:rsidRDefault="00220542" w:rsidP="006B632E">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381855" w:rsidRDefault="001223C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81855" w:rsidRDefault="001223C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81855" w:rsidRDefault="001223C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81855" w:rsidRDefault="001223CE">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381855" w:rsidRDefault="001223CE">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1C27F0">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1C27F0">
      <w:pPr>
        <w:spacing w:before="29" w:line="288" w:lineRule="auto"/>
        <w:ind w:firstLineChars="200" w:firstLine="480"/>
        <w:rPr>
          <w:color w:val="00000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0820A8" w:rsidRPr="0036023B" w:rsidTr="00CF5CF0">
        <w:trPr>
          <w:jc w:val="center"/>
        </w:trPr>
        <w:tc>
          <w:tcPr>
            <w:tcW w:w="2835" w:type="dxa"/>
            <w:vAlign w:val="center"/>
          </w:tcPr>
          <w:p w:rsidR="000820A8" w:rsidRPr="0036023B" w:rsidRDefault="000820A8" w:rsidP="001C27F0">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1C27F0">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1C27F0">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1C27F0">
            <w:pPr>
              <w:adjustRightInd w:val="0"/>
              <w:spacing w:before="29" w:line="288" w:lineRule="auto"/>
              <w:ind w:left="17"/>
              <w:jc w:val="left"/>
              <w:rPr>
                <w:color w:val="000000"/>
                <w:kern w:val="0"/>
                <w:sz w:val="24"/>
              </w:rPr>
            </w:pPr>
            <w:r w:rsidRPr="0036023B">
              <w:rPr>
                <w:kern w:val="0"/>
                <w:sz w:val="24"/>
              </w:rPr>
              <w:t>510010</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3,105,524,362</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业绩比较基准</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w:t>
            </w:r>
            <w:proofErr w:type="gramStart"/>
            <w:r w:rsidRPr="0036023B">
              <w:rPr>
                <w:color w:val="000000"/>
                <w:kern w:val="0"/>
                <w:sz w:val="24"/>
              </w:rPr>
              <w:t>属股票</w:t>
            </w:r>
            <w:proofErr w:type="gramEnd"/>
            <w:r w:rsidRPr="0036023B">
              <w:rPr>
                <w:color w:val="000000"/>
                <w:kern w:val="0"/>
                <w:sz w:val="24"/>
              </w:rPr>
              <w:t>基金，风险与收益高于混合基金、债券基金与货币市场基金。本基金为指数型基金，紧密跟</w:t>
            </w:r>
            <w:r w:rsidRPr="0036023B">
              <w:rPr>
                <w:color w:val="000000"/>
                <w:kern w:val="0"/>
                <w:sz w:val="24"/>
              </w:rPr>
              <w:lastRenderedPageBreak/>
              <w:t>踪标的指数，具有和标的指数所代表的股票市场相似的风险收益特征，属于证券投资基金中风险较高、收益较高的品种。</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lastRenderedPageBreak/>
              <w:t>基金管理人</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381855" w:rsidRDefault="001223C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、本表所列的基金主代码</w:t>
      </w:r>
      <w:r>
        <w:rPr>
          <w:color w:val="000000"/>
          <w:sz w:val="24"/>
        </w:rPr>
        <w:t>510010</w:t>
      </w:r>
      <w:r>
        <w:rPr>
          <w:color w:val="000000"/>
          <w:sz w:val="24"/>
        </w:rPr>
        <w:t>为本基金二级市场交易代码，本基金一级市场申购赎回代码为</w:t>
      </w:r>
      <w:r>
        <w:rPr>
          <w:color w:val="000000"/>
          <w:sz w:val="24"/>
        </w:rPr>
        <w:t>510011</w:t>
      </w:r>
      <w:r>
        <w:rPr>
          <w:color w:val="000000"/>
          <w:sz w:val="24"/>
        </w:rPr>
        <w:t>。</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、本基金场内简称为</w:t>
      </w:r>
      <w:r w:rsidRPr="0036023B">
        <w:rPr>
          <w:color w:val="000000"/>
          <w:sz w:val="24"/>
        </w:rPr>
        <w:t>“</w:t>
      </w:r>
      <w:r w:rsidRPr="0036023B">
        <w:rPr>
          <w:color w:val="000000"/>
          <w:sz w:val="24"/>
        </w:rPr>
        <w:t>治理</w:t>
      </w:r>
      <w:r w:rsidRPr="0036023B">
        <w:rPr>
          <w:color w:val="000000"/>
          <w:sz w:val="24"/>
        </w:rPr>
        <w:t>ETF”</w:t>
      </w:r>
      <w:r w:rsidRPr="0036023B">
        <w:rPr>
          <w:color w:val="000000"/>
          <w:sz w:val="24"/>
        </w:rPr>
        <w:t>。</w:t>
      </w:r>
    </w:p>
    <w:p w:rsidR="008F5E2D" w:rsidRPr="0036023B" w:rsidRDefault="008F5E2D" w:rsidP="001C27F0">
      <w:pPr>
        <w:autoSpaceDE w:val="0"/>
        <w:autoSpaceDN w:val="0"/>
        <w:adjustRightInd w:val="0"/>
        <w:spacing w:before="29" w:line="288" w:lineRule="auto"/>
        <w:jc w:val="left"/>
        <w:rPr>
          <w:color w:val="000000"/>
          <w:kern w:val="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1223CE" w:rsidRPr="0036023B" w:rsidTr="001223CE">
        <w:trPr>
          <w:jc w:val="center"/>
        </w:trPr>
        <w:tc>
          <w:tcPr>
            <w:tcW w:w="3402" w:type="dxa"/>
            <w:vAlign w:val="center"/>
          </w:tcPr>
          <w:p w:rsidR="000820A8" w:rsidRPr="0036023B" w:rsidRDefault="000820A8" w:rsidP="001C27F0">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1C27F0">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1C27F0">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1223CE" w:rsidRPr="0036023B" w:rsidTr="001223CE">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-76,255,267.65</w:t>
            </w:r>
          </w:p>
        </w:tc>
      </w:tr>
      <w:tr w:rsidR="001223CE" w:rsidRPr="0036023B" w:rsidTr="001223CE">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-172,829,047.34</w:t>
            </w:r>
          </w:p>
        </w:tc>
      </w:tr>
      <w:tr w:rsidR="001223CE" w:rsidRPr="0036023B" w:rsidTr="001223CE">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-0.0497</w:t>
            </w:r>
          </w:p>
        </w:tc>
      </w:tr>
      <w:tr w:rsidR="001223CE" w:rsidRPr="0036023B" w:rsidTr="001223CE">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1,811,023,776.75</w:t>
            </w:r>
          </w:p>
        </w:tc>
      </w:tr>
      <w:tr w:rsidR="001223CE" w:rsidRPr="0036023B" w:rsidTr="001223CE">
        <w:trPr>
          <w:trHeight w:val="158"/>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0.583</w:t>
            </w:r>
          </w:p>
        </w:tc>
      </w:tr>
    </w:tbl>
    <w:p w:rsidR="00381855" w:rsidRDefault="001223C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381855">
        <w:trPr>
          <w:jc w:val="center"/>
        </w:trPr>
        <w:tc>
          <w:tcPr>
            <w:tcW w:w="1469" w:type="dxa"/>
            <w:vAlign w:val="center"/>
          </w:tcPr>
          <w:p w:rsidR="00381855" w:rsidRDefault="001223CE">
            <w:pPr>
              <w:jc w:val="left"/>
            </w:pPr>
            <w:r>
              <w:rPr>
                <w:color w:val="000000"/>
                <w:sz w:val="24"/>
              </w:rPr>
              <w:t>过去三个月</w:t>
            </w:r>
          </w:p>
        </w:tc>
        <w:tc>
          <w:tcPr>
            <w:tcW w:w="1150" w:type="dxa"/>
            <w:vAlign w:val="center"/>
          </w:tcPr>
          <w:p w:rsidR="00381855" w:rsidRDefault="001223CE">
            <w:pPr>
              <w:jc w:val="center"/>
            </w:pPr>
            <w:r>
              <w:rPr>
                <w:color w:val="000000"/>
                <w:sz w:val="24"/>
              </w:rPr>
              <w:t>-7.75%</w:t>
            </w:r>
          </w:p>
        </w:tc>
        <w:tc>
          <w:tcPr>
            <w:tcW w:w="1223" w:type="dxa"/>
            <w:vAlign w:val="center"/>
          </w:tcPr>
          <w:p w:rsidR="00381855" w:rsidRDefault="001223CE">
            <w:pPr>
              <w:jc w:val="center"/>
            </w:pPr>
            <w:r>
              <w:rPr>
                <w:color w:val="000000"/>
                <w:sz w:val="24"/>
              </w:rPr>
              <w:t>1.17%</w:t>
            </w:r>
          </w:p>
        </w:tc>
        <w:tc>
          <w:tcPr>
            <w:tcW w:w="1244" w:type="dxa"/>
            <w:vAlign w:val="center"/>
          </w:tcPr>
          <w:p w:rsidR="00381855" w:rsidRDefault="001223CE">
            <w:pPr>
              <w:jc w:val="center"/>
            </w:pPr>
            <w:r>
              <w:rPr>
                <w:color w:val="000000"/>
                <w:sz w:val="24"/>
              </w:rPr>
              <w:t>-7.51%</w:t>
            </w:r>
          </w:p>
        </w:tc>
        <w:tc>
          <w:tcPr>
            <w:tcW w:w="1251" w:type="dxa"/>
            <w:vAlign w:val="center"/>
          </w:tcPr>
          <w:p w:rsidR="00381855" w:rsidRDefault="001223CE">
            <w:pPr>
              <w:jc w:val="center"/>
            </w:pPr>
            <w:r>
              <w:rPr>
                <w:color w:val="000000"/>
                <w:sz w:val="24"/>
              </w:rPr>
              <w:t>1.16%</w:t>
            </w:r>
          </w:p>
        </w:tc>
        <w:tc>
          <w:tcPr>
            <w:tcW w:w="1263" w:type="dxa"/>
            <w:vAlign w:val="center"/>
          </w:tcPr>
          <w:p w:rsidR="00381855" w:rsidRDefault="001223CE">
            <w:pPr>
              <w:jc w:val="center"/>
            </w:pPr>
            <w:r>
              <w:rPr>
                <w:color w:val="000000"/>
                <w:sz w:val="24"/>
              </w:rPr>
              <w:t>-0.24%</w:t>
            </w:r>
          </w:p>
        </w:tc>
        <w:tc>
          <w:tcPr>
            <w:tcW w:w="1268" w:type="dxa"/>
            <w:vAlign w:val="center"/>
          </w:tcPr>
          <w:p w:rsidR="00381855" w:rsidRDefault="001223CE">
            <w:pPr>
              <w:jc w:val="center"/>
            </w:pPr>
            <w:r>
              <w:rPr>
                <w:color w:val="000000"/>
                <w:sz w:val="24"/>
              </w:rPr>
              <w:t>0.01%</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1C27F0">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1C27F0">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1C27F0">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1C27F0">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CE3519" w:rsidRPr="0036023B" w:rsidRDefault="00CE3519" w:rsidP="001C27F0">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1C27F0">
      <w:pPr>
        <w:tabs>
          <w:tab w:val="left" w:pos="1800"/>
        </w:tabs>
        <w:spacing w:before="29" w:line="288" w:lineRule="auto"/>
        <w:rPr>
          <w:color w:val="00000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1C27F0">
            <w:pPr>
              <w:widowControl/>
              <w:spacing w:before="29" w:line="288" w:lineRule="auto"/>
              <w:jc w:val="left"/>
              <w:rPr>
                <w:color w:val="000000"/>
                <w:kern w:val="0"/>
                <w:sz w:val="24"/>
              </w:rPr>
            </w:pPr>
          </w:p>
        </w:tc>
        <w:tc>
          <w:tcPr>
            <w:tcW w:w="850" w:type="dxa"/>
            <w:vMerge/>
            <w:vAlign w:val="center"/>
          </w:tcPr>
          <w:p w:rsidR="000820A8" w:rsidRPr="0036023B" w:rsidRDefault="000820A8" w:rsidP="001C27F0">
            <w:pPr>
              <w:widowControl/>
              <w:spacing w:before="29" w:line="288" w:lineRule="auto"/>
              <w:jc w:val="left"/>
              <w:rPr>
                <w:color w:val="000000"/>
                <w:kern w:val="0"/>
                <w:sz w:val="24"/>
              </w:rPr>
            </w:pPr>
          </w:p>
        </w:tc>
        <w:tc>
          <w:tcPr>
            <w:tcW w:w="1560"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1C27F0">
            <w:pPr>
              <w:widowControl/>
              <w:spacing w:before="29" w:line="288" w:lineRule="auto"/>
              <w:jc w:val="left"/>
              <w:rPr>
                <w:color w:val="000000"/>
                <w:kern w:val="0"/>
                <w:sz w:val="24"/>
              </w:rPr>
            </w:pPr>
          </w:p>
        </w:tc>
        <w:tc>
          <w:tcPr>
            <w:tcW w:w="2694" w:type="dxa"/>
            <w:vMerge/>
            <w:vAlign w:val="center"/>
          </w:tcPr>
          <w:p w:rsidR="000820A8" w:rsidRPr="0036023B" w:rsidRDefault="000820A8" w:rsidP="001C27F0">
            <w:pPr>
              <w:widowControl/>
              <w:spacing w:before="29" w:line="288" w:lineRule="auto"/>
              <w:jc w:val="left"/>
              <w:rPr>
                <w:color w:val="000000"/>
                <w:kern w:val="0"/>
                <w:sz w:val="24"/>
              </w:rPr>
            </w:pPr>
          </w:p>
        </w:tc>
      </w:tr>
      <w:tr w:rsidR="00381855">
        <w:trPr>
          <w:jc w:val="center"/>
        </w:trPr>
        <w:tc>
          <w:tcPr>
            <w:tcW w:w="846" w:type="dxa"/>
            <w:vAlign w:val="center"/>
          </w:tcPr>
          <w:p w:rsidR="00381855" w:rsidRDefault="001223CE">
            <w:pPr>
              <w:jc w:val="center"/>
            </w:pPr>
            <w:r>
              <w:rPr>
                <w:color w:val="000000"/>
                <w:sz w:val="24"/>
              </w:rPr>
              <w:t>蔡铮</w:t>
            </w:r>
          </w:p>
        </w:tc>
        <w:tc>
          <w:tcPr>
            <w:tcW w:w="845" w:type="dxa"/>
            <w:vAlign w:val="center"/>
          </w:tcPr>
          <w:p w:rsidR="00381855" w:rsidRDefault="001223CE">
            <w:pPr>
              <w:jc w:val="center"/>
            </w:pPr>
            <w:r>
              <w:rPr>
                <w:color w:val="000000"/>
                <w:sz w:val="24"/>
              </w:rPr>
              <w:t>本基金及其联接基金、</w:t>
            </w:r>
            <w:proofErr w:type="gramStart"/>
            <w:r>
              <w:rPr>
                <w:color w:val="000000"/>
                <w:sz w:val="24"/>
              </w:rPr>
              <w:t>交银深证</w:t>
            </w:r>
            <w:proofErr w:type="gramEnd"/>
            <w:r>
              <w:rPr>
                <w:color w:val="000000"/>
                <w:sz w:val="24"/>
              </w:rPr>
              <w:t>300</w:t>
            </w:r>
            <w:r>
              <w:rPr>
                <w:color w:val="000000"/>
                <w:sz w:val="24"/>
              </w:rPr>
              <w:t>价值</w:t>
            </w:r>
            <w:r>
              <w:rPr>
                <w:color w:val="000000"/>
                <w:sz w:val="24"/>
              </w:rPr>
              <w:lastRenderedPageBreak/>
              <w:t>ETF</w:t>
            </w:r>
            <w:r>
              <w:rPr>
                <w:color w:val="000000"/>
                <w:sz w:val="24"/>
              </w:rPr>
              <w:t>及其联接基金、</w:t>
            </w:r>
            <w:proofErr w:type="gramStart"/>
            <w:r>
              <w:rPr>
                <w:color w:val="000000"/>
                <w:sz w:val="24"/>
              </w:rPr>
              <w:t>交银沪深</w:t>
            </w:r>
            <w:proofErr w:type="gramEnd"/>
            <w:r>
              <w:rPr>
                <w:color w:val="000000"/>
                <w:sz w:val="24"/>
              </w:rPr>
              <w:t>300</w:t>
            </w:r>
            <w:r>
              <w:rPr>
                <w:color w:val="000000"/>
                <w:sz w:val="24"/>
              </w:rPr>
              <w:t>分层等权指数</w:t>
            </w:r>
            <w:proofErr w:type="gramStart"/>
            <w:r>
              <w:rPr>
                <w:color w:val="000000"/>
                <w:sz w:val="24"/>
              </w:rPr>
              <w:t>基金基金</w:t>
            </w:r>
            <w:proofErr w:type="gramEnd"/>
            <w:r>
              <w:rPr>
                <w:color w:val="000000"/>
                <w:sz w:val="24"/>
              </w:rPr>
              <w:t>经理</w:t>
            </w:r>
          </w:p>
        </w:tc>
        <w:tc>
          <w:tcPr>
            <w:tcW w:w="1549" w:type="dxa"/>
            <w:vAlign w:val="center"/>
          </w:tcPr>
          <w:p w:rsidR="00381855" w:rsidRDefault="001223CE">
            <w:pPr>
              <w:jc w:val="center"/>
            </w:pPr>
            <w:r>
              <w:rPr>
                <w:color w:val="000000"/>
                <w:sz w:val="24"/>
              </w:rPr>
              <w:lastRenderedPageBreak/>
              <w:t>2012-12-27</w:t>
            </w:r>
          </w:p>
        </w:tc>
        <w:tc>
          <w:tcPr>
            <w:tcW w:w="1548" w:type="dxa"/>
            <w:vAlign w:val="center"/>
          </w:tcPr>
          <w:p w:rsidR="00381855" w:rsidRDefault="001223CE">
            <w:pPr>
              <w:jc w:val="center"/>
            </w:pPr>
            <w:r>
              <w:rPr>
                <w:color w:val="000000"/>
                <w:sz w:val="24"/>
              </w:rPr>
              <w:t>-</w:t>
            </w:r>
          </w:p>
        </w:tc>
        <w:tc>
          <w:tcPr>
            <w:tcW w:w="1407" w:type="dxa"/>
            <w:vAlign w:val="center"/>
          </w:tcPr>
          <w:p w:rsidR="00381855" w:rsidRDefault="001223CE">
            <w:pPr>
              <w:jc w:val="center"/>
            </w:pPr>
            <w:r>
              <w:rPr>
                <w:color w:val="000000"/>
                <w:sz w:val="24"/>
              </w:rPr>
              <w:t>5</w:t>
            </w:r>
            <w:r>
              <w:rPr>
                <w:color w:val="000000"/>
                <w:sz w:val="24"/>
              </w:rPr>
              <w:t>年</w:t>
            </w:r>
          </w:p>
        </w:tc>
        <w:tc>
          <w:tcPr>
            <w:tcW w:w="2673" w:type="dxa"/>
            <w:vAlign w:val="center"/>
          </w:tcPr>
          <w:p w:rsidR="00381855" w:rsidRDefault="001223CE">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1C27F0">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1C27F0">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381855" w:rsidRDefault="001223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1855" w:rsidRDefault="001223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1855" w:rsidRDefault="001223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1C27F0">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1C27F0">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1C27F0">
      <w:pPr>
        <w:spacing w:before="29" w:line="288" w:lineRule="auto"/>
        <w:ind w:firstLineChars="200" w:firstLine="480"/>
        <w:rPr>
          <w:color w:val="000000"/>
          <w:sz w:val="24"/>
        </w:rPr>
      </w:pPr>
      <w:r w:rsidRPr="0036023B">
        <w:rPr>
          <w:color w:val="000000"/>
          <w:sz w:val="24"/>
        </w:rPr>
        <w:t>本报告期内，本公司管理的所有投资组合未发生参与的交易所公开竞价同日反向交</w:t>
      </w:r>
      <w:r w:rsidRPr="0036023B">
        <w:rPr>
          <w:color w:val="000000"/>
          <w:sz w:val="24"/>
        </w:rPr>
        <w:lastRenderedPageBreak/>
        <w:t>易成交较少的单边交易量超过该证券当日总成交量</w:t>
      </w:r>
      <w:r w:rsidRPr="0036023B">
        <w:rPr>
          <w:color w:val="000000"/>
          <w:sz w:val="24"/>
        </w:rPr>
        <w:t>5%</w:t>
      </w:r>
      <w:r w:rsidRPr="0036023B">
        <w:rPr>
          <w:color w:val="000000"/>
          <w:sz w:val="24"/>
        </w:rPr>
        <w:t>的情形。本基金于本报告期内未出现异常交易行为。</w:t>
      </w:r>
    </w:p>
    <w:p w:rsidR="00220542" w:rsidRPr="0036023B" w:rsidRDefault="00220542"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381855" w:rsidRDefault="001223CE">
      <w:pPr>
        <w:spacing w:before="29" w:line="288" w:lineRule="auto"/>
        <w:ind w:firstLineChars="200" w:firstLine="480"/>
        <w:rPr>
          <w:color w:val="000000"/>
          <w:sz w:val="24"/>
        </w:rPr>
      </w:pPr>
      <w:r>
        <w:rPr>
          <w:color w:val="000000"/>
          <w:sz w:val="24"/>
        </w:rPr>
        <w:t>2014</w:t>
      </w:r>
      <w:r>
        <w:rPr>
          <w:color w:val="000000"/>
          <w:sz w:val="24"/>
        </w:rPr>
        <w:t>年第一季度，经济和市场走势大致呈现震荡下跌格局。年初至二月上旬，经济小幅回落，市场仍延续去年以来的成长主题；二月下旬至三月国内经济下行加速，</w:t>
      </w:r>
      <w:r>
        <w:rPr>
          <w:color w:val="000000"/>
          <w:sz w:val="24"/>
        </w:rPr>
        <w:t>PMI</w:t>
      </w:r>
      <w:r>
        <w:rPr>
          <w:color w:val="000000"/>
          <w:sz w:val="24"/>
        </w:rPr>
        <w:t>、制造业投资、消费等各项经济指标均低于预期，使市场加速下探。作为跟踪基准指数的指数基金，在本季度内总体震荡下探。</w:t>
      </w:r>
    </w:p>
    <w:p w:rsidR="00D33924" w:rsidRPr="0036023B" w:rsidRDefault="000820A8" w:rsidP="001C27F0">
      <w:pPr>
        <w:spacing w:before="29" w:line="288" w:lineRule="auto"/>
        <w:ind w:firstLineChars="200" w:firstLine="480"/>
        <w:rPr>
          <w:color w:val="000000"/>
          <w:sz w:val="24"/>
        </w:rPr>
      </w:pPr>
      <w:r w:rsidRPr="0036023B">
        <w:rPr>
          <w:color w:val="000000"/>
          <w:sz w:val="24"/>
        </w:rPr>
        <w:t>展望第二季度，宏观经济在整体政策取向改革与结构调整的背景下仍将保持稳速增长，政府持续、坚决的推进改革及转型，或能增强投资者对中长期经济的信心，使得市场进入良性可持续的回暖阶段。</w:t>
      </w:r>
    </w:p>
    <w:p w:rsidR="008F5E2D" w:rsidRPr="0036023B" w:rsidRDefault="008F5E2D"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1C27F0">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0.583</w:t>
      </w:r>
      <w:r w:rsidRPr="0036023B">
        <w:rPr>
          <w:color w:val="000000"/>
          <w:sz w:val="24"/>
        </w:rPr>
        <w:t>元，本报告期份额净值增长率为</w:t>
      </w:r>
      <w:r w:rsidRPr="0036023B">
        <w:rPr>
          <w:color w:val="000000"/>
          <w:sz w:val="24"/>
        </w:rPr>
        <w:t>-7.75%</w:t>
      </w:r>
      <w:r w:rsidRPr="0036023B">
        <w:rPr>
          <w:color w:val="000000"/>
          <w:sz w:val="24"/>
        </w:rPr>
        <w:t>，同期业绩比较基准增长率为</w:t>
      </w:r>
      <w:r w:rsidRPr="0036023B">
        <w:rPr>
          <w:color w:val="000000"/>
          <w:sz w:val="24"/>
        </w:rPr>
        <w:t>-7.51%</w:t>
      </w:r>
      <w:r w:rsidRPr="0036023B">
        <w:rPr>
          <w:color w:val="000000"/>
          <w:sz w:val="24"/>
        </w:rPr>
        <w:t>。本报告期内本基金的日均跟踪偏离度为</w:t>
      </w:r>
      <w:r w:rsidRPr="0036023B">
        <w:rPr>
          <w:color w:val="000000"/>
          <w:sz w:val="24"/>
        </w:rPr>
        <w:t>0.05%</w:t>
      </w:r>
      <w:r w:rsidRPr="0036023B">
        <w:rPr>
          <w:color w:val="000000"/>
          <w:sz w:val="24"/>
        </w:rPr>
        <w:t>，跟踪误差为</w:t>
      </w:r>
      <w:r w:rsidRPr="0036023B">
        <w:rPr>
          <w:color w:val="000000"/>
          <w:sz w:val="24"/>
        </w:rPr>
        <w:t>0.07%</w:t>
      </w:r>
      <w:r w:rsidRPr="0036023B">
        <w:rPr>
          <w:color w:val="000000"/>
          <w:sz w:val="24"/>
        </w:rPr>
        <w:t>。</w:t>
      </w:r>
    </w:p>
    <w:p w:rsidR="00511B6A" w:rsidRPr="0036023B" w:rsidRDefault="00511B6A" w:rsidP="001C27F0">
      <w:pPr>
        <w:spacing w:before="29" w:line="288" w:lineRule="auto"/>
        <w:ind w:firstLineChars="200" w:firstLine="480"/>
        <w:rPr>
          <w:color w:val="00000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1,807,262,146.02</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99.72</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1,807,262,146.02</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99.72</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DB769A">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1C27F0">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1C27F0">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4,677,895.99</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0.26</w:t>
            </w:r>
          </w:p>
        </w:tc>
      </w:tr>
      <w:tr w:rsidR="000820A8" w:rsidRPr="0036023B" w:rsidTr="00EA3FF7">
        <w:trPr>
          <w:jc w:val="center"/>
        </w:trPr>
        <w:tc>
          <w:tcPr>
            <w:tcW w:w="720" w:type="dxa"/>
            <w:vAlign w:val="center"/>
          </w:tcPr>
          <w:p w:rsidR="000820A8" w:rsidRPr="0036023B" w:rsidRDefault="009C5C77" w:rsidP="00EA1AA4">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1C27F0">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395,505.64</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EA1AA4">
            <w:pPr>
              <w:spacing w:before="29" w:line="288" w:lineRule="auto"/>
              <w:ind w:left="17"/>
              <w:jc w:val="center"/>
              <w:rPr>
                <w:color w:val="000000"/>
                <w:sz w:val="24"/>
              </w:rPr>
            </w:pPr>
            <w:r w:rsidRPr="0036023B">
              <w:rPr>
                <w:color w:val="000000"/>
                <w:sz w:val="24"/>
              </w:rPr>
              <w:lastRenderedPageBreak/>
              <w:t>8</w:t>
            </w:r>
          </w:p>
        </w:tc>
        <w:tc>
          <w:tcPr>
            <w:tcW w:w="3357" w:type="dxa"/>
            <w:vAlign w:val="center"/>
          </w:tcPr>
          <w:p w:rsidR="000820A8" w:rsidRPr="0036023B" w:rsidRDefault="000820A8" w:rsidP="001C27F0">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1,812,335,547.65</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100.00</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1C27F0">
      <w:pPr>
        <w:autoSpaceDE w:val="0"/>
        <w:autoSpaceDN w:val="0"/>
        <w:adjustRightInd w:val="0"/>
        <w:spacing w:before="29" w:line="288" w:lineRule="auto"/>
        <w:jc w:val="left"/>
        <w:rPr>
          <w:color w:val="000000"/>
          <w:sz w:val="24"/>
        </w:rPr>
      </w:pP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5,843,799.36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0.32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C8111D">
            <w:pPr>
              <w:spacing w:before="29" w:line="288" w:lineRule="auto"/>
              <w:jc w:val="right"/>
              <w:rPr>
                <w:sz w:val="24"/>
              </w:rPr>
            </w:pPr>
            <w:r w:rsidRPr="0036023B">
              <w:rPr>
                <w:sz w:val="24"/>
              </w:rPr>
              <w:t>118,066,525.27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C8111D">
            <w:pPr>
              <w:spacing w:before="29" w:line="288" w:lineRule="auto"/>
              <w:jc w:val="right"/>
              <w:rPr>
                <w:sz w:val="24"/>
              </w:rPr>
            </w:pPr>
            <w:r w:rsidRPr="0036023B">
              <w:rPr>
                <w:sz w:val="24"/>
              </w:rPr>
              <w:t>6.52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399,593,089.16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22.06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77,329,641.93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4.27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61,916,957.32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3.42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29,897,786.69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1.65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56,543,451.87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3.12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44,769,112.75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2.47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926,336,970.00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51.15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62,670,091.66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3.46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7,309,343.48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0.40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16,985,376.53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0.94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1,807,262,146.02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99.79</w:t>
            </w:r>
          </w:p>
        </w:tc>
      </w:tr>
    </w:tbl>
    <w:p w:rsidR="004318F0" w:rsidRPr="0036023B" w:rsidRDefault="004318F0"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1C27F0">
      <w:pPr>
        <w:spacing w:before="29" w:line="288" w:lineRule="auto"/>
        <w:rPr>
          <w:b/>
          <w:sz w:val="24"/>
        </w:rPr>
      </w:pPr>
      <w:r w:rsidRPr="0036023B">
        <w:rPr>
          <w:b/>
          <w:color w:val="000000"/>
          <w:kern w:val="0"/>
          <w:sz w:val="24"/>
        </w:rPr>
        <w:lastRenderedPageBreak/>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381855">
        <w:trPr>
          <w:jc w:val="center"/>
        </w:trPr>
        <w:tc>
          <w:tcPr>
            <w:tcW w:w="850" w:type="dxa"/>
            <w:vAlign w:val="center"/>
          </w:tcPr>
          <w:p w:rsidR="00381855" w:rsidRDefault="001223CE">
            <w:pPr>
              <w:jc w:val="center"/>
            </w:pPr>
            <w:r>
              <w:rPr>
                <w:color w:val="000000"/>
                <w:sz w:val="24"/>
              </w:rPr>
              <w:t>1</w:t>
            </w:r>
          </w:p>
        </w:tc>
        <w:tc>
          <w:tcPr>
            <w:tcW w:w="1327" w:type="dxa"/>
            <w:vAlign w:val="center"/>
          </w:tcPr>
          <w:p w:rsidR="00381855" w:rsidRDefault="001223CE">
            <w:pPr>
              <w:jc w:val="center"/>
            </w:pPr>
            <w:r>
              <w:rPr>
                <w:color w:val="000000"/>
                <w:sz w:val="24"/>
              </w:rPr>
              <w:t>601318</w:t>
            </w:r>
          </w:p>
        </w:tc>
        <w:tc>
          <w:tcPr>
            <w:tcW w:w="1769" w:type="dxa"/>
            <w:vAlign w:val="center"/>
          </w:tcPr>
          <w:p w:rsidR="00381855" w:rsidRDefault="001223CE">
            <w:pPr>
              <w:jc w:val="center"/>
            </w:pPr>
            <w:r>
              <w:rPr>
                <w:color w:val="000000"/>
                <w:sz w:val="24"/>
              </w:rPr>
              <w:t>中国平安</w:t>
            </w:r>
          </w:p>
        </w:tc>
        <w:tc>
          <w:tcPr>
            <w:tcW w:w="1327" w:type="dxa"/>
            <w:vAlign w:val="center"/>
          </w:tcPr>
          <w:p w:rsidR="00381855" w:rsidRDefault="001223CE">
            <w:pPr>
              <w:jc w:val="right"/>
            </w:pPr>
            <w:r>
              <w:rPr>
                <w:color w:val="000000"/>
                <w:sz w:val="24"/>
              </w:rPr>
              <w:t>3,562,435</w:t>
            </w:r>
          </w:p>
        </w:tc>
        <w:tc>
          <w:tcPr>
            <w:tcW w:w="1915" w:type="dxa"/>
            <w:vAlign w:val="center"/>
          </w:tcPr>
          <w:p w:rsidR="00381855" w:rsidRDefault="001223CE">
            <w:pPr>
              <w:jc w:val="right"/>
            </w:pPr>
            <w:r>
              <w:rPr>
                <w:color w:val="000000"/>
                <w:sz w:val="24"/>
              </w:rPr>
              <w:t>133,805,058.60</w:t>
            </w:r>
          </w:p>
        </w:tc>
        <w:tc>
          <w:tcPr>
            <w:tcW w:w="1680" w:type="dxa"/>
            <w:vAlign w:val="center"/>
          </w:tcPr>
          <w:p w:rsidR="00381855" w:rsidRDefault="001223CE">
            <w:pPr>
              <w:jc w:val="right"/>
            </w:pPr>
            <w:r>
              <w:rPr>
                <w:color w:val="000000"/>
                <w:sz w:val="24"/>
              </w:rPr>
              <w:t>7.39</w:t>
            </w:r>
          </w:p>
        </w:tc>
      </w:tr>
      <w:tr w:rsidR="00381855">
        <w:trPr>
          <w:jc w:val="center"/>
        </w:trPr>
        <w:tc>
          <w:tcPr>
            <w:tcW w:w="850" w:type="dxa"/>
            <w:vAlign w:val="center"/>
          </w:tcPr>
          <w:p w:rsidR="00381855" w:rsidRDefault="001223CE">
            <w:pPr>
              <w:jc w:val="center"/>
            </w:pPr>
            <w:r>
              <w:rPr>
                <w:color w:val="000000"/>
                <w:sz w:val="24"/>
              </w:rPr>
              <w:t>2</w:t>
            </w:r>
          </w:p>
        </w:tc>
        <w:tc>
          <w:tcPr>
            <w:tcW w:w="1327" w:type="dxa"/>
            <w:vAlign w:val="center"/>
          </w:tcPr>
          <w:p w:rsidR="00381855" w:rsidRDefault="001223CE">
            <w:pPr>
              <w:jc w:val="center"/>
            </w:pPr>
            <w:r>
              <w:rPr>
                <w:color w:val="000000"/>
                <w:sz w:val="24"/>
              </w:rPr>
              <w:t>600016</w:t>
            </w:r>
          </w:p>
        </w:tc>
        <w:tc>
          <w:tcPr>
            <w:tcW w:w="1769" w:type="dxa"/>
            <w:vAlign w:val="center"/>
          </w:tcPr>
          <w:p w:rsidR="00381855" w:rsidRDefault="001223CE">
            <w:pPr>
              <w:jc w:val="center"/>
            </w:pPr>
            <w:r>
              <w:rPr>
                <w:color w:val="000000"/>
                <w:sz w:val="24"/>
              </w:rPr>
              <w:t>民生银行</w:t>
            </w:r>
          </w:p>
        </w:tc>
        <w:tc>
          <w:tcPr>
            <w:tcW w:w="1327" w:type="dxa"/>
            <w:vAlign w:val="center"/>
          </w:tcPr>
          <w:p w:rsidR="00381855" w:rsidRDefault="001223CE">
            <w:pPr>
              <w:jc w:val="right"/>
            </w:pPr>
            <w:r>
              <w:rPr>
                <w:color w:val="000000"/>
                <w:sz w:val="24"/>
              </w:rPr>
              <w:t>16,791,661</w:t>
            </w:r>
          </w:p>
        </w:tc>
        <w:tc>
          <w:tcPr>
            <w:tcW w:w="1915" w:type="dxa"/>
            <w:vAlign w:val="center"/>
          </w:tcPr>
          <w:p w:rsidR="00381855" w:rsidRDefault="001223CE">
            <w:pPr>
              <w:jc w:val="right"/>
            </w:pPr>
            <w:r>
              <w:rPr>
                <w:color w:val="000000"/>
                <w:sz w:val="24"/>
              </w:rPr>
              <w:t>128,624,123.26</w:t>
            </w:r>
          </w:p>
        </w:tc>
        <w:tc>
          <w:tcPr>
            <w:tcW w:w="1680" w:type="dxa"/>
            <w:vAlign w:val="center"/>
          </w:tcPr>
          <w:p w:rsidR="00381855" w:rsidRDefault="001223CE">
            <w:pPr>
              <w:jc w:val="right"/>
            </w:pPr>
            <w:r>
              <w:rPr>
                <w:color w:val="000000"/>
                <w:sz w:val="24"/>
              </w:rPr>
              <w:t>7.10</w:t>
            </w:r>
          </w:p>
        </w:tc>
      </w:tr>
      <w:tr w:rsidR="00381855">
        <w:trPr>
          <w:jc w:val="center"/>
        </w:trPr>
        <w:tc>
          <w:tcPr>
            <w:tcW w:w="850" w:type="dxa"/>
            <w:vAlign w:val="center"/>
          </w:tcPr>
          <w:p w:rsidR="00381855" w:rsidRDefault="001223CE">
            <w:pPr>
              <w:jc w:val="center"/>
            </w:pPr>
            <w:r>
              <w:rPr>
                <w:color w:val="000000"/>
                <w:sz w:val="24"/>
              </w:rPr>
              <w:t>3</w:t>
            </w:r>
          </w:p>
        </w:tc>
        <w:tc>
          <w:tcPr>
            <w:tcW w:w="1327" w:type="dxa"/>
            <w:vAlign w:val="center"/>
          </w:tcPr>
          <w:p w:rsidR="00381855" w:rsidRDefault="001223CE">
            <w:pPr>
              <w:jc w:val="center"/>
            </w:pPr>
            <w:r>
              <w:rPr>
                <w:color w:val="000000"/>
                <w:sz w:val="24"/>
              </w:rPr>
              <w:t>600036</w:t>
            </w:r>
          </w:p>
        </w:tc>
        <w:tc>
          <w:tcPr>
            <w:tcW w:w="1769" w:type="dxa"/>
            <w:vAlign w:val="center"/>
          </w:tcPr>
          <w:p w:rsidR="00381855" w:rsidRDefault="001223CE">
            <w:pPr>
              <w:jc w:val="center"/>
            </w:pPr>
            <w:r>
              <w:rPr>
                <w:color w:val="000000"/>
                <w:sz w:val="24"/>
              </w:rPr>
              <w:t>招商银行</w:t>
            </w:r>
          </w:p>
        </w:tc>
        <w:tc>
          <w:tcPr>
            <w:tcW w:w="1327" w:type="dxa"/>
            <w:vAlign w:val="center"/>
          </w:tcPr>
          <w:p w:rsidR="00381855" w:rsidRDefault="001223CE">
            <w:pPr>
              <w:jc w:val="right"/>
            </w:pPr>
            <w:r>
              <w:rPr>
                <w:color w:val="000000"/>
                <w:sz w:val="24"/>
              </w:rPr>
              <w:t>12,246,707</w:t>
            </w:r>
          </w:p>
        </w:tc>
        <w:tc>
          <w:tcPr>
            <w:tcW w:w="1915" w:type="dxa"/>
            <w:vAlign w:val="center"/>
          </w:tcPr>
          <w:p w:rsidR="00381855" w:rsidRDefault="001223CE">
            <w:pPr>
              <w:jc w:val="right"/>
            </w:pPr>
            <w:r>
              <w:rPr>
                <w:color w:val="000000"/>
                <w:sz w:val="24"/>
              </w:rPr>
              <w:t>120,262,662.74</w:t>
            </w:r>
          </w:p>
        </w:tc>
        <w:tc>
          <w:tcPr>
            <w:tcW w:w="1680" w:type="dxa"/>
            <w:vAlign w:val="center"/>
          </w:tcPr>
          <w:p w:rsidR="00381855" w:rsidRDefault="001223CE">
            <w:pPr>
              <w:jc w:val="right"/>
            </w:pPr>
            <w:r>
              <w:rPr>
                <w:color w:val="000000"/>
                <w:sz w:val="24"/>
              </w:rPr>
              <w:t>6.64</w:t>
            </w:r>
          </w:p>
        </w:tc>
      </w:tr>
      <w:tr w:rsidR="00381855">
        <w:trPr>
          <w:jc w:val="center"/>
        </w:trPr>
        <w:tc>
          <w:tcPr>
            <w:tcW w:w="850" w:type="dxa"/>
            <w:vAlign w:val="center"/>
          </w:tcPr>
          <w:p w:rsidR="00381855" w:rsidRDefault="001223CE">
            <w:pPr>
              <w:jc w:val="center"/>
            </w:pPr>
            <w:r>
              <w:rPr>
                <w:color w:val="000000"/>
                <w:sz w:val="24"/>
              </w:rPr>
              <w:t>4</w:t>
            </w:r>
          </w:p>
        </w:tc>
        <w:tc>
          <w:tcPr>
            <w:tcW w:w="1327" w:type="dxa"/>
            <w:vAlign w:val="center"/>
          </w:tcPr>
          <w:p w:rsidR="00381855" w:rsidRDefault="001223CE">
            <w:pPr>
              <w:jc w:val="center"/>
            </w:pPr>
            <w:r>
              <w:rPr>
                <w:color w:val="000000"/>
                <w:sz w:val="24"/>
              </w:rPr>
              <w:t>601166</w:t>
            </w:r>
          </w:p>
        </w:tc>
        <w:tc>
          <w:tcPr>
            <w:tcW w:w="1769" w:type="dxa"/>
            <w:vAlign w:val="center"/>
          </w:tcPr>
          <w:p w:rsidR="00381855" w:rsidRDefault="001223CE">
            <w:pPr>
              <w:jc w:val="center"/>
            </w:pPr>
            <w:r>
              <w:rPr>
                <w:color w:val="000000"/>
                <w:sz w:val="24"/>
              </w:rPr>
              <w:t>兴业银行</w:t>
            </w:r>
          </w:p>
        </w:tc>
        <w:tc>
          <w:tcPr>
            <w:tcW w:w="1327" w:type="dxa"/>
            <w:vAlign w:val="center"/>
          </w:tcPr>
          <w:p w:rsidR="00381855" w:rsidRDefault="001223CE">
            <w:pPr>
              <w:jc w:val="right"/>
            </w:pPr>
            <w:r>
              <w:rPr>
                <w:color w:val="000000"/>
                <w:sz w:val="24"/>
              </w:rPr>
              <w:t>8,503,659</w:t>
            </w:r>
          </w:p>
        </w:tc>
        <w:tc>
          <w:tcPr>
            <w:tcW w:w="1915" w:type="dxa"/>
            <w:vAlign w:val="center"/>
          </w:tcPr>
          <w:p w:rsidR="00381855" w:rsidRDefault="001223CE">
            <w:pPr>
              <w:jc w:val="right"/>
            </w:pPr>
            <w:r>
              <w:rPr>
                <w:color w:val="000000"/>
                <w:sz w:val="24"/>
              </w:rPr>
              <w:t>80,954,833.68</w:t>
            </w:r>
          </w:p>
        </w:tc>
        <w:tc>
          <w:tcPr>
            <w:tcW w:w="1680" w:type="dxa"/>
            <w:vAlign w:val="center"/>
          </w:tcPr>
          <w:p w:rsidR="00381855" w:rsidRDefault="001223CE">
            <w:pPr>
              <w:jc w:val="right"/>
            </w:pPr>
            <w:r>
              <w:rPr>
                <w:color w:val="000000"/>
                <w:sz w:val="24"/>
              </w:rPr>
              <w:t>4.47</w:t>
            </w:r>
          </w:p>
        </w:tc>
      </w:tr>
      <w:tr w:rsidR="00381855">
        <w:trPr>
          <w:jc w:val="center"/>
        </w:trPr>
        <w:tc>
          <w:tcPr>
            <w:tcW w:w="850" w:type="dxa"/>
            <w:vAlign w:val="center"/>
          </w:tcPr>
          <w:p w:rsidR="00381855" w:rsidRDefault="001223CE">
            <w:pPr>
              <w:jc w:val="center"/>
            </w:pPr>
            <w:r>
              <w:rPr>
                <w:color w:val="000000"/>
                <w:sz w:val="24"/>
              </w:rPr>
              <w:t>5</w:t>
            </w:r>
          </w:p>
        </w:tc>
        <w:tc>
          <w:tcPr>
            <w:tcW w:w="1327" w:type="dxa"/>
            <w:vAlign w:val="center"/>
          </w:tcPr>
          <w:p w:rsidR="00381855" w:rsidRDefault="001223CE">
            <w:pPr>
              <w:jc w:val="center"/>
            </w:pPr>
            <w:r>
              <w:rPr>
                <w:color w:val="000000"/>
                <w:sz w:val="24"/>
              </w:rPr>
              <w:t>600000</w:t>
            </w:r>
          </w:p>
        </w:tc>
        <w:tc>
          <w:tcPr>
            <w:tcW w:w="1769" w:type="dxa"/>
            <w:vAlign w:val="center"/>
          </w:tcPr>
          <w:p w:rsidR="00381855" w:rsidRDefault="001223CE">
            <w:pPr>
              <w:jc w:val="center"/>
            </w:pPr>
            <w:r>
              <w:rPr>
                <w:color w:val="000000"/>
                <w:sz w:val="24"/>
              </w:rPr>
              <w:t>浦发银行</w:t>
            </w:r>
          </w:p>
        </w:tc>
        <w:tc>
          <w:tcPr>
            <w:tcW w:w="1327" w:type="dxa"/>
            <w:vAlign w:val="center"/>
          </w:tcPr>
          <w:p w:rsidR="00381855" w:rsidRDefault="001223CE">
            <w:pPr>
              <w:jc w:val="right"/>
            </w:pPr>
            <w:r>
              <w:rPr>
                <w:color w:val="000000"/>
                <w:sz w:val="24"/>
              </w:rPr>
              <w:t>8,310,436</w:t>
            </w:r>
          </w:p>
        </w:tc>
        <w:tc>
          <w:tcPr>
            <w:tcW w:w="1915" w:type="dxa"/>
            <w:vAlign w:val="center"/>
          </w:tcPr>
          <w:p w:rsidR="00381855" w:rsidRDefault="001223CE">
            <w:pPr>
              <w:jc w:val="right"/>
            </w:pPr>
            <w:r>
              <w:rPr>
                <w:color w:val="000000"/>
                <w:sz w:val="24"/>
              </w:rPr>
              <w:t>80,777,437.92</w:t>
            </w:r>
          </w:p>
        </w:tc>
        <w:tc>
          <w:tcPr>
            <w:tcW w:w="1680" w:type="dxa"/>
            <w:vAlign w:val="center"/>
          </w:tcPr>
          <w:p w:rsidR="00381855" w:rsidRDefault="001223CE">
            <w:pPr>
              <w:jc w:val="right"/>
            </w:pPr>
            <w:r>
              <w:rPr>
                <w:color w:val="000000"/>
                <w:sz w:val="24"/>
              </w:rPr>
              <w:t>4.46</w:t>
            </w:r>
          </w:p>
        </w:tc>
      </w:tr>
      <w:tr w:rsidR="00381855">
        <w:trPr>
          <w:jc w:val="center"/>
        </w:trPr>
        <w:tc>
          <w:tcPr>
            <w:tcW w:w="850" w:type="dxa"/>
            <w:vAlign w:val="center"/>
          </w:tcPr>
          <w:p w:rsidR="00381855" w:rsidRDefault="001223CE">
            <w:pPr>
              <w:jc w:val="center"/>
            </w:pPr>
            <w:r>
              <w:rPr>
                <w:color w:val="000000"/>
                <w:sz w:val="24"/>
              </w:rPr>
              <w:t>6</w:t>
            </w:r>
          </w:p>
        </w:tc>
        <w:tc>
          <w:tcPr>
            <w:tcW w:w="1327" w:type="dxa"/>
            <w:vAlign w:val="center"/>
          </w:tcPr>
          <w:p w:rsidR="00381855" w:rsidRDefault="001223CE">
            <w:pPr>
              <w:jc w:val="center"/>
            </w:pPr>
            <w:r>
              <w:rPr>
                <w:color w:val="000000"/>
                <w:sz w:val="24"/>
              </w:rPr>
              <w:t>600837</w:t>
            </w:r>
          </w:p>
        </w:tc>
        <w:tc>
          <w:tcPr>
            <w:tcW w:w="1769" w:type="dxa"/>
            <w:vAlign w:val="center"/>
          </w:tcPr>
          <w:p w:rsidR="00381855" w:rsidRDefault="001223CE">
            <w:pPr>
              <w:jc w:val="center"/>
            </w:pPr>
            <w:r>
              <w:rPr>
                <w:color w:val="000000"/>
                <w:sz w:val="24"/>
              </w:rPr>
              <w:t>海通证券</w:t>
            </w:r>
          </w:p>
        </w:tc>
        <w:tc>
          <w:tcPr>
            <w:tcW w:w="1327" w:type="dxa"/>
            <w:vAlign w:val="center"/>
          </w:tcPr>
          <w:p w:rsidR="00381855" w:rsidRDefault="001223CE">
            <w:pPr>
              <w:jc w:val="right"/>
            </w:pPr>
            <w:r>
              <w:rPr>
                <w:color w:val="000000"/>
                <w:sz w:val="24"/>
              </w:rPr>
              <w:t>6,020,323</w:t>
            </w:r>
          </w:p>
        </w:tc>
        <w:tc>
          <w:tcPr>
            <w:tcW w:w="1915" w:type="dxa"/>
            <w:vAlign w:val="center"/>
          </w:tcPr>
          <w:p w:rsidR="00381855" w:rsidRDefault="001223CE">
            <w:pPr>
              <w:jc w:val="right"/>
            </w:pPr>
            <w:r>
              <w:rPr>
                <w:color w:val="000000"/>
                <w:sz w:val="24"/>
              </w:rPr>
              <w:t>55,627,784.52</w:t>
            </w:r>
          </w:p>
        </w:tc>
        <w:tc>
          <w:tcPr>
            <w:tcW w:w="1680" w:type="dxa"/>
            <w:vAlign w:val="center"/>
          </w:tcPr>
          <w:p w:rsidR="00381855" w:rsidRDefault="001223CE">
            <w:pPr>
              <w:jc w:val="right"/>
            </w:pPr>
            <w:r>
              <w:rPr>
                <w:color w:val="000000"/>
                <w:sz w:val="24"/>
              </w:rPr>
              <w:t>3.07</w:t>
            </w:r>
          </w:p>
        </w:tc>
      </w:tr>
      <w:tr w:rsidR="00381855">
        <w:trPr>
          <w:jc w:val="center"/>
        </w:trPr>
        <w:tc>
          <w:tcPr>
            <w:tcW w:w="850" w:type="dxa"/>
            <w:vAlign w:val="center"/>
          </w:tcPr>
          <w:p w:rsidR="00381855" w:rsidRDefault="001223CE">
            <w:pPr>
              <w:jc w:val="center"/>
            </w:pPr>
            <w:r>
              <w:rPr>
                <w:color w:val="000000"/>
                <w:sz w:val="24"/>
              </w:rPr>
              <w:t>7</w:t>
            </w:r>
          </w:p>
        </w:tc>
        <w:tc>
          <w:tcPr>
            <w:tcW w:w="1327" w:type="dxa"/>
            <w:vAlign w:val="center"/>
          </w:tcPr>
          <w:p w:rsidR="00381855" w:rsidRDefault="001223CE">
            <w:pPr>
              <w:jc w:val="center"/>
            </w:pPr>
            <w:r>
              <w:rPr>
                <w:color w:val="000000"/>
                <w:sz w:val="24"/>
              </w:rPr>
              <w:t>600030</w:t>
            </w:r>
          </w:p>
        </w:tc>
        <w:tc>
          <w:tcPr>
            <w:tcW w:w="1769" w:type="dxa"/>
            <w:vAlign w:val="center"/>
          </w:tcPr>
          <w:p w:rsidR="00381855" w:rsidRDefault="001223CE">
            <w:pPr>
              <w:jc w:val="center"/>
            </w:pPr>
            <w:r>
              <w:rPr>
                <w:color w:val="000000"/>
                <w:sz w:val="24"/>
              </w:rPr>
              <w:t>中信证券</w:t>
            </w:r>
          </w:p>
        </w:tc>
        <w:tc>
          <w:tcPr>
            <w:tcW w:w="1327" w:type="dxa"/>
            <w:vAlign w:val="center"/>
          </w:tcPr>
          <w:p w:rsidR="00381855" w:rsidRDefault="001223CE">
            <w:pPr>
              <w:jc w:val="right"/>
            </w:pPr>
            <w:r>
              <w:rPr>
                <w:color w:val="000000"/>
                <w:sz w:val="24"/>
              </w:rPr>
              <w:t>5,105,215</w:t>
            </w:r>
          </w:p>
        </w:tc>
        <w:tc>
          <w:tcPr>
            <w:tcW w:w="1915" w:type="dxa"/>
            <w:vAlign w:val="center"/>
          </w:tcPr>
          <w:p w:rsidR="00381855" w:rsidRDefault="001223CE">
            <w:pPr>
              <w:jc w:val="right"/>
            </w:pPr>
            <w:r>
              <w:rPr>
                <w:color w:val="000000"/>
                <w:sz w:val="24"/>
              </w:rPr>
              <w:t>53,757,913.95</w:t>
            </w:r>
          </w:p>
        </w:tc>
        <w:tc>
          <w:tcPr>
            <w:tcW w:w="1680" w:type="dxa"/>
            <w:vAlign w:val="center"/>
          </w:tcPr>
          <w:p w:rsidR="00381855" w:rsidRDefault="001223CE">
            <w:pPr>
              <w:jc w:val="right"/>
            </w:pPr>
            <w:r>
              <w:rPr>
                <w:color w:val="000000"/>
                <w:sz w:val="24"/>
              </w:rPr>
              <w:t>2.97</w:t>
            </w:r>
          </w:p>
        </w:tc>
      </w:tr>
      <w:tr w:rsidR="00381855">
        <w:trPr>
          <w:jc w:val="center"/>
        </w:trPr>
        <w:tc>
          <w:tcPr>
            <w:tcW w:w="850" w:type="dxa"/>
            <w:vAlign w:val="center"/>
          </w:tcPr>
          <w:p w:rsidR="00381855" w:rsidRDefault="001223CE">
            <w:pPr>
              <w:jc w:val="center"/>
            </w:pPr>
            <w:r>
              <w:rPr>
                <w:color w:val="000000"/>
                <w:sz w:val="24"/>
              </w:rPr>
              <w:t>8</w:t>
            </w:r>
          </w:p>
        </w:tc>
        <w:tc>
          <w:tcPr>
            <w:tcW w:w="1327" w:type="dxa"/>
            <w:vAlign w:val="center"/>
          </w:tcPr>
          <w:p w:rsidR="00381855" w:rsidRDefault="001223CE">
            <w:pPr>
              <w:jc w:val="center"/>
            </w:pPr>
            <w:r>
              <w:rPr>
                <w:color w:val="000000"/>
                <w:sz w:val="24"/>
              </w:rPr>
              <w:t>601398</w:t>
            </w:r>
          </w:p>
        </w:tc>
        <w:tc>
          <w:tcPr>
            <w:tcW w:w="1769" w:type="dxa"/>
            <w:vAlign w:val="center"/>
          </w:tcPr>
          <w:p w:rsidR="00381855" w:rsidRDefault="001223CE">
            <w:pPr>
              <w:jc w:val="center"/>
            </w:pPr>
            <w:r>
              <w:rPr>
                <w:color w:val="000000"/>
                <w:sz w:val="24"/>
              </w:rPr>
              <w:t>工商银行</w:t>
            </w:r>
          </w:p>
        </w:tc>
        <w:tc>
          <w:tcPr>
            <w:tcW w:w="1327" w:type="dxa"/>
            <w:vAlign w:val="center"/>
          </w:tcPr>
          <w:p w:rsidR="00381855" w:rsidRDefault="001223CE">
            <w:pPr>
              <w:jc w:val="right"/>
            </w:pPr>
            <w:r>
              <w:rPr>
                <w:color w:val="000000"/>
                <w:sz w:val="24"/>
              </w:rPr>
              <w:t>12,119,913</w:t>
            </w:r>
          </w:p>
        </w:tc>
        <w:tc>
          <w:tcPr>
            <w:tcW w:w="1915" w:type="dxa"/>
            <w:vAlign w:val="center"/>
          </w:tcPr>
          <w:p w:rsidR="00381855" w:rsidRDefault="001223CE">
            <w:pPr>
              <w:jc w:val="right"/>
            </w:pPr>
            <w:r>
              <w:rPr>
                <w:color w:val="000000"/>
                <w:sz w:val="24"/>
              </w:rPr>
              <w:t>41,813,699.85</w:t>
            </w:r>
          </w:p>
        </w:tc>
        <w:tc>
          <w:tcPr>
            <w:tcW w:w="1680" w:type="dxa"/>
            <w:vAlign w:val="center"/>
          </w:tcPr>
          <w:p w:rsidR="00381855" w:rsidRDefault="001223CE">
            <w:pPr>
              <w:jc w:val="right"/>
            </w:pPr>
            <w:r>
              <w:rPr>
                <w:color w:val="000000"/>
                <w:sz w:val="24"/>
              </w:rPr>
              <w:t>2.31</w:t>
            </w:r>
          </w:p>
        </w:tc>
      </w:tr>
      <w:tr w:rsidR="00381855">
        <w:trPr>
          <w:jc w:val="center"/>
        </w:trPr>
        <w:tc>
          <w:tcPr>
            <w:tcW w:w="850" w:type="dxa"/>
            <w:vAlign w:val="center"/>
          </w:tcPr>
          <w:p w:rsidR="00381855" w:rsidRDefault="001223CE">
            <w:pPr>
              <w:jc w:val="center"/>
            </w:pPr>
            <w:r>
              <w:rPr>
                <w:color w:val="000000"/>
                <w:sz w:val="24"/>
              </w:rPr>
              <w:t>9</w:t>
            </w:r>
          </w:p>
        </w:tc>
        <w:tc>
          <w:tcPr>
            <w:tcW w:w="1327" w:type="dxa"/>
            <w:vAlign w:val="center"/>
          </w:tcPr>
          <w:p w:rsidR="00381855" w:rsidRDefault="001223CE">
            <w:pPr>
              <w:jc w:val="center"/>
            </w:pPr>
            <w:r>
              <w:rPr>
                <w:color w:val="000000"/>
                <w:sz w:val="24"/>
              </w:rPr>
              <w:t>601601</w:t>
            </w:r>
          </w:p>
        </w:tc>
        <w:tc>
          <w:tcPr>
            <w:tcW w:w="1769" w:type="dxa"/>
            <w:vAlign w:val="center"/>
          </w:tcPr>
          <w:p w:rsidR="00381855" w:rsidRDefault="001223CE">
            <w:pPr>
              <w:jc w:val="center"/>
            </w:pPr>
            <w:r>
              <w:rPr>
                <w:color w:val="000000"/>
                <w:sz w:val="24"/>
              </w:rPr>
              <w:t>中国太保</w:t>
            </w:r>
          </w:p>
        </w:tc>
        <w:tc>
          <w:tcPr>
            <w:tcW w:w="1327" w:type="dxa"/>
            <w:vAlign w:val="center"/>
          </w:tcPr>
          <w:p w:rsidR="00381855" w:rsidRDefault="001223CE">
            <w:pPr>
              <w:jc w:val="right"/>
            </w:pPr>
            <w:r>
              <w:rPr>
                <w:color w:val="000000"/>
                <w:sz w:val="24"/>
              </w:rPr>
              <w:t>2,325,139</w:t>
            </w:r>
          </w:p>
        </w:tc>
        <w:tc>
          <w:tcPr>
            <w:tcW w:w="1915" w:type="dxa"/>
            <w:vAlign w:val="center"/>
          </w:tcPr>
          <w:p w:rsidR="00381855" w:rsidRDefault="001223CE">
            <w:pPr>
              <w:jc w:val="right"/>
            </w:pPr>
            <w:r>
              <w:rPr>
                <w:color w:val="000000"/>
                <w:sz w:val="24"/>
              </w:rPr>
              <w:t>36,737,196.20</w:t>
            </w:r>
          </w:p>
        </w:tc>
        <w:tc>
          <w:tcPr>
            <w:tcW w:w="1680" w:type="dxa"/>
            <w:vAlign w:val="center"/>
          </w:tcPr>
          <w:p w:rsidR="00381855" w:rsidRDefault="001223CE">
            <w:pPr>
              <w:jc w:val="right"/>
            </w:pPr>
            <w:r>
              <w:rPr>
                <w:color w:val="000000"/>
                <w:sz w:val="24"/>
              </w:rPr>
              <w:t>2.03</w:t>
            </w:r>
          </w:p>
        </w:tc>
      </w:tr>
      <w:tr w:rsidR="00381855">
        <w:trPr>
          <w:jc w:val="center"/>
        </w:trPr>
        <w:tc>
          <w:tcPr>
            <w:tcW w:w="850" w:type="dxa"/>
            <w:vAlign w:val="center"/>
          </w:tcPr>
          <w:p w:rsidR="00381855" w:rsidRDefault="001223CE">
            <w:pPr>
              <w:jc w:val="center"/>
            </w:pPr>
            <w:r>
              <w:rPr>
                <w:color w:val="000000"/>
                <w:sz w:val="24"/>
              </w:rPr>
              <w:t>10</w:t>
            </w:r>
          </w:p>
        </w:tc>
        <w:tc>
          <w:tcPr>
            <w:tcW w:w="1327" w:type="dxa"/>
            <w:vAlign w:val="center"/>
          </w:tcPr>
          <w:p w:rsidR="00381855" w:rsidRDefault="001223CE">
            <w:pPr>
              <w:jc w:val="center"/>
            </w:pPr>
            <w:r>
              <w:rPr>
                <w:color w:val="000000"/>
                <w:sz w:val="24"/>
              </w:rPr>
              <w:t>600104</w:t>
            </w:r>
          </w:p>
        </w:tc>
        <w:tc>
          <w:tcPr>
            <w:tcW w:w="1769" w:type="dxa"/>
            <w:vAlign w:val="center"/>
          </w:tcPr>
          <w:p w:rsidR="00381855" w:rsidRDefault="001223CE">
            <w:pPr>
              <w:jc w:val="center"/>
            </w:pPr>
            <w:r>
              <w:rPr>
                <w:color w:val="000000"/>
                <w:sz w:val="24"/>
              </w:rPr>
              <w:t>上汽集团</w:t>
            </w:r>
          </w:p>
        </w:tc>
        <w:tc>
          <w:tcPr>
            <w:tcW w:w="1327" w:type="dxa"/>
            <w:vAlign w:val="center"/>
          </w:tcPr>
          <w:p w:rsidR="00381855" w:rsidRDefault="001223CE">
            <w:pPr>
              <w:jc w:val="right"/>
            </w:pPr>
            <w:r>
              <w:rPr>
                <w:color w:val="000000"/>
                <w:sz w:val="24"/>
              </w:rPr>
              <w:t>2,455,234</w:t>
            </w:r>
          </w:p>
        </w:tc>
        <w:tc>
          <w:tcPr>
            <w:tcW w:w="1915" w:type="dxa"/>
            <w:vAlign w:val="center"/>
          </w:tcPr>
          <w:p w:rsidR="00381855" w:rsidRDefault="001223CE">
            <w:pPr>
              <w:jc w:val="right"/>
            </w:pPr>
            <w:r>
              <w:rPr>
                <w:color w:val="000000"/>
                <w:sz w:val="24"/>
              </w:rPr>
              <w:t>34,004,990.90</w:t>
            </w:r>
          </w:p>
        </w:tc>
        <w:tc>
          <w:tcPr>
            <w:tcW w:w="1680" w:type="dxa"/>
            <w:vAlign w:val="center"/>
          </w:tcPr>
          <w:p w:rsidR="00381855" w:rsidRDefault="001223CE">
            <w:pPr>
              <w:jc w:val="right"/>
            </w:pPr>
            <w:r>
              <w:rPr>
                <w:color w:val="000000"/>
                <w:sz w:val="24"/>
              </w:rPr>
              <w:t>1.88</w:t>
            </w:r>
          </w:p>
        </w:tc>
      </w:tr>
    </w:tbl>
    <w:p w:rsidR="003C606C" w:rsidRPr="0036023B" w:rsidRDefault="003C606C" w:rsidP="001C27F0">
      <w:pPr>
        <w:autoSpaceDE w:val="0"/>
        <w:autoSpaceDN w:val="0"/>
        <w:adjustRightInd w:val="0"/>
        <w:spacing w:before="29" w:line="288" w:lineRule="auto"/>
        <w:jc w:val="left"/>
        <w:rPr>
          <w:color w:val="000000"/>
          <w:sz w:val="24"/>
        </w:rPr>
      </w:pPr>
    </w:p>
    <w:p w:rsidR="000625A6" w:rsidRPr="0036023B" w:rsidRDefault="000625A6" w:rsidP="001C27F0">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1C27F0">
      <w:pPr>
        <w:autoSpaceDE w:val="0"/>
        <w:autoSpaceDN w:val="0"/>
        <w:adjustRightInd w:val="0"/>
        <w:spacing w:before="29" w:line="288" w:lineRule="auto"/>
        <w:jc w:val="left"/>
        <w:rPr>
          <w:color w:val="000000"/>
          <w:kern w:val="0"/>
          <w:sz w:val="24"/>
        </w:rPr>
      </w:pPr>
    </w:p>
    <w:p w:rsidR="00144D45" w:rsidRPr="0036023B" w:rsidRDefault="00144D45" w:rsidP="001C27F0">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1C27F0">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1C27F0">
      <w:pPr>
        <w:autoSpaceDE w:val="0"/>
        <w:autoSpaceDN w:val="0"/>
        <w:adjustRightInd w:val="0"/>
        <w:spacing w:before="29" w:line="288" w:lineRule="auto"/>
        <w:jc w:val="left"/>
        <w:rPr>
          <w:color w:val="000000"/>
          <w:kern w:val="0"/>
          <w:sz w:val="24"/>
        </w:rPr>
      </w:pPr>
    </w:p>
    <w:p w:rsidR="00220542" w:rsidRPr="0036023B" w:rsidRDefault="00BE1A80" w:rsidP="001C27F0">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本基金本报告期末未持有权证。</w:t>
      </w:r>
    </w:p>
    <w:p w:rsidR="00220542" w:rsidRPr="0036023B" w:rsidRDefault="00220542" w:rsidP="001C27F0">
      <w:pPr>
        <w:autoSpaceDE w:val="0"/>
        <w:autoSpaceDN w:val="0"/>
        <w:adjustRightInd w:val="0"/>
        <w:spacing w:before="29" w:line="288" w:lineRule="auto"/>
        <w:jc w:val="left"/>
        <w:rPr>
          <w:color w:val="000000"/>
          <w:kern w:val="0"/>
          <w:sz w:val="24"/>
        </w:rPr>
      </w:pPr>
    </w:p>
    <w:p w:rsidR="00295C5D" w:rsidRPr="0036023B" w:rsidRDefault="008F60C5" w:rsidP="001C27F0">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1C27F0">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1C27F0">
      <w:pPr>
        <w:adjustRightInd w:val="0"/>
        <w:snapToGrid w:val="0"/>
        <w:spacing w:before="29" w:line="288" w:lineRule="auto"/>
        <w:rPr>
          <w:sz w:val="24"/>
        </w:rPr>
      </w:pPr>
    </w:p>
    <w:p w:rsidR="00076B5E" w:rsidRPr="0036023B" w:rsidRDefault="00B60D38" w:rsidP="001C27F0">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1C27F0">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28,936.49</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365,520.60</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1,048.55</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395,505.64</w:t>
            </w:r>
          </w:p>
        </w:tc>
      </w:tr>
    </w:tbl>
    <w:p w:rsidR="00EC32B2" w:rsidRPr="0036023B" w:rsidRDefault="00EC32B2"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1C27F0">
      <w:pPr>
        <w:autoSpaceDE w:val="0"/>
        <w:autoSpaceDN w:val="0"/>
        <w:adjustRightInd w:val="0"/>
        <w:spacing w:before="29" w:line="288" w:lineRule="auto"/>
        <w:jc w:val="left"/>
        <w:rPr>
          <w:color w:val="000000"/>
          <w:sz w:val="24"/>
        </w:rPr>
      </w:pPr>
    </w:p>
    <w:p w:rsidR="00CF3CDE" w:rsidRPr="0036023B" w:rsidRDefault="00CF3CDE" w:rsidP="001C27F0">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1C27F0">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1C27F0">
      <w:pPr>
        <w:autoSpaceDE w:val="0"/>
        <w:autoSpaceDN w:val="0"/>
        <w:adjustRightInd w:val="0"/>
        <w:spacing w:before="29" w:line="288" w:lineRule="auto"/>
        <w:jc w:val="left"/>
        <w:rPr>
          <w:color w:val="000000"/>
          <w:sz w:val="24"/>
        </w:rPr>
      </w:pPr>
    </w:p>
    <w:p w:rsidR="005D44E4" w:rsidRPr="0036023B" w:rsidRDefault="00CF3CDE" w:rsidP="001C27F0">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1C27F0">
      <w:pPr>
        <w:spacing w:before="29" w:line="288" w:lineRule="auto"/>
        <w:rPr>
          <w:bCs/>
          <w:color w:val="000000"/>
          <w:sz w:val="24"/>
        </w:rPr>
      </w:pPr>
    </w:p>
    <w:p w:rsidR="00220542" w:rsidRPr="0036023B" w:rsidRDefault="004C5189" w:rsidP="001C27F0">
      <w:pPr>
        <w:spacing w:before="29" w:line="288" w:lineRule="auto"/>
        <w:rPr>
          <w:color w:val="000000"/>
          <w:sz w:val="24"/>
        </w:rPr>
      </w:pPr>
      <w:r w:rsidRPr="0036023B">
        <w:rPr>
          <w:color w:val="000000"/>
          <w:sz w:val="24"/>
        </w:rPr>
        <w:lastRenderedPageBreak/>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1C27F0">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1C27F0">
      <w:pPr>
        <w:spacing w:before="29" w:line="288" w:lineRule="auto"/>
        <w:ind w:firstLineChars="200" w:firstLine="480"/>
        <w:rPr>
          <w:color w:val="00000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3,320,524,362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280,000,000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w:t>
            </w:r>
            <w:proofErr w:type="gramStart"/>
            <w:r w:rsidR="00267B74" w:rsidRPr="0036023B">
              <w:rPr>
                <w:color w:val="000000"/>
                <w:kern w:val="0"/>
                <w:sz w:val="24"/>
              </w:rPr>
              <w:t>期</w:t>
            </w:r>
            <w:r w:rsidRPr="0036023B">
              <w:rPr>
                <w:color w:val="000000"/>
                <w:kern w:val="0"/>
                <w:sz w:val="24"/>
              </w:rPr>
              <w:t>基金</w:t>
            </w:r>
            <w:proofErr w:type="gramEnd"/>
            <w:r w:rsidRPr="0036023B">
              <w:rPr>
                <w:color w:val="000000"/>
                <w:kern w:val="0"/>
                <w:sz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495,000,000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3,105,524,362</w:t>
            </w:r>
          </w:p>
        </w:tc>
      </w:tr>
    </w:tbl>
    <w:p w:rsidR="00AA1D9A" w:rsidRDefault="00AA1D9A" w:rsidP="001C27F0">
      <w:pPr>
        <w:autoSpaceDE w:val="0"/>
        <w:autoSpaceDN w:val="0"/>
        <w:adjustRightInd w:val="0"/>
        <w:spacing w:before="29" w:line="288" w:lineRule="auto"/>
        <w:jc w:val="left"/>
        <w:rPr>
          <w:color w:val="000000"/>
          <w:sz w:val="24"/>
        </w:rPr>
      </w:pPr>
    </w:p>
    <w:p w:rsidR="00FC2DA1" w:rsidRPr="00306E46" w:rsidRDefault="00FC2DA1" w:rsidP="006B632E">
      <w:pPr>
        <w:pStyle w:val="1"/>
        <w:tabs>
          <w:tab w:val="center" w:pos="4156"/>
          <w:tab w:val="right" w:pos="8312"/>
        </w:tabs>
        <w:spacing w:beforeLines="100" w:afterLines="100" w:line="360"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w:t>
      </w:r>
      <w:proofErr w:type="gramStart"/>
      <w:r w:rsidRPr="00306E46">
        <w:rPr>
          <w:sz w:val="24"/>
          <w:szCs w:val="24"/>
        </w:rPr>
        <w:t>固有资金</w:t>
      </w:r>
      <w:proofErr w:type="gramEnd"/>
      <w:r w:rsidRPr="00306E46">
        <w:rPr>
          <w:sz w:val="24"/>
          <w:szCs w:val="24"/>
        </w:rPr>
        <w:t>投资本基金情况</w:t>
      </w:r>
    </w:p>
    <w:p w:rsidR="00FC2DA1" w:rsidRPr="00306E46" w:rsidRDefault="00FC2DA1" w:rsidP="00FC2DA1">
      <w:pPr>
        <w:spacing w:line="360" w:lineRule="auto"/>
        <w:jc w:val="left"/>
        <w:rPr>
          <w:sz w:val="24"/>
        </w:rPr>
      </w:pPr>
      <w:r w:rsidRPr="00306E46">
        <w:rPr>
          <w:b/>
          <w:sz w:val="24"/>
        </w:rPr>
        <w:t xml:space="preserve">7.1 </w:t>
      </w:r>
      <w:r w:rsidRPr="00306E46">
        <w:rPr>
          <w:b/>
          <w:sz w:val="24"/>
        </w:rPr>
        <w:t>基金管理人持有本基金份额变动情况</w:t>
      </w:r>
    </w:p>
    <w:p w:rsidR="00CE2DC0" w:rsidRDefault="00FC2DA1" w:rsidP="00CE2DC0">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1223CE" w:rsidRDefault="001223CE" w:rsidP="00CE2DC0">
      <w:pPr>
        <w:autoSpaceDE w:val="0"/>
        <w:autoSpaceDN w:val="0"/>
        <w:adjustRightInd w:val="0"/>
        <w:spacing w:before="29" w:line="288" w:lineRule="auto"/>
        <w:jc w:val="left"/>
        <w:rPr>
          <w:rFonts w:eastAsiaTheme="minorEastAsia"/>
          <w:color w:val="000000"/>
          <w:sz w:val="24"/>
        </w:rPr>
      </w:pPr>
    </w:p>
    <w:p w:rsidR="00764DC3" w:rsidRPr="00CE2DC0" w:rsidRDefault="00FC2DA1" w:rsidP="00CE2DC0">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1C27F0">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1C27F0">
      <w:pPr>
        <w:autoSpaceDE w:val="0"/>
        <w:autoSpaceDN w:val="0"/>
        <w:adjustRightInd w:val="0"/>
        <w:spacing w:before="29" w:line="288" w:lineRule="auto"/>
        <w:jc w:val="left"/>
        <w:rPr>
          <w:color w:val="000000"/>
          <w:sz w:val="24"/>
        </w:rPr>
      </w:pPr>
    </w:p>
    <w:p w:rsidR="00220542" w:rsidRPr="0036023B" w:rsidRDefault="00220542" w:rsidP="006B632E">
      <w:pPr>
        <w:pStyle w:val="1"/>
        <w:spacing w:beforeLines="100" w:after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381855" w:rsidRDefault="001223CE">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381855" w:rsidRDefault="001223CE">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381855" w:rsidRDefault="001223CE">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381855" w:rsidRDefault="001223CE">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381855" w:rsidRDefault="001223CE">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381855" w:rsidRDefault="001223C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81855" w:rsidRDefault="001223C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1C27F0">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1C27F0">
      <w:pPr>
        <w:spacing w:before="29" w:line="288" w:lineRule="auto"/>
        <w:ind w:firstLineChars="200" w:firstLine="480"/>
        <w:rPr>
          <w:color w:val="000000"/>
          <w:sz w:val="24"/>
        </w:rPr>
      </w:pP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1C27F0">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1C27F0">
      <w:pPr>
        <w:spacing w:before="29" w:line="288" w:lineRule="auto"/>
        <w:ind w:firstLineChars="200" w:firstLine="480"/>
        <w:rPr>
          <w:color w:val="000000"/>
          <w:sz w:val="24"/>
        </w:rPr>
      </w:pP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381855" w:rsidRDefault="001223C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1E29D5">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1E29D5">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0C" w:rsidRDefault="0005460C">
      <w:r>
        <w:separator/>
      </w:r>
    </w:p>
  </w:endnote>
  <w:endnote w:type="continuationSeparator" w:id="1">
    <w:p w:rsidR="0005460C" w:rsidRDefault="00054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1D0DB0" w:rsidRDefault="00E57F92" w:rsidP="00230A66">
    <w:pPr>
      <w:pStyle w:val="a6"/>
      <w:jc w:val="center"/>
    </w:pPr>
    <w:r>
      <w:rPr>
        <w:rFonts w:hint="eastAsia"/>
        <w:kern w:val="0"/>
        <w:szCs w:val="21"/>
      </w:rPr>
      <w:t>第</w:t>
    </w:r>
    <w:r w:rsidR="00FB0E92">
      <w:rPr>
        <w:kern w:val="0"/>
        <w:szCs w:val="21"/>
      </w:rPr>
      <w:fldChar w:fldCharType="begin"/>
    </w:r>
    <w:r>
      <w:rPr>
        <w:kern w:val="0"/>
        <w:szCs w:val="21"/>
      </w:rPr>
      <w:instrText xml:space="preserve"> PAGE </w:instrText>
    </w:r>
    <w:r w:rsidR="00FB0E92">
      <w:rPr>
        <w:kern w:val="0"/>
        <w:szCs w:val="21"/>
      </w:rPr>
      <w:fldChar w:fldCharType="separate"/>
    </w:r>
    <w:r w:rsidR="006B632E">
      <w:rPr>
        <w:noProof/>
        <w:kern w:val="0"/>
        <w:szCs w:val="21"/>
      </w:rPr>
      <w:t>10</w:t>
    </w:r>
    <w:r w:rsidR="00FB0E92">
      <w:rPr>
        <w:kern w:val="0"/>
        <w:szCs w:val="21"/>
      </w:rPr>
      <w:fldChar w:fldCharType="end"/>
    </w:r>
    <w:proofErr w:type="gramStart"/>
    <w:r>
      <w:rPr>
        <w:rFonts w:hint="eastAsia"/>
        <w:kern w:val="0"/>
        <w:szCs w:val="21"/>
      </w:rPr>
      <w:t>页共</w:t>
    </w:r>
    <w:proofErr w:type="gramEnd"/>
    <w:r w:rsidR="00FB0E92">
      <w:rPr>
        <w:kern w:val="0"/>
        <w:szCs w:val="21"/>
      </w:rPr>
      <w:fldChar w:fldCharType="begin"/>
    </w:r>
    <w:r>
      <w:rPr>
        <w:kern w:val="0"/>
        <w:szCs w:val="21"/>
      </w:rPr>
      <w:instrText xml:space="preserve"> NUMPAGES </w:instrText>
    </w:r>
    <w:r w:rsidR="00FB0E92">
      <w:rPr>
        <w:kern w:val="0"/>
        <w:szCs w:val="21"/>
      </w:rPr>
      <w:fldChar w:fldCharType="separate"/>
    </w:r>
    <w:r w:rsidR="006B632E">
      <w:rPr>
        <w:noProof/>
        <w:kern w:val="0"/>
        <w:szCs w:val="21"/>
      </w:rPr>
      <w:t>11</w:t>
    </w:r>
    <w:r w:rsidR="00FB0E92">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Default="00FB0E92">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0C" w:rsidRDefault="0005460C">
      <w:r>
        <w:separator/>
      </w:r>
    </w:p>
  </w:footnote>
  <w:footnote w:type="continuationSeparator" w:id="1">
    <w:p w:rsidR="0005460C" w:rsidRDefault="00054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044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460C"/>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3CE"/>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279A0"/>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1855"/>
    <w:rsid w:val="003822D3"/>
    <w:rsid w:val="003834E0"/>
    <w:rsid w:val="00385786"/>
    <w:rsid w:val="00386630"/>
    <w:rsid w:val="00390B25"/>
    <w:rsid w:val="00397156"/>
    <w:rsid w:val="00397960"/>
    <w:rsid w:val="003A0A94"/>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B632E"/>
    <w:rsid w:val="006C168D"/>
    <w:rsid w:val="006C1D5C"/>
    <w:rsid w:val="006C3C80"/>
    <w:rsid w:val="006C3F43"/>
    <w:rsid w:val="006C642C"/>
    <w:rsid w:val="006C6FC6"/>
    <w:rsid w:val="006D32CA"/>
    <w:rsid w:val="006D6A40"/>
    <w:rsid w:val="006D7693"/>
    <w:rsid w:val="006E231B"/>
    <w:rsid w:val="006E346E"/>
    <w:rsid w:val="006E34B7"/>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08CC"/>
    <w:rsid w:val="00881015"/>
    <w:rsid w:val="008810B0"/>
    <w:rsid w:val="008813D6"/>
    <w:rsid w:val="008819B6"/>
    <w:rsid w:val="00881AAC"/>
    <w:rsid w:val="008836B7"/>
    <w:rsid w:val="008841D3"/>
    <w:rsid w:val="0088709F"/>
    <w:rsid w:val="00887DE6"/>
    <w:rsid w:val="00894C2A"/>
    <w:rsid w:val="00897708"/>
    <w:rsid w:val="00897D88"/>
    <w:rsid w:val="008A12CB"/>
    <w:rsid w:val="008A1B92"/>
    <w:rsid w:val="008A2F16"/>
    <w:rsid w:val="008A2F59"/>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BA2"/>
    <w:rsid w:val="00992F83"/>
    <w:rsid w:val="0099508A"/>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1D"/>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3B70"/>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0E92"/>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11</Pages>
  <Words>4555</Words>
  <Characters>1706</Characters>
  <Application>Microsoft Office Word</Application>
  <DocSecurity>0</DocSecurity>
  <Lines>14</Lines>
  <Paragraphs>12</Paragraphs>
  <ScaleCrop>false</ScaleCrop>
  <Company>TRT. Ltd. Co.</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356</cp:revision>
  <cp:lastPrinted>2007-07-19T00:46:00Z</cp:lastPrinted>
  <dcterms:created xsi:type="dcterms:W3CDTF">2012-11-21T04:46:00Z</dcterms:created>
  <dcterms:modified xsi:type="dcterms:W3CDTF">2014-04-16T12:45:00Z</dcterms:modified>
</cp:coreProperties>
</file>