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2279D3" w:rsidRPr="00414345" w:rsidRDefault="002279D3" w:rsidP="00DA14B0">
      <w:pPr>
        <w:spacing w:before="29" w:line="288" w:lineRule="auto"/>
        <w:jc w:val="center"/>
        <w:rPr>
          <w:b/>
          <w:sz w:val="24"/>
          <w:szCs w:val="24"/>
        </w:rPr>
      </w:pPr>
      <w:r w:rsidRPr="00414345">
        <w:rPr>
          <w:b/>
          <w:sz w:val="24"/>
          <w:szCs w:val="24"/>
        </w:rPr>
        <w:t>交银施罗德先锋股票证券投资基金</w:t>
      </w:r>
    </w:p>
    <w:p w:rsidR="002279D3" w:rsidRPr="00414345" w:rsidRDefault="002279D3" w:rsidP="00DA14B0">
      <w:pPr>
        <w:spacing w:before="29" w:line="288" w:lineRule="auto"/>
        <w:jc w:val="center"/>
        <w:rPr>
          <w:b/>
          <w:sz w:val="24"/>
          <w:szCs w:val="24"/>
        </w:rPr>
      </w:pPr>
      <w:r w:rsidRPr="00414345">
        <w:rPr>
          <w:b/>
          <w:sz w:val="24"/>
          <w:szCs w:val="24"/>
        </w:rPr>
        <w:t>2014</w:t>
      </w:r>
      <w:r w:rsidRPr="00414345">
        <w:rPr>
          <w:b/>
          <w:sz w:val="24"/>
          <w:szCs w:val="24"/>
        </w:rPr>
        <w:t>年第</w:t>
      </w:r>
      <w:r w:rsidRPr="00414345">
        <w:rPr>
          <w:b/>
          <w:sz w:val="24"/>
          <w:szCs w:val="24"/>
        </w:rPr>
        <w:t>1</w:t>
      </w:r>
      <w:r w:rsidRPr="00414345">
        <w:rPr>
          <w:b/>
          <w:sz w:val="24"/>
          <w:szCs w:val="24"/>
        </w:rPr>
        <w:t>季度报告</w:t>
      </w:r>
    </w:p>
    <w:p w:rsidR="004061AC" w:rsidRPr="00414345" w:rsidRDefault="00655CD8" w:rsidP="00DA14B0">
      <w:pPr>
        <w:spacing w:before="29" w:line="288" w:lineRule="auto"/>
        <w:jc w:val="center"/>
        <w:rPr>
          <w:sz w:val="24"/>
          <w:szCs w:val="24"/>
        </w:rPr>
      </w:pPr>
      <w:r w:rsidRPr="00414345">
        <w:rPr>
          <w:sz w:val="24"/>
          <w:szCs w:val="24"/>
        </w:rPr>
        <w:t>2014</w:t>
      </w:r>
      <w:r w:rsidRPr="00414345">
        <w:rPr>
          <w:sz w:val="24"/>
          <w:szCs w:val="24"/>
        </w:rPr>
        <w:t>年</w:t>
      </w:r>
      <w:r w:rsidRPr="00414345">
        <w:rPr>
          <w:sz w:val="24"/>
          <w:szCs w:val="24"/>
        </w:rPr>
        <w:t>3</w:t>
      </w:r>
      <w:r w:rsidRPr="00414345">
        <w:rPr>
          <w:sz w:val="24"/>
          <w:szCs w:val="24"/>
        </w:rPr>
        <w:t>月</w:t>
      </w:r>
      <w:r w:rsidRPr="00414345">
        <w:rPr>
          <w:sz w:val="24"/>
          <w:szCs w:val="24"/>
        </w:rPr>
        <w:t>31</w:t>
      </w:r>
      <w:r w:rsidRPr="00414345">
        <w:rPr>
          <w:sz w:val="24"/>
          <w:szCs w:val="24"/>
        </w:rPr>
        <w:t>日</w:t>
      </w: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基金管理人：交银施罗德基金管理有限公司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基金托管人：中国农业银行股份有限公司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b/>
          <w:color w:val="000000"/>
          <w:sz w:val="24"/>
          <w:szCs w:val="24"/>
        </w:rPr>
        <w:sectPr w:rsidR="004061AC" w:rsidRPr="00414345" w:rsidSect="00000678">
          <w:headerReference w:type="default" r:id="rId8"/>
          <w:footerReference w:type="default" r:id="rId9"/>
          <w:pgSz w:w="11926" w:h="15840"/>
          <w:pgMar w:top="1418" w:right="1440" w:bottom="851" w:left="1440" w:header="851" w:footer="992" w:gutter="0"/>
          <w:cols w:space="720"/>
          <w:noEndnote/>
        </w:sectPr>
      </w:pPr>
      <w:r w:rsidRPr="00414345">
        <w:rPr>
          <w:color w:val="000000"/>
          <w:sz w:val="24"/>
          <w:szCs w:val="24"/>
        </w:rPr>
        <w:t>报告送出日期：</w:t>
      </w:r>
      <w:r w:rsidR="00F16E3F" w:rsidRPr="00414345">
        <w:rPr>
          <w:color w:val="000000"/>
          <w:sz w:val="24"/>
          <w:szCs w:val="24"/>
        </w:rPr>
        <w:t>二〇一四年四月二十二日</w:t>
      </w:r>
    </w:p>
    <w:p w:rsidR="004061AC" w:rsidRPr="00414345" w:rsidRDefault="004061AC" w:rsidP="00DE0647">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C1B2A" w:rsidRDefault="00A8515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C1B2A" w:rsidRDefault="00A85155">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C1B2A" w:rsidRDefault="00A8515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C1B2A" w:rsidRDefault="00A8515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C1B2A" w:rsidRDefault="00A8515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DA14B0">
      <w:pPr>
        <w:spacing w:before="29" w:line="288" w:lineRule="auto"/>
        <w:ind w:firstLineChars="200" w:firstLine="480"/>
        <w:rPr>
          <w:color w:val="000000"/>
          <w:sz w:val="24"/>
          <w:szCs w:val="24"/>
        </w:rPr>
      </w:pPr>
    </w:p>
    <w:p w:rsidR="004061AC" w:rsidRPr="00414345" w:rsidRDefault="004061AC" w:rsidP="00DE0647">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DA14B0">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DA14B0">
            <w:pPr>
              <w:adjustRightInd w:val="0"/>
              <w:spacing w:before="29" w:line="288" w:lineRule="auto"/>
              <w:ind w:left="17"/>
              <w:jc w:val="left"/>
              <w:rPr>
                <w:color w:val="000000"/>
                <w:kern w:val="0"/>
                <w:sz w:val="24"/>
                <w:szCs w:val="24"/>
              </w:rPr>
            </w:pPr>
            <w:r w:rsidRPr="00414345">
              <w:rPr>
                <w:color w:val="000000"/>
                <w:kern w:val="0"/>
                <w:sz w:val="24"/>
                <w:szCs w:val="24"/>
              </w:rPr>
              <w:t>交银先锋股票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987,915,075.09</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中信标普全债指数</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本基金是一只股票型基金，以具有持续成长潜力企业</w:t>
            </w:r>
            <w:r w:rsidRPr="00414345">
              <w:rPr>
                <w:color w:val="000000"/>
                <w:kern w:val="0"/>
                <w:sz w:val="24"/>
                <w:szCs w:val="24"/>
              </w:rPr>
              <w:lastRenderedPageBreak/>
              <w:t>的股票，特别是处于快速成长过程中的中型及小型企业为主要投资对象，属于证券投资基金中较高预期收益和较高风险的品种。</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DA14B0">
      <w:pPr>
        <w:autoSpaceDE w:val="0"/>
        <w:autoSpaceDN w:val="0"/>
        <w:adjustRightInd w:val="0"/>
        <w:spacing w:before="29" w:line="288" w:lineRule="auto"/>
        <w:jc w:val="left"/>
        <w:rPr>
          <w:color w:val="000000"/>
          <w:kern w:val="0"/>
          <w:sz w:val="24"/>
          <w:szCs w:val="24"/>
        </w:rPr>
      </w:pPr>
    </w:p>
    <w:p w:rsidR="004061AC" w:rsidRPr="00414345" w:rsidRDefault="004061AC" w:rsidP="00DE0647">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E0647" w:rsidRPr="00414345" w:rsidTr="00DE0647">
        <w:trPr>
          <w:jc w:val="center"/>
        </w:trPr>
        <w:tc>
          <w:tcPr>
            <w:tcW w:w="3402" w:type="dxa"/>
            <w:vAlign w:val="center"/>
          </w:tcPr>
          <w:p w:rsidR="00C21520" w:rsidRPr="00414345" w:rsidRDefault="00C21520" w:rsidP="00DA14B0">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DE0647" w:rsidRPr="00414345" w:rsidTr="00DE0647">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6,964,075.03</w:t>
            </w:r>
          </w:p>
        </w:tc>
      </w:tr>
      <w:tr w:rsidR="00DE0647" w:rsidRPr="00414345" w:rsidTr="00DE0647">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-19,639,803.65</w:t>
            </w:r>
          </w:p>
        </w:tc>
      </w:tr>
      <w:tr w:rsidR="00DE0647" w:rsidRPr="00414345" w:rsidTr="00DE0647">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-0.0192</w:t>
            </w:r>
          </w:p>
        </w:tc>
      </w:tr>
      <w:tr w:rsidR="00DE0647" w:rsidRPr="00414345" w:rsidTr="00DE0647">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1,141,736,012.70</w:t>
            </w:r>
          </w:p>
        </w:tc>
      </w:tr>
      <w:tr w:rsidR="00DE0647" w:rsidRPr="00414345" w:rsidTr="00DE0647">
        <w:trPr>
          <w:trHeight w:val="158"/>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1.1557</w:t>
            </w:r>
          </w:p>
        </w:tc>
      </w:tr>
    </w:tbl>
    <w:p w:rsidR="005C1B2A" w:rsidRDefault="00A8515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C1B2A">
        <w:trPr>
          <w:jc w:val="center"/>
        </w:trPr>
        <w:tc>
          <w:tcPr>
            <w:tcW w:w="1701" w:type="dxa"/>
            <w:vAlign w:val="center"/>
          </w:tcPr>
          <w:p w:rsidR="005C1B2A" w:rsidRDefault="00A85155">
            <w:pPr>
              <w:jc w:val="left"/>
            </w:pPr>
            <w:r>
              <w:rPr>
                <w:color w:val="000000"/>
                <w:sz w:val="24"/>
                <w:szCs w:val="24"/>
              </w:rPr>
              <w:t>过去三个月</w:t>
            </w:r>
          </w:p>
        </w:tc>
        <w:tc>
          <w:tcPr>
            <w:tcW w:w="1045" w:type="dxa"/>
            <w:vAlign w:val="center"/>
          </w:tcPr>
          <w:p w:rsidR="005C1B2A" w:rsidRDefault="00A85155">
            <w:pPr>
              <w:jc w:val="center"/>
            </w:pPr>
            <w:r>
              <w:rPr>
                <w:color w:val="000000"/>
                <w:sz w:val="24"/>
                <w:szCs w:val="24"/>
              </w:rPr>
              <w:t>-1.88%</w:t>
            </w:r>
          </w:p>
        </w:tc>
        <w:tc>
          <w:tcPr>
            <w:tcW w:w="1344" w:type="dxa"/>
            <w:vAlign w:val="center"/>
          </w:tcPr>
          <w:p w:rsidR="005C1B2A" w:rsidRDefault="00A85155">
            <w:pPr>
              <w:jc w:val="center"/>
            </w:pPr>
            <w:r>
              <w:rPr>
                <w:color w:val="000000"/>
                <w:sz w:val="24"/>
                <w:szCs w:val="24"/>
              </w:rPr>
              <w:t>1.32%</w:t>
            </w:r>
          </w:p>
        </w:tc>
        <w:tc>
          <w:tcPr>
            <w:tcW w:w="1194" w:type="dxa"/>
            <w:vAlign w:val="center"/>
          </w:tcPr>
          <w:p w:rsidR="005C1B2A" w:rsidRDefault="00A85155">
            <w:pPr>
              <w:jc w:val="center"/>
            </w:pPr>
            <w:r>
              <w:rPr>
                <w:color w:val="000000"/>
                <w:sz w:val="24"/>
                <w:szCs w:val="24"/>
              </w:rPr>
              <w:t>-2.20%</w:t>
            </w:r>
          </w:p>
        </w:tc>
        <w:tc>
          <w:tcPr>
            <w:tcW w:w="1492" w:type="dxa"/>
            <w:vAlign w:val="center"/>
          </w:tcPr>
          <w:p w:rsidR="005C1B2A" w:rsidRDefault="00A85155">
            <w:pPr>
              <w:jc w:val="center"/>
            </w:pPr>
            <w:r>
              <w:rPr>
                <w:color w:val="000000"/>
                <w:sz w:val="24"/>
                <w:szCs w:val="24"/>
              </w:rPr>
              <w:t>1.04%</w:t>
            </w:r>
          </w:p>
        </w:tc>
        <w:tc>
          <w:tcPr>
            <w:tcW w:w="1194" w:type="dxa"/>
            <w:vAlign w:val="center"/>
          </w:tcPr>
          <w:p w:rsidR="005C1B2A" w:rsidRDefault="00A85155">
            <w:pPr>
              <w:jc w:val="center"/>
            </w:pPr>
            <w:r>
              <w:rPr>
                <w:color w:val="000000"/>
                <w:sz w:val="24"/>
                <w:szCs w:val="24"/>
              </w:rPr>
              <w:t>0.32%</w:t>
            </w:r>
          </w:p>
        </w:tc>
        <w:tc>
          <w:tcPr>
            <w:tcW w:w="898" w:type="dxa"/>
            <w:vAlign w:val="center"/>
          </w:tcPr>
          <w:p w:rsidR="005C1B2A" w:rsidRDefault="00A85155">
            <w:pPr>
              <w:jc w:val="center"/>
            </w:pPr>
            <w:r>
              <w:rPr>
                <w:color w:val="000000"/>
                <w:sz w:val="24"/>
                <w:szCs w:val="24"/>
              </w:rPr>
              <w:t>0.28%</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C6002A" w:rsidRPr="00414345">
        <w:rPr>
          <w:b/>
          <w:bCs/>
          <w:color w:val="000000"/>
          <w:sz w:val="24"/>
        </w:rPr>
        <w:t>自基金合同生效以来基金份额累计净值增长率变动及其与同期业绩比较基准收益率变动的比较</w:t>
      </w:r>
    </w:p>
    <w:p w:rsidR="008606B6" w:rsidRPr="00414345" w:rsidRDefault="008606B6" w:rsidP="00DA14B0">
      <w:pPr>
        <w:spacing w:before="29" w:line="288" w:lineRule="auto"/>
        <w:jc w:val="center"/>
        <w:rPr>
          <w:color w:val="000000"/>
          <w:sz w:val="24"/>
          <w:szCs w:val="24"/>
        </w:rPr>
      </w:pPr>
      <w:r w:rsidRPr="00414345">
        <w:rPr>
          <w:color w:val="000000"/>
          <w:sz w:val="24"/>
          <w:szCs w:val="24"/>
        </w:rPr>
        <w:t>交银施罗德先锋股票证券投资基金</w:t>
      </w:r>
    </w:p>
    <w:p w:rsidR="004061AC" w:rsidRPr="00414345" w:rsidRDefault="00B56F53"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DA14B0">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383857" w:rsidRDefault="00693843" w:rsidP="00DA14B0">
      <w:pPr>
        <w:tabs>
          <w:tab w:val="left" w:pos="1800"/>
        </w:tabs>
        <w:spacing w:before="29" w:line="288" w:lineRule="auto"/>
        <w:rPr>
          <w:color w:val="000000"/>
          <w:sz w:val="24"/>
          <w:szCs w:val="24"/>
        </w:rPr>
      </w:pPr>
    </w:p>
    <w:p w:rsidR="004061AC" w:rsidRPr="00414345" w:rsidRDefault="004061AC" w:rsidP="00DE0647">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850"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1560"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DA14B0">
            <w:pPr>
              <w:widowControl/>
              <w:spacing w:before="29" w:line="288" w:lineRule="auto"/>
              <w:jc w:val="left"/>
              <w:rPr>
                <w:color w:val="000000"/>
                <w:kern w:val="0"/>
                <w:sz w:val="24"/>
                <w:szCs w:val="24"/>
              </w:rPr>
            </w:pPr>
          </w:p>
        </w:tc>
      </w:tr>
      <w:tr w:rsidR="005C1B2A">
        <w:trPr>
          <w:jc w:val="center"/>
        </w:trPr>
        <w:tc>
          <w:tcPr>
            <w:tcW w:w="846" w:type="dxa"/>
            <w:vAlign w:val="center"/>
          </w:tcPr>
          <w:p w:rsidR="005C1B2A" w:rsidRDefault="00A85155">
            <w:pPr>
              <w:jc w:val="center"/>
            </w:pPr>
            <w:r>
              <w:rPr>
                <w:color w:val="000000"/>
                <w:sz w:val="24"/>
                <w:szCs w:val="24"/>
              </w:rPr>
              <w:t>王少成</w:t>
            </w:r>
          </w:p>
        </w:tc>
        <w:tc>
          <w:tcPr>
            <w:tcW w:w="845" w:type="dxa"/>
            <w:vAlign w:val="center"/>
          </w:tcPr>
          <w:p w:rsidR="005C1B2A" w:rsidRDefault="00A85155" w:rsidP="007000A9">
            <w:pPr>
              <w:jc w:val="center"/>
            </w:pPr>
            <w:r>
              <w:rPr>
                <w:color w:val="000000"/>
                <w:sz w:val="24"/>
                <w:szCs w:val="24"/>
              </w:rPr>
              <w:t>本基金、交银先进制造股票、交银成长</w:t>
            </w:r>
            <w:r>
              <w:rPr>
                <w:color w:val="000000"/>
                <w:sz w:val="24"/>
                <w:szCs w:val="24"/>
              </w:rPr>
              <w:t>30</w:t>
            </w:r>
            <w:r>
              <w:rPr>
                <w:color w:val="000000"/>
                <w:sz w:val="24"/>
                <w:szCs w:val="24"/>
              </w:rPr>
              <w:t>股票的基金经理</w:t>
            </w:r>
          </w:p>
        </w:tc>
        <w:tc>
          <w:tcPr>
            <w:tcW w:w="1549" w:type="dxa"/>
            <w:vAlign w:val="center"/>
          </w:tcPr>
          <w:p w:rsidR="005C1B2A" w:rsidRDefault="00A85155">
            <w:pPr>
              <w:jc w:val="center"/>
            </w:pPr>
            <w:r>
              <w:rPr>
                <w:color w:val="000000"/>
                <w:sz w:val="24"/>
                <w:szCs w:val="24"/>
              </w:rPr>
              <w:t>2013-05-29</w:t>
            </w:r>
          </w:p>
        </w:tc>
        <w:tc>
          <w:tcPr>
            <w:tcW w:w="1548" w:type="dxa"/>
            <w:vAlign w:val="center"/>
          </w:tcPr>
          <w:p w:rsidR="005C1B2A" w:rsidRDefault="00A85155">
            <w:pPr>
              <w:jc w:val="center"/>
            </w:pPr>
            <w:r>
              <w:rPr>
                <w:color w:val="000000"/>
                <w:sz w:val="24"/>
                <w:szCs w:val="24"/>
              </w:rPr>
              <w:t>-</w:t>
            </w:r>
          </w:p>
        </w:tc>
        <w:tc>
          <w:tcPr>
            <w:tcW w:w="1407" w:type="dxa"/>
            <w:vAlign w:val="center"/>
          </w:tcPr>
          <w:p w:rsidR="005C1B2A" w:rsidRDefault="00A85155">
            <w:pPr>
              <w:jc w:val="center"/>
            </w:pPr>
            <w:r>
              <w:rPr>
                <w:color w:val="000000"/>
                <w:sz w:val="24"/>
                <w:szCs w:val="24"/>
              </w:rPr>
              <w:t>10</w:t>
            </w:r>
            <w:r>
              <w:rPr>
                <w:color w:val="000000"/>
                <w:sz w:val="24"/>
                <w:szCs w:val="24"/>
              </w:rPr>
              <w:t>年</w:t>
            </w:r>
          </w:p>
        </w:tc>
        <w:tc>
          <w:tcPr>
            <w:tcW w:w="2673" w:type="dxa"/>
            <w:vAlign w:val="center"/>
          </w:tcPr>
          <w:p w:rsidR="005C1B2A" w:rsidRDefault="00A85155">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DA14B0">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C1B2A" w:rsidRDefault="00A8515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C1B2A" w:rsidRDefault="00A8515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C1B2A" w:rsidRDefault="00A8515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DA14B0">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DA14B0">
      <w:pPr>
        <w:spacing w:before="29" w:line="288" w:lineRule="auto"/>
        <w:ind w:firstLineChars="200" w:firstLine="480"/>
        <w:rPr>
          <w:color w:val="000000"/>
          <w:sz w:val="24"/>
          <w:szCs w:val="24"/>
        </w:rPr>
      </w:pPr>
      <w:r w:rsidRPr="00414345">
        <w:rPr>
          <w:color w:val="000000"/>
          <w:sz w:val="24"/>
          <w:szCs w:val="24"/>
        </w:rPr>
        <w:t>本报告期内，本公司管理的所有投资组合未发生参与的交易所公开竞价同日反向交易成交较少的单边交易量超过该证券当日总成交量</w:t>
      </w:r>
      <w:r w:rsidRPr="00414345">
        <w:rPr>
          <w:color w:val="000000"/>
          <w:sz w:val="24"/>
          <w:szCs w:val="24"/>
        </w:rPr>
        <w:t>5%</w:t>
      </w:r>
      <w:r w:rsidRPr="00414345">
        <w:rPr>
          <w:color w:val="000000"/>
          <w:sz w:val="24"/>
          <w:szCs w:val="24"/>
        </w:rPr>
        <w:t>的情形。本基金于本报告期内未出现异常交易行为。</w:t>
      </w:r>
    </w:p>
    <w:p w:rsidR="004061AC" w:rsidRPr="00414345" w:rsidRDefault="004061AC"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C1B2A" w:rsidRDefault="00A85155">
      <w:pPr>
        <w:spacing w:before="29" w:line="288" w:lineRule="auto"/>
        <w:ind w:firstLineChars="200" w:firstLine="480"/>
        <w:rPr>
          <w:color w:val="000000"/>
          <w:sz w:val="24"/>
          <w:szCs w:val="24"/>
        </w:rPr>
      </w:pPr>
      <w:r>
        <w:rPr>
          <w:color w:val="000000"/>
          <w:sz w:val="24"/>
          <w:szCs w:val="24"/>
        </w:rPr>
        <w:t>2014</w:t>
      </w:r>
      <w:r>
        <w:rPr>
          <w:color w:val="000000"/>
          <w:sz w:val="24"/>
          <w:szCs w:val="24"/>
        </w:rPr>
        <w:t>年一季度沪深</w:t>
      </w:r>
      <w:r>
        <w:rPr>
          <w:color w:val="000000"/>
          <w:sz w:val="24"/>
          <w:szCs w:val="24"/>
        </w:rPr>
        <w:t>300</w:t>
      </w:r>
      <w:r>
        <w:rPr>
          <w:color w:val="000000"/>
          <w:sz w:val="24"/>
          <w:szCs w:val="24"/>
        </w:rPr>
        <w:t>指数下跌</w:t>
      </w:r>
      <w:r>
        <w:rPr>
          <w:color w:val="000000"/>
          <w:sz w:val="24"/>
          <w:szCs w:val="24"/>
        </w:rPr>
        <w:t>7.89%</w:t>
      </w:r>
      <w:r>
        <w:rPr>
          <w:color w:val="000000"/>
          <w:sz w:val="24"/>
          <w:szCs w:val="24"/>
        </w:rPr>
        <w:t>，本基金的业绩比较基准下跌</w:t>
      </w:r>
      <w:r>
        <w:rPr>
          <w:color w:val="000000"/>
          <w:sz w:val="24"/>
          <w:szCs w:val="24"/>
        </w:rPr>
        <w:t>2.20%</w:t>
      </w:r>
      <w:r>
        <w:rPr>
          <w:color w:val="000000"/>
          <w:sz w:val="24"/>
          <w:szCs w:val="24"/>
        </w:rPr>
        <w:t>，本基金净值下跌</w:t>
      </w:r>
      <w:r>
        <w:rPr>
          <w:color w:val="000000"/>
          <w:sz w:val="24"/>
          <w:szCs w:val="24"/>
        </w:rPr>
        <w:t>1.88%</w:t>
      </w:r>
      <w:r>
        <w:rPr>
          <w:color w:val="000000"/>
          <w:sz w:val="24"/>
          <w:szCs w:val="24"/>
        </w:rPr>
        <w:t>，跑赢沪深</w:t>
      </w:r>
      <w:r>
        <w:rPr>
          <w:color w:val="000000"/>
          <w:sz w:val="24"/>
          <w:szCs w:val="24"/>
        </w:rPr>
        <w:t>300</w:t>
      </w:r>
      <w:r>
        <w:rPr>
          <w:color w:val="000000"/>
          <w:sz w:val="24"/>
          <w:szCs w:val="24"/>
        </w:rPr>
        <w:t>指数和业绩比较基准。</w:t>
      </w:r>
    </w:p>
    <w:p w:rsidR="005C1B2A" w:rsidRDefault="00A85155">
      <w:pPr>
        <w:spacing w:before="29" w:line="288" w:lineRule="auto"/>
        <w:ind w:firstLineChars="200" w:firstLine="480"/>
        <w:rPr>
          <w:color w:val="000000"/>
          <w:sz w:val="24"/>
          <w:szCs w:val="24"/>
        </w:rPr>
      </w:pPr>
      <w:r>
        <w:rPr>
          <w:color w:val="000000"/>
          <w:sz w:val="24"/>
          <w:szCs w:val="24"/>
        </w:rPr>
        <w:t>2014</w:t>
      </w:r>
      <w:r>
        <w:rPr>
          <w:color w:val="000000"/>
          <w:sz w:val="24"/>
          <w:szCs w:val="24"/>
        </w:rPr>
        <w:t>年一季度</w:t>
      </w:r>
      <w:r>
        <w:rPr>
          <w:color w:val="000000"/>
          <w:sz w:val="24"/>
          <w:szCs w:val="24"/>
        </w:rPr>
        <w:t>A</w:t>
      </w:r>
      <w:r>
        <w:rPr>
          <w:color w:val="000000"/>
          <w:sz w:val="24"/>
          <w:szCs w:val="24"/>
        </w:rPr>
        <w:t>股市场先涨后跌。一季度主题投资疯狂演绎的同时，机构投资者的重仓持股普遍却持续下跌，很难完全从基本面的角度来解释这种鲜明的反差。由于宏观经济层面的风险因素逐步凸显，</w:t>
      </w:r>
      <w:r>
        <w:rPr>
          <w:color w:val="000000"/>
          <w:sz w:val="24"/>
          <w:szCs w:val="24"/>
        </w:rPr>
        <w:t>A</w:t>
      </w:r>
      <w:r>
        <w:rPr>
          <w:color w:val="000000"/>
          <w:sz w:val="24"/>
          <w:szCs w:val="24"/>
        </w:rPr>
        <w:t>股市场的投机热情出现整体性的退潮。本基金保持了中性仓位，恪守核心持仓，放弃主题性板块的炒作。短期业绩虽然有一定压力，相信在当前中国的宏观经济局面下，只有理性的投资者才能活地更长和更好。</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2014</w:t>
      </w:r>
      <w:r w:rsidRPr="00414345">
        <w:rPr>
          <w:color w:val="000000"/>
          <w:sz w:val="24"/>
          <w:szCs w:val="24"/>
        </w:rPr>
        <w:t>年二季度</w:t>
      </w:r>
      <w:r w:rsidRPr="00414345">
        <w:rPr>
          <w:color w:val="000000"/>
          <w:sz w:val="24"/>
          <w:szCs w:val="24"/>
        </w:rPr>
        <w:t>A</w:t>
      </w:r>
      <w:r w:rsidRPr="00414345">
        <w:rPr>
          <w:color w:val="000000"/>
          <w:sz w:val="24"/>
          <w:szCs w:val="24"/>
        </w:rPr>
        <w:t>股市场的关键词是风险。宏观经济在二季度如何演绎，政府稳增长政策如何落地，对冲效果如何需要持续地观察。虽然近期消费数据也较为疲软，消费龙头公司整体业绩增速也存在下台阶的压力，但龙头消费类企业稳定的业绩成长性在未来一个阶段中国宏观经济背景下会越发显得稀缺。</w:t>
      </w:r>
    </w:p>
    <w:p w:rsidR="00627E2D" w:rsidRPr="00414345" w:rsidRDefault="00627E2D"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1.1557</w:t>
      </w:r>
      <w:r w:rsidRPr="00414345">
        <w:rPr>
          <w:color w:val="000000"/>
          <w:sz w:val="24"/>
          <w:szCs w:val="24"/>
        </w:rPr>
        <w:t>元，本报告期份额净值增长率为</w:t>
      </w:r>
      <w:r w:rsidRPr="00414345">
        <w:rPr>
          <w:color w:val="000000"/>
          <w:sz w:val="24"/>
          <w:szCs w:val="24"/>
        </w:rPr>
        <w:t>-1.88%</w:t>
      </w:r>
      <w:r w:rsidRPr="00414345">
        <w:rPr>
          <w:color w:val="000000"/>
          <w:sz w:val="24"/>
          <w:szCs w:val="24"/>
        </w:rPr>
        <w:t>，同期业绩比较基准增长率为</w:t>
      </w:r>
      <w:r w:rsidRPr="00414345">
        <w:rPr>
          <w:color w:val="000000"/>
          <w:sz w:val="24"/>
          <w:szCs w:val="24"/>
        </w:rPr>
        <w:t>-2.20%</w:t>
      </w:r>
      <w:r w:rsidRPr="00414345">
        <w:rPr>
          <w:color w:val="000000"/>
          <w:sz w:val="24"/>
          <w:szCs w:val="24"/>
        </w:rPr>
        <w:t>。</w:t>
      </w:r>
    </w:p>
    <w:p w:rsidR="009C5186" w:rsidRPr="00414345" w:rsidRDefault="009C5186" w:rsidP="00DA14B0">
      <w:pPr>
        <w:spacing w:before="29" w:line="288" w:lineRule="auto"/>
        <w:ind w:firstLineChars="200" w:firstLine="480"/>
        <w:rPr>
          <w:color w:val="000000"/>
          <w:sz w:val="24"/>
          <w:szCs w:val="24"/>
        </w:rPr>
      </w:pPr>
    </w:p>
    <w:p w:rsidR="004061AC" w:rsidRPr="00414345" w:rsidRDefault="004061AC" w:rsidP="00DE0647">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DA14B0">
            <w:pPr>
              <w:spacing w:before="29" w:line="288" w:lineRule="auto"/>
              <w:ind w:left="17"/>
              <w:jc w:val="right"/>
              <w:rPr>
                <w:color w:val="000000"/>
                <w:sz w:val="24"/>
                <w:szCs w:val="24"/>
              </w:rPr>
            </w:pPr>
            <w:r w:rsidRPr="00414345">
              <w:rPr>
                <w:color w:val="000000"/>
                <w:sz w:val="24"/>
                <w:szCs w:val="24"/>
              </w:rPr>
              <w:t>941,543,652.27</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82.19</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941,543,652.27</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82.19</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50,000,000.00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4.36</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50,000,000.00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4.36</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7C395A">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DA14B0">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5142B9">
            <w:pPr>
              <w:spacing w:before="29" w:line="360"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151,664,745.48</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13.24</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DA14B0">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2,363,486.96</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0.21</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DA14B0">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1,145,571,884.71</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DA14B0">
      <w:pPr>
        <w:autoSpaceDE w:val="0"/>
        <w:autoSpaceDN w:val="0"/>
        <w:adjustRightInd w:val="0"/>
        <w:spacing w:before="29" w:line="288" w:lineRule="auto"/>
        <w:jc w:val="left"/>
        <w:rPr>
          <w:color w:val="00000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E0647">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E0647">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798,455,070.25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69.93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16,869,250.20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51,665,629.36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4232B">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33,496,928.00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41,056,774.46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941,543,652.27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82.47</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C1B2A">
        <w:trPr>
          <w:jc w:val="center"/>
        </w:trPr>
        <w:tc>
          <w:tcPr>
            <w:tcW w:w="855" w:type="dxa"/>
            <w:vAlign w:val="center"/>
          </w:tcPr>
          <w:p w:rsidR="005C1B2A" w:rsidRDefault="00A85155">
            <w:pPr>
              <w:jc w:val="center"/>
            </w:pPr>
            <w:r>
              <w:rPr>
                <w:color w:val="000000"/>
                <w:sz w:val="24"/>
                <w:szCs w:val="24"/>
              </w:rPr>
              <w:t>1</w:t>
            </w:r>
          </w:p>
        </w:tc>
        <w:tc>
          <w:tcPr>
            <w:tcW w:w="1334" w:type="dxa"/>
            <w:vAlign w:val="center"/>
          </w:tcPr>
          <w:p w:rsidR="005C1B2A" w:rsidRDefault="00A85155">
            <w:pPr>
              <w:jc w:val="center"/>
            </w:pPr>
            <w:r>
              <w:rPr>
                <w:color w:val="000000"/>
                <w:sz w:val="24"/>
                <w:szCs w:val="24"/>
              </w:rPr>
              <w:t>600967</w:t>
            </w:r>
          </w:p>
        </w:tc>
        <w:tc>
          <w:tcPr>
            <w:tcW w:w="1777" w:type="dxa"/>
            <w:vAlign w:val="center"/>
          </w:tcPr>
          <w:p w:rsidR="005C1B2A" w:rsidRDefault="00A85155">
            <w:pPr>
              <w:jc w:val="center"/>
            </w:pPr>
            <w:r>
              <w:rPr>
                <w:color w:val="000000"/>
                <w:sz w:val="24"/>
                <w:szCs w:val="24"/>
              </w:rPr>
              <w:t>北方创业</w:t>
            </w:r>
          </w:p>
        </w:tc>
        <w:tc>
          <w:tcPr>
            <w:tcW w:w="1334" w:type="dxa"/>
            <w:vAlign w:val="center"/>
          </w:tcPr>
          <w:p w:rsidR="005C1B2A" w:rsidRDefault="00A85155">
            <w:pPr>
              <w:jc w:val="right"/>
            </w:pPr>
            <w:r>
              <w:rPr>
                <w:color w:val="000000"/>
                <w:sz w:val="24"/>
                <w:szCs w:val="24"/>
              </w:rPr>
              <w:t>5,619,936</w:t>
            </w:r>
          </w:p>
        </w:tc>
        <w:tc>
          <w:tcPr>
            <w:tcW w:w="1924" w:type="dxa"/>
            <w:vAlign w:val="center"/>
          </w:tcPr>
          <w:p w:rsidR="005C1B2A" w:rsidRDefault="00A85155">
            <w:pPr>
              <w:jc w:val="right"/>
            </w:pPr>
            <w:r>
              <w:rPr>
                <w:color w:val="000000"/>
                <w:sz w:val="24"/>
                <w:szCs w:val="24"/>
              </w:rPr>
              <w:t>98,742,275.52</w:t>
            </w:r>
          </w:p>
        </w:tc>
        <w:tc>
          <w:tcPr>
            <w:tcW w:w="1644" w:type="dxa"/>
            <w:vAlign w:val="center"/>
          </w:tcPr>
          <w:p w:rsidR="005C1B2A" w:rsidRDefault="00A85155">
            <w:pPr>
              <w:jc w:val="right"/>
            </w:pPr>
            <w:r>
              <w:rPr>
                <w:color w:val="000000"/>
                <w:sz w:val="24"/>
                <w:szCs w:val="24"/>
              </w:rPr>
              <w:t>8.65</w:t>
            </w:r>
          </w:p>
        </w:tc>
      </w:tr>
      <w:tr w:rsidR="005C1B2A">
        <w:trPr>
          <w:jc w:val="center"/>
        </w:trPr>
        <w:tc>
          <w:tcPr>
            <w:tcW w:w="855" w:type="dxa"/>
            <w:vAlign w:val="center"/>
          </w:tcPr>
          <w:p w:rsidR="005C1B2A" w:rsidRDefault="00A85155">
            <w:pPr>
              <w:jc w:val="center"/>
            </w:pPr>
            <w:r>
              <w:rPr>
                <w:color w:val="000000"/>
                <w:sz w:val="24"/>
                <w:szCs w:val="24"/>
              </w:rPr>
              <w:t>2</w:t>
            </w:r>
          </w:p>
        </w:tc>
        <w:tc>
          <w:tcPr>
            <w:tcW w:w="1334" w:type="dxa"/>
            <w:vAlign w:val="center"/>
          </w:tcPr>
          <w:p w:rsidR="005C1B2A" w:rsidRDefault="00A85155">
            <w:pPr>
              <w:jc w:val="center"/>
            </w:pPr>
            <w:r>
              <w:rPr>
                <w:color w:val="000000"/>
                <w:sz w:val="24"/>
                <w:szCs w:val="24"/>
              </w:rPr>
              <w:t>000100</w:t>
            </w:r>
          </w:p>
        </w:tc>
        <w:tc>
          <w:tcPr>
            <w:tcW w:w="1777" w:type="dxa"/>
            <w:vAlign w:val="center"/>
          </w:tcPr>
          <w:p w:rsidR="005C1B2A" w:rsidRDefault="00A85155">
            <w:pPr>
              <w:jc w:val="center"/>
            </w:pPr>
            <w:r>
              <w:rPr>
                <w:color w:val="000000"/>
                <w:sz w:val="24"/>
                <w:szCs w:val="24"/>
              </w:rPr>
              <w:t xml:space="preserve">TCL </w:t>
            </w:r>
            <w:r>
              <w:rPr>
                <w:color w:val="000000"/>
                <w:sz w:val="24"/>
                <w:szCs w:val="24"/>
              </w:rPr>
              <w:t>集团</w:t>
            </w:r>
          </w:p>
        </w:tc>
        <w:tc>
          <w:tcPr>
            <w:tcW w:w="1334" w:type="dxa"/>
            <w:vAlign w:val="center"/>
          </w:tcPr>
          <w:p w:rsidR="005C1B2A" w:rsidRDefault="00A85155">
            <w:pPr>
              <w:jc w:val="right"/>
            </w:pPr>
            <w:r>
              <w:rPr>
                <w:color w:val="000000"/>
                <w:sz w:val="24"/>
                <w:szCs w:val="24"/>
              </w:rPr>
              <w:t>38,993,454</w:t>
            </w:r>
          </w:p>
        </w:tc>
        <w:tc>
          <w:tcPr>
            <w:tcW w:w="1924" w:type="dxa"/>
            <w:vAlign w:val="center"/>
          </w:tcPr>
          <w:p w:rsidR="005C1B2A" w:rsidRDefault="00A85155">
            <w:pPr>
              <w:jc w:val="right"/>
            </w:pPr>
            <w:r>
              <w:rPr>
                <w:color w:val="000000"/>
                <w:sz w:val="24"/>
                <w:szCs w:val="24"/>
              </w:rPr>
              <w:t>98,653,438.62</w:t>
            </w:r>
          </w:p>
        </w:tc>
        <w:tc>
          <w:tcPr>
            <w:tcW w:w="1644" w:type="dxa"/>
            <w:vAlign w:val="center"/>
          </w:tcPr>
          <w:p w:rsidR="005C1B2A" w:rsidRDefault="00A85155">
            <w:pPr>
              <w:jc w:val="right"/>
            </w:pPr>
            <w:r>
              <w:rPr>
                <w:color w:val="000000"/>
                <w:sz w:val="24"/>
                <w:szCs w:val="24"/>
              </w:rPr>
              <w:t>8.64</w:t>
            </w:r>
          </w:p>
        </w:tc>
      </w:tr>
      <w:tr w:rsidR="005C1B2A">
        <w:trPr>
          <w:jc w:val="center"/>
        </w:trPr>
        <w:tc>
          <w:tcPr>
            <w:tcW w:w="855" w:type="dxa"/>
            <w:vAlign w:val="center"/>
          </w:tcPr>
          <w:p w:rsidR="005C1B2A" w:rsidRDefault="00A85155">
            <w:pPr>
              <w:jc w:val="center"/>
            </w:pPr>
            <w:r>
              <w:rPr>
                <w:color w:val="000000"/>
                <w:sz w:val="24"/>
                <w:szCs w:val="24"/>
              </w:rPr>
              <w:t>3</w:t>
            </w:r>
          </w:p>
        </w:tc>
        <w:tc>
          <w:tcPr>
            <w:tcW w:w="1334" w:type="dxa"/>
            <w:vAlign w:val="center"/>
          </w:tcPr>
          <w:p w:rsidR="005C1B2A" w:rsidRDefault="00A85155">
            <w:pPr>
              <w:jc w:val="center"/>
            </w:pPr>
            <w:r>
              <w:rPr>
                <w:color w:val="000000"/>
                <w:sz w:val="24"/>
                <w:szCs w:val="24"/>
              </w:rPr>
              <w:t>600389</w:t>
            </w:r>
          </w:p>
        </w:tc>
        <w:tc>
          <w:tcPr>
            <w:tcW w:w="1777" w:type="dxa"/>
            <w:vAlign w:val="center"/>
          </w:tcPr>
          <w:p w:rsidR="005C1B2A" w:rsidRDefault="00A85155">
            <w:pPr>
              <w:jc w:val="center"/>
            </w:pPr>
            <w:r>
              <w:rPr>
                <w:color w:val="000000"/>
                <w:sz w:val="24"/>
                <w:szCs w:val="24"/>
              </w:rPr>
              <w:t>江山股份</w:t>
            </w:r>
          </w:p>
        </w:tc>
        <w:tc>
          <w:tcPr>
            <w:tcW w:w="1334" w:type="dxa"/>
            <w:vAlign w:val="center"/>
          </w:tcPr>
          <w:p w:rsidR="005C1B2A" w:rsidRDefault="00A85155">
            <w:pPr>
              <w:jc w:val="right"/>
            </w:pPr>
            <w:r>
              <w:rPr>
                <w:color w:val="000000"/>
                <w:sz w:val="24"/>
                <w:szCs w:val="24"/>
              </w:rPr>
              <w:t>2,620,733</w:t>
            </w:r>
          </w:p>
        </w:tc>
        <w:tc>
          <w:tcPr>
            <w:tcW w:w="1924" w:type="dxa"/>
            <w:vAlign w:val="center"/>
          </w:tcPr>
          <w:p w:rsidR="005C1B2A" w:rsidRDefault="00A85155">
            <w:pPr>
              <w:jc w:val="right"/>
            </w:pPr>
            <w:r>
              <w:rPr>
                <w:color w:val="000000"/>
                <w:sz w:val="24"/>
                <w:szCs w:val="24"/>
              </w:rPr>
              <w:t>98,591,975.46</w:t>
            </w:r>
          </w:p>
        </w:tc>
        <w:tc>
          <w:tcPr>
            <w:tcW w:w="1644" w:type="dxa"/>
            <w:vAlign w:val="center"/>
          </w:tcPr>
          <w:p w:rsidR="005C1B2A" w:rsidRDefault="00A85155">
            <w:pPr>
              <w:jc w:val="right"/>
            </w:pPr>
            <w:r>
              <w:rPr>
                <w:color w:val="000000"/>
                <w:sz w:val="24"/>
                <w:szCs w:val="24"/>
              </w:rPr>
              <w:t>8.64</w:t>
            </w:r>
          </w:p>
        </w:tc>
      </w:tr>
      <w:tr w:rsidR="005C1B2A">
        <w:trPr>
          <w:jc w:val="center"/>
        </w:trPr>
        <w:tc>
          <w:tcPr>
            <w:tcW w:w="855" w:type="dxa"/>
            <w:vAlign w:val="center"/>
          </w:tcPr>
          <w:p w:rsidR="005C1B2A" w:rsidRDefault="00A85155">
            <w:pPr>
              <w:jc w:val="center"/>
            </w:pPr>
            <w:r>
              <w:rPr>
                <w:color w:val="000000"/>
                <w:sz w:val="24"/>
                <w:szCs w:val="24"/>
              </w:rPr>
              <w:t>4</w:t>
            </w:r>
          </w:p>
        </w:tc>
        <w:tc>
          <w:tcPr>
            <w:tcW w:w="1334" w:type="dxa"/>
            <w:vAlign w:val="center"/>
          </w:tcPr>
          <w:p w:rsidR="005C1B2A" w:rsidRDefault="00A85155">
            <w:pPr>
              <w:jc w:val="center"/>
            </w:pPr>
            <w:r>
              <w:rPr>
                <w:color w:val="000000"/>
                <w:sz w:val="24"/>
                <w:szCs w:val="24"/>
              </w:rPr>
              <w:t>000423</w:t>
            </w:r>
          </w:p>
        </w:tc>
        <w:tc>
          <w:tcPr>
            <w:tcW w:w="1777" w:type="dxa"/>
            <w:vAlign w:val="center"/>
          </w:tcPr>
          <w:p w:rsidR="005C1B2A" w:rsidRDefault="00A85155">
            <w:pPr>
              <w:jc w:val="center"/>
            </w:pPr>
            <w:r>
              <w:rPr>
                <w:color w:val="000000"/>
                <w:sz w:val="24"/>
                <w:szCs w:val="24"/>
              </w:rPr>
              <w:t>东阿阿胶</w:t>
            </w:r>
          </w:p>
        </w:tc>
        <w:tc>
          <w:tcPr>
            <w:tcW w:w="1334" w:type="dxa"/>
            <w:vAlign w:val="center"/>
          </w:tcPr>
          <w:p w:rsidR="005C1B2A" w:rsidRDefault="00A85155">
            <w:pPr>
              <w:jc w:val="right"/>
            </w:pPr>
            <w:r>
              <w:rPr>
                <w:color w:val="000000"/>
                <w:sz w:val="24"/>
                <w:szCs w:val="24"/>
              </w:rPr>
              <w:t>2,848,913</w:t>
            </w:r>
          </w:p>
        </w:tc>
        <w:tc>
          <w:tcPr>
            <w:tcW w:w="1924" w:type="dxa"/>
            <w:vAlign w:val="center"/>
          </w:tcPr>
          <w:p w:rsidR="005C1B2A" w:rsidRDefault="00A85155">
            <w:pPr>
              <w:jc w:val="right"/>
            </w:pPr>
            <w:r>
              <w:rPr>
                <w:color w:val="000000"/>
                <w:sz w:val="24"/>
                <w:szCs w:val="24"/>
              </w:rPr>
              <w:t>97,147,933.30</w:t>
            </w:r>
          </w:p>
        </w:tc>
        <w:tc>
          <w:tcPr>
            <w:tcW w:w="1644" w:type="dxa"/>
            <w:vAlign w:val="center"/>
          </w:tcPr>
          <w:p w:rsidR="005C1B2A" w:rsidRDefault="00A85155">
            <w:pPr>
              <w:jc w:val="right"/>
            </w:pPr>
            <w:r>
              <w:rPr>
                <w:color w:val="000000"/>
                <w:sz w:val="24"/>
                <w:szCs w:val="24"/>
              </w:rPr>
              <w:t>8.51</w:t>
            </w:r>
          </w:p>
        </w:tc>
      </w:tr>
      <w:tr w:rsidR="005C1B2A">
        <w:trPr>
          <w:jc w:val="center"/>
        </w:trPr>
        <w:tc>
          <w:tcPr>
            <w:tcW w:w="855" w:type="dxa"/>
            <w:vAlign w:val="center"/>
          </w:tcPr>
          <w:p w:rsidR="005C1B2A" w:rsidRDefault="00A85155">
            <w:pPr>
              <w:jc w:val="center"/>
            </w:pPr>
            <w:r>
              <w:rPr>
                <w:color w:val="000000"/>
                <w:sz w:val="24"/>
                <w:szCs w:val="24"/>
              </w:rPr>
              <w:t>5</w:t>
            </w:r>
          </w:p>
        </w:tc>
        <w:tc>
          <w:tcPr>
            <w:tcW w:w="1334" w:type="dxa"/>
            <w:vAlign w:val="center"/>
          </w:tcPr>
          <w:p w:rsidR="005C1B2A" w:rsidRDefault="00A85155">
            <w:pPr>
              <w:jc w:val="center"/>
            </w:pPr>
            <w:r>
              <w:rPr>
                <w:color w:val="000000"/>
                <w:sz w:val="24"/>
                <w:szCs w:val="24"/>
              </w:rPr>
              <w:t>300005</w:t>
            </w:r>
          </w:p>
        </w:tc>
        <w:tc>
          <w:tcPr>
            <w:tcW w:w="1777" w:type="dxa"/>
            <w:vAlign w:val="center"/>
          </w:tcPr>
          <w:p w:rsidR="005C1B2A" w:rsidRDefault="00A85155">
            <w:pPr>
              <w:jc w:val="center"/>
            </w:pPr>
            <w:r>
              <w:rPr>
                <w:color w:val="000000"/>
                <w:sz w:val="24"/>
                <w:szCs w:val="24"/>
              </w:rPr>
              <w:t>探路者</w:t>
            </w:r>
          </w:p>
        </w:tc>
        <w:tc>
          <w:tcPr>
            <w:tcW w:w="1334" w:type="dxa"/>
            <w:vAlign w:val="center"/>
          </w:tcPr>
          <w:p w:rsidR="005C1B2A" w:rsidRDefault="00A85155">
            <w:pPr>
              <w:jc w:val="right"/>
            </w:pPr>
            <w:r>
              <w:rPr>
                <w:color w:val="000000"/>
                <w:sz w:val="24"/>
                <w:szCs w:val="24"/>
              </w:rPr>
              <w:t>4,854,104</w:t>
            </w:r>
          </w:p>
        </w:tc>
        <w:tc>
          <w:tcPr>
            <w:tcW w:w="1924" w:type="dxa"/>
            <w:vAlign w:val="center"/>
          </w:tcPr>
          <w:p w:rsidR="005C1B2A" w:rsidRDefault="00A85155">
            <w:pPr>
              <w:jc w:val="right"/>
            </w:pPr>
            <w:r>
              <w:rPr>
                <w:color w:val="000000"/>
                <w:sz w:val="24"/>
                <w:szCs w:val="24"/>
              </w:rPr>
              <w:t>91,791,106.64</w:t>
            </w:r>
          </w:p>
        </w:tc>
        <w:tc>
          <w:tcPr>
            <w:tcW w:w="1644" w:type="dxa"/>
            <w:vAlign w:val="center"/>
          </w:tcPr>
          <w:p w:rsidR="005C1B2A" w:rsidRDefault="00A85155">
            <w:pPr>
              <w:jc w:val="right"/>
            </w:pPr>
            <w:r>
              <w:rPr>
                <w:color w:val="000000"/>
                <w:sz w:val="24"/>
                <w:szCs w:val="24"/>
              </w:rPr>
              <w:t>8.04</w:t>
            </w:r>
          </w:p>
        </w:tc>
      </w:tr>
      <w:tr w:rsidR="005C1B2A">
        <w:trPr>
          <w:jc w:val="center"/>
        </w:trPr>
        <w:tc>
          <w:tcPr>
            <w:tcW w:w="855" w:type="dxa"/>
            <w:vAlign w:val="center"/>
          </w:tcPr>
          <w:p w:rsidR="005C1B2A" w:rsidRDefault="00A85155">
            <w:pPr>
              <w:jc w:val="center"/>
            </w:pPr>
            <w:r>
              <w:rPr>
                <w:color w:val="000000"/>
                <w:sz w:val="24"/>
                <w:szCs w:val="24"/>
              </w:rPr>
              <w:t>6</w:t>
            </w:r>
          </w:p>
        </w:tc>
        <w:tc>
          <w:tcPr>
            <w:tcW w:w="1334" w:type="dxa"/>
            <w:vAlign w:val="center"/>
          </w:tcPr>
          <w:p w:rsidR="005C1B2A" w:rsidRDefault="00A85155">
            <w:pPr>
              <w:jc w:val="center"/>
            </w:pPr>
            <w:r>
              <w:rPr>
                <w:color w:val="000000"/>
                <w:sz w:val="24"/>
                <w:szCs w:val="24"/>
              </w:rPr>
              <w:t>600887</w:t>
            </w:r>
          </w:p>
        </w:tc>
        <w:tc>
          <w:tcPr>
            <w:tcW w:w="1777" w:type="dxa"/>
            <w:vAlign w:val="center"/>
          </w:tcPr>
          <w:p w:rsidR="005C1B2A" w:rsidRDefault="00A85155">
            <w:pPr>
              <w:jc w:val="center"/>
            </w:pPr>
            <w:r>
              <w:rPr>
                <w:color w:val="000000"/>
                <w:sz w:val="24"/>
                <w:szCs w:val="24"/>
              </w:rPr>
              <w:t>伊利股份</w:t>
            </w:r>
          </w:p>
        </w:tc>
        <w:tc>
          <w:tcPr>
            <w:tcW w:w="1334" w:type="dxa"/>
            <w:vAlign w:val="center"/>
          </w:tcPr>
          <w:p w:rsidR="005C1B2A" w:rsidRDefault="00A85155">
            <w:pPr>
              <w:jc w:val="right"/>
            </w:pPr>
            <w:r>
              <w:rPr>
                <w:color w:val="000000"/>
                <w:sz w:val="24"/>
                <w:szCs w:val="24"/>
              </w:rPr>
              <w:t>1,702,313</w:t>
            </w:r>
          </w:p>
        </w:tc>
        <w:tc>
          <w:tcPr>
            <w:tcW w:w="1924" w:type="dxa"/>
            <w:vAlign w:val="center"/>
          </w:tcPr>
          <w:p w:rsidR="005C1B2A" w:rsidRDefault="00A85155">
            <w:pPr>
              <w:jc w:val="right"/>
            </w:pPr>
            <w:r>
              <w:rPr>
                <w:color w:val="000000"/>
                <w:sz w:val="24"/>
                <w:szCs w:val="24"/>
              </w:rPr>
              <w:t>60,993,874.79</w:t>
            </w:r>
          </w:p>
        </w:tc>
        <w:tc>
          <w:tcPr>
            <w:tcW w:w="1644" w:type="dxa"/>
            <w:vAlign w:val="center"/>
          </w:tcPr>
          <w:p w:rsidR="005C1B2A" w:rsidRDefault="00A85155">
            <w:pPr>
              <w:jc w:val="right"/>
            </w:pPr>
            <w:r>
              <w:rPr>
                <w:color w:val="000000"/>
                <w:sz w:val="24"/>
                <w:szCs w:val="24"/>
              </w:rPr>
              <w:t>5.34</w:t>
            </w:r>
          </w:p>
        </w:tc>
      </w:tr>
      <w:tr w:rsidR="005C1B2A">
        <w:trPr>
          <w:jc w:val="center"/>
        </w:trPr>
        <w:tc>
          <w:tcPr>
            <w:tcW w:w="855" w:type="dxa"/>
            <w:vAlign w:val="center"/>
          </w:tcPr>
          <w:p w:rsidR="005C1B2A" w:rsidRDefault="00A85155">
            <w:pPr>
              <w:jc w:val="center"/>
            </w:pPr>
            <w:r>
              <w:rPr>
                <w:color w:val="000000"/>
                <w:sz w:val="24"/>
                <w:szCs w:val="24"/>
              </w:rPr>
              <w:t>7</w:t>
            </w:r>
          </w:p>
        </w:tc>
        <w:tc>
          <w:tcPr>
            <w:tcW w:w="1334" w:type="dxa"/>
            <w:vAlign w:val="center"/>
          </w:tcPr>
          <w:p w:rsidR="005C1B2A" w:rsidRDefault="00A85155">
            <w:pPr>
              <w:jc w:val="center"/>
            </w:pPr>
            <w:r>
              <w:rPr>
                <w:color w:val="000000"/>
                <w:sz w:val="24"/>
                <w:szCs w:val="24"/>
              </w:rPr>
              <w:t>600315</w:t>
            </w:r>
          </w:p>
        </w:tc>
        <w:tc>
          <w:tcPr>
            <w:tcW w:w="1777" w:type="dxa"/>
            <w:vAlign w:val="center"/>
          </w:tcPr>
          <w:p w:rsidR="005C1B2A" w:rsidRDefault="00A85155">
            <w:pPr>
              <w:jc w:val="center"/>
            </w:pPr>
            <w:r>
              <w:rPr>
                <w:color w:val="000000"/>
                <w:sz w:val="24"/>
                <w:szCs w:val="24"/>
              </w:rPr>
              <w:t>上海家化</w:t>
            </w:r>
          </w:p>
        </w:tc>
        <w:tc>
          <w:tcPr>
            <w:tcW w:w="1334" w:type="dxa"/>
            <w:vAlign w:val="center"/>
          </w:tcPr>
          <w:p w:rsidR="005C1B2A" w:rsidRDefault="00A85155">
            <w:pPr>
              <w:jc w:val="right"/>
            </w:pPr>
            <w:r>
              <w:rPr>
                <w:color w:val="000000"/>
                <w:sz w:val="24"/>
                <w:szCs w:val="24"/>
              </w:rPr>
              <w:t>1,595,687</w:t>
            </w:r>
          </w:p>
        </w:tc>
        <w:tc>
          <w:tcPr>
            <w:tcW w:w="1924" w:type="dxa"/>
            <w:vAlign w:val="center"/>
          </w:tcPr>
          <w:p w:rsidR="005C1B2A" w:rsidRDefault="00A85155">
            <w:pPr>
              <w:jc w:val="right"/>
            </w:pPr>
            <w:r>
              <w:rPr>
                <w:color w:val="000000"/>
                <w:sz w:val="24"/>
                <w:szCs w:val="24"/>
              </w:rPr>
              <w:t>53,790,608.77</w:t>
            </w:r>
          </w:p>
        </w:tc>
        <w:tc>
          <w:tcPr>
            <w:tcW w:w="1644" w:type="dxa"/>
            <w:vAlign w:val="center"/>
          </w:tcPr>
          <w:p w:rsidR="005C1B2A" w:rsidRDefault="00A85155">
            <w:pPr>
              <w:jc w:val="right"/>
            </w:pPr>
            <w:r>
              <w:rPr>
                <w:color w:val="000000"/>
                <w:sz w:val="24"/>
                <w:szCs w:val="24"/>
              </w:rPr>
              <w:t>4.71</w:t>
            </w:r>
          </w:p>
        </w:tc>
      </w:tr>
      <w:tr w:rsidR="005C1B2A">
        <w:trPr>
          <w:jc w:val="center"/>
        </w:trPr>
        <w:tc>
          <w:tcPr>
            <w:tcW w:w="855" w:type="dxa"/>
            <w:vAlign w:val="center"/>
          </w:tcPr>
          <w:p w:rsidR="005C1B2A" w:rsidRDefault="00A85155">
            <w:pPr>
              <w:jc w:val="center"/>
            </w:pPr>
            <w:r>
              <w:rPr>
                <w:color w:val="000000"/>
                <w:sz w:val="24"/>
                <w:szCs w:val="24"/>
              </w:rPr>
              <w:t>8</w:t>
            </w:r>
          </w:p>
        </w:tc>
        <w:tc>
          <w:tcPr>
            <w:tcW w:w="1334" w:type="dxa"/>
            <w:vAlign w:val="center"/>
          </w:tcPr>
          <w:p w:rsidR="005C1B2A" w:rsidRDefault="00A85155">
            <w:pPr>
              <w:jc w:val="center"/>
            </w:pPr>
            <w:r>
              <w:rPr>
                <w:color w:val="000000"/>
                <w:sz w:val="24"/>
                <w:szCs w:val="24"/>
              </w:rPr>
              <w:t>600596</w:t>
            </w:r>
          </w:p>
        </w:tc>
        <w:tc>
          <w:tcPr>
            <w:tcW w:w="1777" w:type="dxa"/>
            <w:vAlign w:val="center"/>
          </w:tcPr>
          <w:p w:rsidR="005C1B2A" w:rsidRDefault="00A85155">
            <w:pPr>
              <w:jc w:val="center"/>
            </w:pPr>
            <w:r>
              <w:rPr>
                <w:color w:val="000000"/>
                <w:sz w:val="24"/>
                <w:szCs w:val="24"/>
              </w:rPr>
              <w:t>新安股份</w:t>
            </w:r>
          </w:p>
        </w:tc>
        <w:tc>
          <w:tcPr>
            <w:tcW w:w="1334" w:type="dxa"/>
            <w:vAlign w:val="center"/>
          </w:tcPr>
          <w:p w:rsidR="005C1B2A" w:rsidRDefault="00A85155">
            <w:pPr>
              <w:jc w:val="right"/>
            </w:pPr>
            <w:r>
              <w:rPr>
                <w:color w:val="000000"/>
                <w:sz w:val="24"/>
                <w:szCs w:val="24"/>
              </w:rPr>
              <w:t>3,694,577</w:t>
            </w:r>
          </w:p>
        </w:tc>
        <w:tc>
          <w:tcPr>
            <w:tcW w:w="1924" w:type="dxa"/>
            <w:vAlign w:val="center"/>
          </w:tcPr>
          <w:p w:rsidR="005C1B2A" w:rsidRDefault="00A85155">
            <w:pPr>
              <w:jc w:val="right"/>
            </w:pPr>
            <w:r>
              <w:rPr>
                <w:color w:val="000000"/>
                <w:sz w:val="24"/>
                <w:szCs w:val="24"/>
              </w:rPr>
              <w:t>47,364,477.14</w:t>
            </w:r>
          </w:p>
        </w:tc>
        <w:tc>
          <w:tcPr>
            <w:tcW w:w="1644" w:type="dxa"/>
            <w:vAlign w:val="center"/>
          </w:tcPr>
          <w:p w:rsidR="005C1B2A" w:rsidRDefault="00A85155">
            <w:pPr>
              <w:jc w:val="right"/>
            </w:pPr>
            <w:r>
              <w:rPr>
                <w:color w:val="000000"/>
                <w:sz w:val="24"/>
                <w:szCs w:val="24"/>
              </w:rPr>
              <w:t>4.15</w:t>
            </w:r>
          </w:p>
        </w:tc>
      </w:tr>
      <w:tr w:rsidR="005C1B2A">
        <w:trPr>
          <w:jc w:val="center"/>
        </w:trPr>
        <w:tc>
          <w:tcPr>
            <w:tcW w:w="855" w:type="dxa"/>
            <w:vAlign w:val="center"/>
          </w:tcPr>
          <w:p w:rsidR="005C1B2A" w:rsidRDefault="00A85155">
            <w:pPr>
              <w:jc w:val="center"/>
            </w:pPr>
            <w:r>
              <w:rPr>
                <w:color w:val="000000"/>
                <w:sz w:val="24"/>
                <w:szCs w:val="24"/>
              </w:rPr>
              <w:t>9</w:t>
            </w:r>
          </w:p>
        </w:tc>
        <w:tc>
          <w:tcPr>
            <w:tcW w:w="1334" w:type="dxa"/>
            <w:vAlign w:val="center"/>
          </w:tcPr>
          <w:p w:rsidR="005C1B2A" w:rsidRDefault="00A85155">
            <w:pPr>
              <w:jc w:val="center"/>
            </w:pPr>
            <w:r>
              <w:rPr>
                <w:color w:val="000000"/>
                <w:sz w:val="24"/>
                <w:szCs w:val="24"/>
              </w:rPr>
              <w:t>601933</w:t>
            </w:r>
          </w:p>
        </w:tc>
        <w:tc>
          <w:tcPr>
            <w:tcW w:w="1777" w:type="dxa"/>
            <w:vAlign w:val="center"/>
          </w:tcPr>
          <w:p w:rsidR="005C1B2A" w:rsidRDefault="00A85155">
            <w:pPr>
              <w:jc w:val="center"/>
            </w:pPr>
            <w:r>
              <w:rPr>
                <w:color w:val="000000"/>
                <w:sz w:val="24"/>
                <w:szCs w:val="24"/>
              </w:rPr>
              <w:t>永辉超市</w:t>
            </w:r>
          </w:p>
        </w:tc>
        <w:tc>
          <w:tcPr>
            <w:tcW w:w="1334" w:type="dxa"/>
            <w:vAlign w:val="center"/>
          </w:tcPr>
          <w:p w:rsidR="005C1B2A" w:rsidRDefault="00A85155">
            <w:pPr>
              <w:jc w:val="right"/>
            </w:pPr>
            <w:r>
              <w:rPr>
                <w:color w:val="000000"/>
                <w:sz w:val="24"/>
                <w:szCs w:val="24"/>
              </w:rPr>
              <w:t>3,747,773</w:t>
            </w:r>
          </w:p>
        </w:tc>
        <w:tc>
          <w:tcPr>
            <w:tcW w:w="1924" w:type="dxa"/>
            <w:vAlign w:val="center"/>
          </w:tcPr>
          <w:p w:rsidR="005C1B2A" w:rsidRDefault="00A85155">
            <w:pPr>
              <w:jc w:val="right"/>
            </w:pPr>
            <w:r>
              <w:rPr>
                <w:color w:val="000000"/>
                <w:sz w:val="24"/>
                <w:szCs w:val="24"/>
              </w:rPr>
              <w:t>46,172,563.36</w:t>
            </w:r>
          </w:p>
        </w:tc>
        <w:tc>
          <w:tcPr>
            <w:tcW w:w="1644" w:type="dxa"/>
            <w:vAlign w:val="center"/>
          </w:tcPr>
          <w:p w:rsidR="005C1B2A" w:rsidRDefault="00A85155">
            <w:pPr>
              <w:jc w:val="right"/>
            </w:pPr>
            <w:r>
              <w:rPr>
                <w:color w:val="000000"/>
                <w:sz w:val="24"/>
                <w:szCs w:val="24"/>
              </w:rPr>
              <w:t>4.04</w:t>
            </w:r>
          </w:p>
        </w:tc>
      </w:tr>
      <w:tr w:rsidR="005C1B2A">
        <w:trPr>
          <w:jc w:val="center"/>
        </w:trPr>
        <w:tc>
          <w:tcPr>
            <w:tcW w:w="855" w:type="dxa"/>
            <w:vAlign w:val="center"/>
          </w:tcPr>
          <w:p w:rsidR="005C1B2A" w:rsidRDefault="00A85155">
            <w:pPr>
              <w:jc w:val="center"/>
            </w:pPr>
            <w:r>
              <w:rPr>
                <w:color w:val="000000"/>
                <w:sz w:val="24"/>
                <w:szCs w:val="24"/>
              </w:rPr>
              <w:t>10</w:t>
            </w:r>
          </w:p>
        </w:tc>
        <w:tc>
          <w:tcPr>
            <w:tcW w:w="1334" w:type="dxa"/>
            <w:vAlign w:val="center"/>
          </w:tcPr>
          <w:p w:rsidR="005C1B2A" w:rsidRDefault="00A85155">
            <w:pPr>
              <w:jc w:val="center"/>
            </w:pPr>
            <w:r>
              <w:rPr>
                <w:color w:val="000000"/>
                <w:sz w:val="24"/>
                <w:szCs w:val="24"/>
              </w:rPr>
              <w:t>600703</w:t>
            </w:r>
          </w:p>
        </w:tc>
        <w:tc>
          <w:tcPr>
            <w:tcW w:w="1777" w:type="dxa"/>
            <w:vAlign w:val="center"/>
          </w:tcPr>
          <w:p w:rsidR="005C1B2A" w:rsidRDefault="00A85155">
            <w:pPr>
              <w:jc w:val="center"/>
            </w:pPr>
            <w:r>
              <w:rPr>
                <w:color w:val="000000"/>
                <w:sz w:val="24"/>
                <w:szCs w:val="24"/>
              </w:rPr>
              <w:t>三安光电</w:t>
            </w:r>
          </w:p>
        </w:tc>
        <w:tc>
          <w:tcPr>
            <w:tcW w:w="1334" w:type="dxa"/>
            <w:vAlign w:val="center"/>
          </w:tcPr>
          <w:p w:rsidR="005C1B2A" w:rsidRDefault="00A85155">
            <w:pPr>
              <w:jc w:val="right"/>
            </w:pPr>
            <w:r>
              <w:rPr>
                <w:color w:val="000000"/>
                <w:sz w:val="24"/>
                <w:szCs w:val="24"/>
              </w:rPr>
              <w:t>1,825,082</w:t>
            </w:r>
          </w:p>
        </w:tc>
        <w:tc>
          <w:tcPr>
            <w:tcW w:w="1924" w:type="dxa"/>
            <w:vAlign w:val="center"/>
          </w:tcPr>
          <w:p w:rsidR="005C1B2A" w:rsidRDefault="00A85155">
            <w:pPr>
              <w:jc w:val="right"/>
            </w:pPr>
            <w:r>
              <w:rPr>
                <w:color w:val="000000"/>
                <w:sz w:val="24"/>
                <w:szCs w:val="24"/>
              </w:rPr>
              <w:t>41,520,615.50</w:t>
            </w:r>
          </w:p>
        </w:tc>
        <w:tc>
          <w:tcPr>
            <w:tcW w:w="1644" w:type="dxa"/>
            <w:vAlign w:val="center"/>
          </w:tcPr>
          <w:p w:rsidR="005C1B2A" w:rsidRDefault="00A85155">
            <w:pPr>
              <w:jc w:val="right"/>
            </w:pPr>
            <w:r>
              <w:rPr>
                <w:color w:val="000000"/>
                <w:sz w:val="24"/>
                <w:szCs w:val="24"/>
              </w:rPr>
              <w:t>3.64</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50,000,000.00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4.38</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50,000,000.00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4.38</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DA14B0">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DA14B0">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DA14B0">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50,000,000.00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4.38</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C1B2A">
        <w:trPr>
          <w:jc w:val="center"/>
        </w:trPr>
        <w:tc>
          <w:tcPr>
            <w:tcW w:w="850" w:type="dxa"/>
            <w:vAlign w:val="center"/>
          </w:tcPr>
          <w:p w:rsidR="005C1B2A" w:rsidRDefault="00A85155">
            <w:pPr>
              <w:jc w:val="center"/>
            </w:pPr>
            <w:r>
              <w:rPr>
                <w:color w:val="000000"/>
                <w:sz w:val="24"/>
                <w:szCs w:val="24"/>
              </w:rPr>
              <w:t>1</w:t>
            </w:r>
          </w:p>
        </w:tc>
        <w:tc>
          <w:tcPr>
            <w:tcW w:w="1475" w:type="dxa"/>
            <w:vAlign w:val="center"/>
          </w:tcPr>
          <w:p w:rsidR="005C1B2A" w:rsidRDefault="00A85155">
            <w:pPr>
              <w:jc w:val="center"/>
            </w:pPr>
            <w:r>
              <w:rPr>
                <w:color w:val="000000"/>
                <w:sz w:val="24"/>
                <w:szCs w:val="24"/>
              </w:rPr>
              <w:t>130218</w:t>
            </w:r>
          </w:p>
        </w:tc>
        <w:tc>
          <w:tcPr>
            <w:tcW w:w="1769" w:type="dxa"/>
            <w:vAlign w:val="center"/>
          </w:tcPr>
          <w:p w:rsidR="005C1B2A" w:rsidRDefault="00A85155">
            <w:pPr>
              <w:jc w:val="center"/>
            </w:pPr>
            <w:r>
              <w:rPr>
                <w:color w:val="000000"/>
                <w:sz w:val="24"/>
                <w:szCs w:val="24"/>
              </w:rPr>
              <w:t>13</w:t>
            </w:r>
            <w:r>
              <w:rPr>
                <w:color w:val="000000"/>
                <w:sz w:val="24"/>
                <w:szCs w:val="24"/>
              </w:rPr>
              <w:t>国开</w:t>
            </w:r>
            <w:r>
              <w:rPr>
                <w:color w:val="000000"/>
                <w:sz w:val="24"/>
                <w:szCs w:val="24"/>
              </w:rPr>
              <w:t>18</w:t>
            </w:r>
          </w:p>
        </w:tc>
        <w:tc>
          <w:tcPr>
            <w:tcW w:w="1387" w:type="dxa"/>
            <w:vAlign w:val="center"/>
          </w:tcPr>
          <w:p w:rsidR="005C1B2A" w:rsidRDefault="00A85155">
            <w:pPr>
              <w:jc w:val="right"/>
            </w:pPr>
            <w:r>
              <w:rPr>
                <w:color w:val="000000"/>
                <w:sz w:val="24"/>
                <w:szCs w:val="24"/>
              </w:rPr>
              <w:t>500,000</w:t>
            </w:r>
          </w:p>
        </w:tc>
        <w:tc>
          <w:tcPr>
            <w:tcW w:w="2150" w:type="dxa"/>
            <w:vAlign w:val="center"/>
          </w:tcPr>
          <w:p w:rsidR="005C1B2A" w:rsidRDefault="00A85155">
            <w:pPr>
              <w:jc w:val="right"/>
            </w:pPr>
            <w:r>
              <w:rPr>
                <w:color w:val="000000"/>
                <w:sz w:val="24"/>
                <w:szCs w:val="24"/>
              </w:rPr>
              <w:t>50,000,000.00</w:t>
            </w:r>
          </w:p>
        </w:tc>
        <w:tc>
          <w:tcPr>
            <w:tcW w:w="1237" w:type="dxa"/>
            <w:vAlign w:val="center"/>
          </w:tcPr>
          <w:p w:rsidR="005C1B2A" w:rsidRDefault="00A85155">
            <w:pPr>
              <w:jc w:val="right"/>
            </w:pPr>
            <w:r>
              <w:rPr>
                <w:color w:val="000000"/>
                <w:sz w:val="24"/>
                <w:szCs w:val="24"/>
              </w:rPr>
              <w:t>4.38</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DA14B0">
      <w:pPr>
        <w:autoSpaceDE w:val="0"/>
        <w:autoSpaceDN w:val="0"/>
        <w:adjustRightInd w:val="0"/>
        <w:spacing w:before="29" w:line="288" w:lineRule="auto"/>
        <w:jc w:val="left"/>
        <w:rPr>
          <w:color w:val="000000"/>
          <w:sz w:val="24"/>
          <w:szCs w:val="24"/>
        </w:rPr>
      </w:pPr>
    </w:p>
    <w:p w:rsidR="00A54C7D" w:rsidRPr="00414345" w:rsidRDefault="00A54C7D" w:rsidP="00DA14B0">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632B0F">
      <w:pPr>
        <w:widowControl/>
        <w:spacing w:line="360" w:lineRule="auto"/>
        <w:jc w:val="left"/>
        <w:rPr>
          <w:sz w:val="24"/>
          <w:szCs w:val="24"/>
        </w:rPr>
      </w:pPr>
      <w:r w:rsidRPr="00414345">
        <w:rPr>
          <w:sz w:val="24"/>
          <w:szCs w:val="24"/>
        </w:rPr>
        <w:t>本基金本报告期末未持有贵金属。</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A917B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275745"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DA14B0">
      <w:pPr>
        <w:adjustRightInd w:val="0"/>
        <w:snapToGrid w:val="0"/>
        <w:spacing w:before="29" w:line="288" w:lineRule="auto"/>
        <w:rPr>
          <w:sz w:val="24"/>
          <w:szCs w:val="24"/>
        </w:rPr>
      </w:pPr>
    </w:p>
    <w:p w:rsidR="00A669FC" w:rsidRPr="00414345" w:rsidRDefault="00312A9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DA14B0">
      <w:pPr>
        <w:autoSpaceDE w:val="0"/>
        <w:autoSpaceDN w:val="0"/>
        <w:adjustRightInd w:val="0"/>
        <w:spacing w:before="29" w:line="288" w:lineRule="auto"/>
        <w:jc w:val="left"/>
        <w:rPr>
          <w:color w:val="000000"/>
          <w:sz w:val="24"/>
          <w:szCs w:val="24"/>
        </w:rPr>
      </w:pPr>
    </w:p>
    <w:p w:rsidR="004061AC"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D67025" w:rsidRPr="00D67025" w:rsidRDefault="00BE5388" w:rsidP="00D67025">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00D67025" w:rsidRPr="00D67025">
        <w:rPr>
          <w:rFonts w:hint="eastAsia"/>
          <w:bCs/>
          <w:color w:val="000000"/>
          <w:kern w:val="0"/>
          <w:sz w:val="24"/>
          <w:szCs w:val="24"/>
        </w:rPr>
        <w:t>报告期内本基金投资的前十名证券的发行主体除上海家化（证券代码：</w:t>
      </w:r>
      <w:r w:rsidR="00D67025" w:rsidRPr="00D67025">
        <w:rPr>
          <w:rFonts w:hint="eastAsia"/>
          <w:bCs/>
          <w:color w:val="000000"/>
          <w:kern w:val="0"/>
          <w:sz w:val="24"/>
          <w:szCs w:val="24"/>
        </w:rPr>
        <w:t>600315</w:t>
      </w:r>
      <w:r w:rsidR="00D67025" w:rsidRPr="00D67025">
        <w:rPr>
          <w:rFonts w:hint="eastAsia"/>
          <w:bCs/>
          <w:color w:val="000000"/>
          <w:kern w:val="0"/>
          <w:sz w:val="24"/>
          <w:szCs w:val="24"/>
        </w:rPr>
        <w:t>）外，未出现被监管部门立案调查，或在报告编制日前一年内受到公开谴责、处罚的情形。</w:t>
      </w:r>
    </w:p>
    <w:p w:rsidR="00D67025" w:rsidRPr="00D67025" w:rsidRDefault="00D67025" w:rsidP="00D67025">
      <w:pPr>
        <w:autoSpaceDE w:val="0"/>
        <w:autoSpaceDN w:val="0"/>
        <w:adjustRightInd w:val="0"/>
        <w:spacing w:before="29" w:line="288" w:lineRule="auto"/>
        <w:jc w:val="left"/>
        <w:rPr>
          <w:bCs/>
          <w:color w:val="000000"/>
          <w:kern w:val="0"/>
          <w:sz w:val="24"/>
          <w:szCs w:val="24"/>
        </w:rPr>
      </w:pPr>
      <w:r w:rsidRPr="00D67025">
        <w:rPr>
          <w:rFonts w:hint="eastAsia"/>
          <w:bCs/>
          <w:color w:val="000000"/>
          <w:kern w:val="0"/>
          <w:sz w:val="24"/>
          <w:szCs w:val="24"/>
        </w:rPr>
        <w:t>报告期内本基金投资的前十名证券之一上海家化（证券代码：</w:t>
      </w:r>
      <w:r w:rsidRPr="00D67025">
        <w:rPr>
          <w:rFonts w:hint="eastAsia"/>
          <w:bCs/>
          <w:color w:val="000000"/>
          <w:kern w:val="0"/>
          <w:sz w:val="24"/>
          <w:szCs w:val="24"/>
        </w:rPr>
        <w:t>600315</w:t>
      </w:r>
      <w:r w:rsidRPr="00D67025">
        <w:rPr>
          <w:rFonts w:hint="eastAsia"/>
          <w:bCs/>
          <w:color w:val="000000"/>
          <w:kern w:val="0"/>
          <w:sz w:val="24"/>
          <w:szCs w:val="24"/>
        </w:rPr>
        <w:t>）于</w:t>
      </w:r>
      <w:r w:rsidRPr="00D67025">
        <w:rPr>
          <w:rFonts w:hint="eastAsia"/>
          <w:bCs/>
          <w:color w:val="000000"/>
          <w:kern w:val="0"/>
          <w:sz w:val="24"/>
          <w:szCs w:val="24"/>
        </w:rPr>
        <w:t>2013</w:t>
      </w:r>
      <w:r w:rsidRPr="00D67025">
        <w:rPr>
          <w:rFonts w:hint="eastAsia"/>
          <w:bCs/>
          <w:color w:val="000000"/>
          <w:kern w:val="0"/>
          <w:sz w:val="24"/>
          <w:szCs w:val="24"/>
        </w:rPr>
        <w:t>年</w:t>
      </w:r>
      <w:r w:rsidRPr="00D67025">
        <w:rPr>
          <w:rFonts w:hint="eastAsia"/>
          <w:bCs/>
          <w:color w:val="000000"/>
          <w:kern w:val="0"/>
          <w:sz w:val="24"/>
          <w:szCs w:val="24"/>
        </w:rPr>
        <w:t>11</w:t>
      </w:r>
      <w:r w:rsidRPr="00D67025">
        <w:rPr>
          <w:rFonts w:hint="eastAsia"/>
          <w:bCs/>
          <w:color w:val="000000"/>
          <w:kern w:val="0"/>
          <w:sz w:val="24"/>
          <w:szCs w:val="24"/>
        </w:rPr>
        <w:t>月</w:t>
      </w:r>
      <w:r w:rsidRPr="00D67025">
        <w:rPr>
          <w:rFonts w:hint="eastAsia"/>
          <w:bCs/>
          <w:color w:val="000000"/>
          <w:kern w:val="0"/>
          <w:sz w:val="24"/>
          <w:szCs w:val="24"/>
        </w:rPr>
        <w:t>21</w:t>
      </w:r>
      <w:r w:rsidRPr="00D67025">
        <w:rPr>
          <w:rFonts w:hint="eastAsia"/>
          <w:bCs/>
          <w:color w:val="000000"/>
          <w:kern w:val="0"/>
          <w:sz w:val="24"/>
          <w:szCs w:val="24"/>
        </w:rPr>
        <w:t>日公告，公司于</w:t>
      </w:r>
      <w:r w:rsidRPr="00D67025">
        <w:rPr>
          <w:rFonts w:hint="eastAsia"/>
          <w:bCs/>
          <w:color w:val="000000"/>
          <w:kern w:val="0"/>
          <w:sz w:val="24"/>
          <w:szCs w:val="24"/>
        </w:rPr>
        <w:t>2013</w:t>
      </w:r>
      <w:r w:rsidRPr="00D67025">
        <w:rPr>
          <w:rFonts w:hint="eastAsia"/>
          <w:bCs/>
          <w:color w:val="000000"/>
          <w:kern w:val="0"/>
          <w:sz w:val="24"/>
          <w:szCs w:val="24"/>
        </w:rPr>
        <w:t>年</w:t>
      </w:r>
      <w:r w:rsidRPr="00D67025">
        <w:rPr>
          <w:rFonts w:hint="eastAsia"/>
          <w:bCs/>
          <w:color w:val="000000"/>
          <w:kern w:val="0"/>
          <w:sz w:val="24"/>
          <w:szCs w:val="24"/>
        </w:rPr>
        <w:t>11</w:t>
      </w:r>
      <w:r w:rsidRPr="00D67025">
        <w:rPr>
          <w:rFonts w:hint="eastAsia"/>
          <w:bCs/>
          <w:color w:val="000000"/>
          <w:kern w:val="0"/>
          <w:sz w:val="24"/>
          <w:szCs w:val="24"/>
        </w:rPr>
        <w:t>月</w:t>
      </w:r>
      <w:r w:rsidRPr="00D67025">
        <w:rPr>
          <w:rFonts w:hint="eastAsia"/>
          <w:bCs/>
          <w:color w:val="000000"/>
          <w:kern w:val="0"/>
          <w:sz w:val="24"/>
          <w:szCs w:val="24"/>
        </w:rPr>
        <w:t>20</w:t>
      </w:r>
      <w:r w:rsidRPr="00D67025">
        <w:rPr>
          <w:rFonts w:hint="eastAsia"/>
          <w:bCs/>
          <w:color w:val="000000"/>
          <w:kern w:val="0"/>
          <w:sz w:val="24"/>
          <w:szCs w:val="24"/>
        </w:rPr>
        <w:t>日收到中国证券监督管理委员会《调查通知书》及上海证监局《行政监管措施决定书》，据此上海家化已于</w:t>
      </w:r>
      <w:r w:rsidRPr="00D67025">
        <w:rPr>
          <w:rFonts w:hint="eastAsia"/>
          <w:bCs/>
          <w:color w:val="000000"/>
          <w:kern w:val="0"/>
          <w:sz w:val="24"/>
          <w:szCs w:val="24"/>
        </w:rPr>
        <w:t>2013</w:t>
      </w:r>
      <w:r w:rsidRPr="00D67025">
        <w:rPr>
          <w:rFonts w:hint="eastAsia"/>
          <w:bCs/>
          <w:color w:val="000000"/>
          <w:kern w:val="0"/>
          <w:sz w:val="24"/>
          <w:szCs w:val="24"/>
        </w:rPr>
        <w:t>年</w:t>
      </w:r>
      <w:r w:rsidRPr="00D67025">
        <w:rPr>
          <w:rFonts w:hint="eastAsia"/>
          <w:bCs/>
          <w:color w:val="000000"/>
          <w:kern w:val="0"/>
          <w:sz w:val="24"/>
          <w:szCs w:val="24"/>
        </w:rPr>
        <w:t>12</w:t>
      </w:r>
      <w:r w:rsidRPr="00D67025">
        <w:rPr>
          <w:rFonts w:hint="eastAsia"/>
          <w:bCs/>
          <w:color w:val="000000"/>
          <w:kern w:val="0"/>
          <w:sz w:val="24"/>
          <w:szCs w:val="24"/>
        </w:rPr>
        <w:t>月</w:t>
      </w:r>
      <w:r w:rsidRPr="00D67025">
        <w:rPr>
          <w:rFonts w:hint="eastAsia"/>
          <w:bCs/>
          <w:color w:val="000000"/>
          <w:kern w:val="0"/>
          <w:sz w:val="24"/>
          <w:szCs w:val="24"/>
        </w:rPr>
        <w:t>18</w:t>
      </w:r>
      <w:r w:rsidRPr="00D67025">
        <w:rPr>
          <w:rFonts w:hint="eastAsia"/>
          <w:bCs/>
          <w:color w:val="000000"/>
          <w:kern w:val="0"/>
          <w:sz w:val="24"/>
          <w:szCs w:val="24"/>
        </w:rPr>
        <w:t>日公告，按照上海证监局要求对关联交易进行了相关信息披露。证监会对于关联交易的调查还在进行中，截止</w:t>
      </w:r>
      <w:r w:rsidRPr="00D67025">
        <w:rPr>
          <w:rFonts w:hint="eastAsia"/>
          <w:bCs/>
          <w:color w:val="000000"/>
          <w:kern w:val="0"/>
          <w:sz w:val="24"/>
          <w:szCs w:val="24"/>
        </w:rPr>
        <w:t>2014</w:t>
      </w:r>
      <w:r w:rsidRPr="00D67025">
        <w:rPr>
          <w:rFonts w:hint="eastAsia"/>
          <w:bCs/>
          <w:color w:val="000000"/>
          <w:kern w:val="0"/>
          <w:sz w:val="24"/>
          <w:szCs w:val="24"/>
        </w:rPr>
        <w:t>年</w:t>
      </w:r>
      <w:r w:rsidRPr="00D67025">
        <w:rPr>
          <w:rFonts w:hint="eastAsia"/>
          <w:bCs/>
          <w:color w:val="000000"/>
          <w:kern w:val="0"/>
          <w:sz w:val="24"/>
          <w:szCs w:val="24"/>
        </w:rPr>
        <w:t>3</w:t>
      </w:r>
      <w:r w:rsidRPr="00D67025">
        <w:rPr>
          <w:rFonts w:hint="eastAsia"/>
          <w:bCs/>
          <w:color w:val="000000"/>
          <w:kern w:val="0"/>
          <w:sz w:val="24"/>
          <w:szCs w:val="24"/>
        </w:rPr>
        <w:t>月</w:t>
      </w:r>
      <w:r w:rsidRPr="00D67025">
        <w:rPr>
          <w:rFonts w:hint="eastAsia"/>
          <w:bCs/>
          <w:color w:val="000000"/>
          <w:kern w:val="0"/>
          <w:sz w:val="24"/>
          <w:szCs w:val="24"/>
        </w:rPr>
        <w:t>31</w:t>
      </w:r>
      <w:r w:rsidRPr="00D67025">
        <w:rPr>
          <w:rFonts w:hint="eastAsia"/>
          <w:bCs/>
          <w:color w:val="000000"/>
          <w:kern w:val="0"/>
          <w:sz w:val="24"/>
          <w:szCs w:val="24"/>
        </w:rPr>
        <w:t>日尚未作出任何决定。</w:t>
      </w:r>
    </w:p>
    <w:p w:rsidR="00BE5388" w:rsidRPr="00BE5388" w:rsidRDefault="00D67025" w:rsidP="00D67025">
      <w:pPr>
        <w:autoSpaceDE w:val="0"/>
        <w:autoSpaceDN w:val="0"/>
        <w:adjustRightInd w:val="0"/>
        <w:spacing w:before="29" w:line="288" w:lineRule="auto"/>
        <w:jc w:val="left"/>
        <w:rPr>
          <w:bCs/>
          <w:color w:val="000000"/>
          <w:kern w:val="0"/>
          <w:sz w:val="24"/>
          <w:szCs w:val="24"/>
        </w:rPr>
      </w:pPr>
      <w:r w:rsidRPr="00D67025">
        <w:rPr>
          <w:rFonts w:hint="eastAsia"/>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此事件对上市公司财务状况、经营成果和现金流量未产生重大的实质性影响，所以不影响对该公司基本面和公司治理的投资判断。</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291,894.03</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1,566,332.17</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505,260.76</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2,363,486.96</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本基金本报告期末前十名股票中不存在流通受限的情况。</w:t>
      </w:r>
    </w:p>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DA14B0">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DA14B0">
      <w:pPr>
        <w:spacing w:before="29" w:line="288" w:lineRule="auto"/>
        <w:ind w:firstLineChars="200" w:firstLine="480"/>
        <w:rPr>
          <w:color w:val="000000"/>
          <w:sz w:val="24"/>
          <w:szCs w:val="24"/>
        </w:rPr>
      </w:pPr>
    </w:p>
    <w:p w:rsidR="004061AC" w:rsidRPr="00414345" w:rsidRDefault="004061AC" w:rsidP="00DA14B0">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1,059,535,577.44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31,356,018.01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102,976,520.36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987,915,075.09</w:t>
            </w:r>
          </w:p>
        </w:tc>
      </w:tr>
    </w:tbl>
    <w:p w:rsidR="005C1B2A" w:rsidRDefault="00A8515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DA14B0">
      <w:pPr>
        <w:autoSpaceDE w:val="0"/>
        <w:autoSpaceDN w:val="0"/>
        <w:adjustRightInd w:val="0"/>
        <w:spacing w:before="29" w:line="288" w:lineRule="auto"/>
        <w:jc w:val="left"/>
        <w:rPr>
          <w:color w:val="000000"/>
          <w:sz w:val="24"/>
          <w:szCs w:val="24"/>
        </w:rPr>
      </w:pPr>
    </w:p>
    <w:p w:rsidR="00ED2620" w:rsidRPr="00ED2620" w:rsidRDefault="000A2FC0" w:rsidP="00DE0647">
      <w:pPr>
        <w:pStyle w:val="1"/>
        <w:tabs>
          <w:tab w:val="center" w:pos="4156"/>
          <w:tab w:val="right" w:pos="8312"/>
        </w:tabs>
        <w:spacing w:beforeLines="100" w:before="312" w:afterLines="100" w:after="312" w:line="360"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ED2620">
      <w:pPr>
        <w:spacing w:line="360"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ED2620">
      <w:pPr>
        <w:autoSpaceDE w:val="0"/>
        <w:autoSpaceDN w:val="0"/>
        <w:adjustRightInd w:val="0"/>
        <w:spacing w:before="29" w:line="360"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pStyle w:val="ad"/>
              <w:adjustRightInd w:val="0"/>
              <w:snapToGrid w:val="0"/>
              <w:spacing w:line="360" w:lineRule="exact"/>
              <w:rPr>
                <w:rFonts w:eastAsia="方正仿宋简体"/>
                <w:color w:val="000000"/>
              </w:rPr>
            </w:pPr>
            <w:r w:rsidRPr="00ED2620">
              <w:rPr>
                <w:color w:val="000000"/>
              </w:rPr>
              <w:t>报告期期初管理人持有的本基金份额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sz w:val="24"/>
                <w:szCs w:val="24"/>
              </w:rPr>
            </w:pPr>
            <w:r w:rsidRPr="00ED2620">
              <w:rPr>
                <w:rFonts w:eastAsiaTheme="minorEastAsia"/>
                <w:color w:val="000000"/>
                <w:sz w:val="24"/>
              </w:rPr>
              <w:t>31,383,498.04</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660,995.13</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color w:val="000000"/>
                <w:sz w:val="24"/>
              </w:rPr>
              <w:t>报告期期末管理人持有的本基金份额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sz w:val="24"/>
                <w:szCs w:val="24"/>
              </w:rPr>
            </w:pPr>
            <w:r w:rsidRPr="00ED2620">
              <w:rPr>
                <w:rFonts w:eastAsiaTheme="minorEastAsia"/>
                <w:color w:val="000000"/>
                <w:sz w:val="24"/>
              </w:rPr>
              <w:t>32,044,493.17</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3.24</w:t>
            </w:r>
          </w:p>
        </w:tc>
      </w:tr>
    </w:tbl>
    <w:p w:rsidR="005C1B2A" w:rsidRDefault="00A8515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41063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410630">
      <w:pPr>
        <w:autoSpaceDE w:val="0"/>
        <w:autoSpaceDN w:val="0"/>
        <w:adjustRightInd w:val="0"/>
        <w:spacing w:before="29" w:line="288" w:lineRule="auto"/>
        <w:jc w:val="left"/>
        <w:rPr>
          <w:rFonts w:eastAsiaTheme="minorEastAsia"/>
          <w:color w:val="000000"/>
          <w:sz w:val="24"/>
        </w:rPr>
      </w:pPr>
    </w:p>
    <w:p w:rsidR="00320300" w:rsidRDefault="00410630" w:rsidP="00410630">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410630" w:rsidRPr="00410630" w:rsidRDefault="00410630" w:rsidP="00410630">
      <w:pPr>
        <w:autoSpaceDE w:val="0"/>
        <w:autoSpaceDN w:val="0"/>
        <w:adjustRightInd w:val="0"/>
        <w:spacing w:before="29" w:line="288" w:lineRule="auto"/>
        <w:jc w:val="right"/>
        <w:rPr>
          <w:rFonts w:eastAsiaTheme="minorEastAsia"/>
          <w:b/>
          <w:color w:val="000000"/>
          <w:sz w:val="24"/>
        </w:rPr>
      </w:pP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776"/>
        <w:gridCol w:w="1366"/>
        <w:gridCol w:w="1584"/>
        <w:gridCol w:w="1767"/>
        <w:gridCol w:w="1343"/>
      </w:tblGrid>
      <w:tr w:rsidR="00320300" w:rsidRPr="00414345" w:rsidTr="00C4232B">
        <w:trPr>
          <w:trHeight w:val="340"/>
          <w:jc w:val="center"/>
        </w:trPr>
        <w:tc>
          <w:tcPr>
            <w:tcW w:w="1032" w:type="dxa"/>
            <w:vAlign w:val="center"/>
          </w:tcPr>
          <w:p w:rsidR="00320300" w:rsidRPr="00414345" w:rsidRDefault="00320300" w:rsidP="00DA14B0">
            <w:pPr>
              <w:pStyle w:val="ad"/>
              <w:adjustRightInd w:val="0"/>
              <w:snapToGrid w:val="0"/>
              <w:spacing w:before="29" w:line="288" w:lineRule="auto"/>
              <w:jc w:val="center"/>
              <w:rPr>
                <w:color w:val="000000"/>
                <w:kern w:val="0"/>
              </w:rPr>
            </w:pPr>
            <w:r w:rsidRPr="00414345">
              <w:rPr>
                <w:color w:val="000000"/>
                <w:kern w:val="0"/>
              </w:rPr>
              <w:t>序号</w:t>
            </w:r>
          </w:p>
        </w:tc>
        <w:tc>
          <w:tcPr>
            <w:tcW w:w="1776" w:type="dxa"/>
            <w:vAlign w:val="center"/>
          </w:tcPr>
          <w:p w:rsidR="00320300" w:rsidRPr="00414345" w:rsidRDefault="00320300" w:rsidP="00DA14B0">
            <w:pPr>
              <w:adjustRightInd w:val="0"/>
              <w:snapToGrid w:val="0"/>
              <w:spacing w:before="29" w:line="288" w:lineRule="auto"/>
              <w:jc w:val="center"/>
              <w:rPr>
                <w:color w:val="000000"/>
                <w:kern w:val="0"/>
                <w:sz w:val="24"/>
              </w:rPr>
            </w:pPr>
            <w:r w:rsidRPr="00414345">
              <w:rPr>
                <w:color w:val="000000"/>
                <w:kern w:val="0"/>
                <w:sz w:val="24"/>
              </w:rPr>
              <w:t>交易方式</w:t>
            </w:r>
          </w:p>
        </w:tc>
        <w:tc>
          <w:tcPr>
            <w:tcW w:w="1366" w:type="dxa"/>
            <w:vAlign w:val="center"/>
          </w:tcPr>
          <w:p w:rsidR="00320300" w:rsidRPr="00414345" w:rsidRDefault="00320300" w:rsidP="00DA14B0">
            <w:pPr>
              <w:adjustRightInd w:val="0"/>
              <w:snapToGrid w:val="0"/>
              <w:spacing w:before="29" w:line="288" w:lineRule="auto"/>
              <w:rPr>
                <w:color w:val="000000"/>
                <w:kern w:val="0"/>
                <w:sz w:val="24"/>
              </w:rPr>
            </w:pPr>
            <w:r w:rsidRPr="00414345">
              <w:rPr>
                <w:color w:val="000000"/>
                <w:kern w:val="0"/>
                <w:sz w:val="24"/>
              </w:rPr>
              <w:t>交易日期</w:t>
            </w:r>
          </w:p>
        </w:tc>
        <w:tc>
          <w:tcPr>
            <w:tcW w:w="1584" w:type="dxa"/>
            <w:vAlign w:val="center"/>
          </w:tcPr>
          <w:p w:rsidR="00320300" w:rsidRPr="00414345" w:rsidRDefault="00320300" w:rsidP="00DA14B0">
            <w:pPr>
              <w:adjustRightInd w:val="0"/>
              <w:snapToGrid w:val="0"/>
              <w:spacing w:before="29" w:line="288" w:lineRule="auto"/>
              <w:jc w:val="center"/>
              <w:rPr>
                <w:color w:val="000000"/>
                <w:kern w:val="0"/>
                <w:sz w:val="24"/>
              </w:rPr>
            </w:pPr>
            <w:r w:rsidRPr="00414345">
              <w:rPr>
                <w:color w:val="000000"/>
                <w:kern w:val="0"/>
                <w:sz w:val="24"/>
              </w:rPr>
              <w:t>交易份额（份）</w:t>
            </w:r>
          </w:p>
        </w:tc>
        <w:tc>
          <w:tcPr>
            <w:tcW w:w="1767" w:type="dxa"/>
            <w:vAlign w:val="center"/>
          </w:tcPr>
          <w:p w:rsidR="00320300" w:rsidRPr="00414345" w:rsidRDefault="00320300" w:rsidP="00DA14B0">
            <w:pPr>
              <w:adjustRightInd w:val="0"/>
              <w:snapToGrid w:val="0"/>
              <w:spacing w:before="29" w:line="288" w:lineRule="auto"/>
              <w:jc w:val="center"/>
              <w:rPr>
                <w:color w:val="000000"/>
                <w:kern w:val="0"/>
                <w:sz w:val="24"/>
              </w:rPr>
            </w:pPr>
            <w:r w:rsidRPr="00414345">
              <w:rPr>
                <w:color w:val="000000"/>
                <w:kern w:val="0"/>
                <w:sz w:val="24"/>
              </w:rPr>
              <w:t>交易金额（元）</w:t>
            </w:r>
          </w:p>
        </w:tc>
        <w:tc>
          <w:tcPr>
            <w:tcW w:w="1343" w:type="dxa"/>
            <w:vAlign w:val="center"/>
          </w:tcPr>
          <w:p w:rsidR="00320300" w:rsidRPr="00414345" w:rsidRDefault="00320300" w:rsidP="00DA14B0">
            <w:pPr>
              <w:adjustRightInd w:val="0"/>
              <w:snapToGrid w:val="0"/>
              <w:spacing w:before="29" w:line="288" w:lineRule="auto"/>
              <w:jc w:val="center"/>
              <w:rPr>
                <w:color w:val="000000"/>
                <w:kern w:val="0"/>
                <w:sz w:val="24"/>
              </w:rPr>
            </w:pPr>
            <w:r w:rsidRPr="00414345">
              <w:rPr>
                <w:color w:val="000000"/>
                <w:kern w:val="0"/>
                <w:sz w:val="24"/>
              </w:rPr>
              <w:t>适用费率</w:t>
            </w:r>
          </w:p>
        </w:tc>
      </w:tr>
      <w:tr w:rsidR="005C1B2A" w:rsidTr="00C4232B">
        <w:trPr>
          <w:jc w:val="center"/>
        </w:trPr>
        <w:tc>
          <w:tcPr>
            <w:tcW w:w="1032" w:type="dxa"/>
            <w:vAlign w:val="center"/>
          </w:tcPr>
          <w:p w:rsidR="005C1B2A" w:rsidRDefault="00A85155">
            <w:pPr>
              <w:jc w:val="center"/>
            </w:pPr>
            <w:r>
              <w:rPr>
                <w:color w:val="000000"/>
                <w:sz w:val="24"/>
              </w:rPr>
              <w:t>1</w:t>
            </w:r>
          </w:p>
        </w:tc>
        <w:tc>
          <w:tcPr>
            <w:tcW w:w="1776" w:type="dxa"/>
            <w:vAlign w:val="center"/>
          </w:tcPr>
          <w:p w:rsidR="005C1B2A" w:rsidRDefault="00A85155">
            <w:pPr>
              <w:jc w:val="center"/>
            </w:pPr>
            <w:r>
              <w:rPr>
                <w:color w:val="000000"/>
                <w:sz w:val="24"/>
              </w:rPr>
              <w:t>红利再投</w:t>
            </w:r>
          </w:p>
        </w:tc>
        <w:tc>
          <w:tcPr>
            <w:tcW w:w="1366" w:type="dxa"/>
            <w:vAlign w:val="center"/>
          </w:tcPr>
          <w:p w:rsidR="005C1B2A" w:rsidRDefault="00A85155">
            <w:pPr>
              <w:jc w:val="center"/>
            </w:pPr>
            <w:r>
              <w:rPr>
                <w:color w:val="000000"/>
                <w:sz w:val="24"/>
              </w:rPr>
              <w:t>2014-01-10</w:t>
            </w:r>
          </w:p>
        </w:tc>
        <w:tc>
          <w:tcPr>
            <w:tcW w:w="1584" w:type="dxa"/>
            <w:vAlign w:val="center"/>
          </w:tcPr>
          <w:p w:rsidR="005C1B2A" w:rsidRDefault="00A85155">
            <w:pPr>
              <w:jc w:val="right"/>
            </w:pPr>
            <w:r>
              <w:rPr>
                <w:color w:val="000000"/>
                <w:sz w:val="24"/>
              </w:rPr>
              <w:t>660,995.13</w:t>
            </w:r>
          </w:p>
        </w:tc>
        <w:tc>
          <w:tcPr>
            <w:tcW w:w="1767" w:type="dxa"/>
            <w:vAlign w:val="center"/>
          </w:tcPr>
          <w:p w:rsidR="005C1B2A" w:rsidRDefault="00A85155">
            <w:pPr>
              <w:jc w:val="right"/>
            </w:pPr>
            <w:r>
              <w:rPr>
                <w:color w:val="000000"/>
                <w:sz w:val="24"/>
              </w:rPr>
              <w:t>753,203.95</w:t>
            </w:r>
          </w:p>
        </w:tc>
        <w:tc>
          <w:tcPr>
            <w:tcW w:w="1343" w:type="dxa"/>
            <w:vAlign w:val="center"/>
          </w:tcPr>
          <w:p w:rsidR="005C1B2A" w:rsidRDefault="00A85155">
            <w:pPr>
              <w:jc w:val="center"/>
            </w:pPr>
            <w:r>
              <w:rPr>
                <w:color w:val="000000"/>
                <w:sz w:val="24"/>
              </w:rPr>
              <w:t>0.00%</w:t>
            </w:r>
          </w:p>
        </w:tc>
      </w:tr>
      <w:tr w:rsidR="00320300" w:rsidRPr="00414345" w:rsidTr="00C4232B">
        <w:trPr>
          <w:trHeight w:val="340"/>
          <w:jc w:val="center"/>
        </w:trPr>
        <w:tc>
          <w:tcPr>
            <w:tcW w:w="1032" w:type="dxa"/>
            <w:vAlign w:val="center"/>
          </w:tcPr>
          <w:p w:rsidR="00320300" w:rsidRPr="00414345" w:rsidRDefault="00320300" w:rsidP="00DA14B0">
            <w:pPr>
              <w:pStyle w:val="ad"/>
              <w:adjustRightInd w:val="0"/>
              <w:snapToGrid w:val="0"/>
              <w:spacing w:before="29" w:line="288" w:lineRule="auto"/>
              <w:jc w:val="center"/>
              <w:rPr>
                <w:color w:val="000000"/>
                <w:kern w:val="0"/>
              </w:rPr>
            </w:pPr>
            <w:r w:rsidRPr="00414345">
              <w:rPr>
                <w:color w:val="000000"/>
                <w:kern w:val="0"/>
              </w:rPr>
              <w:t>合计</w:t>
            </w:r>
          </w:p>
        </w:tc>
        <w:tc>
          <w:tcPr>
            <w:tcW w:w="1776" w:type="dxa"/>
            <w:vAlign w:val="center"/>
          </w:tcPr>
          <w:p w:rsidR="00320300" w:rsidRPr="00414345" w:rsidRDefault="00320300" w:rsidP="00DA14B0">
            <w:pPr>
              <w:adjustRightInd w:val="0"/>
              <w:snapToGrid w:val="0"/>
              <w:spacing w:before="29" w:line="288" w:lineRule="auto"/>
              <w:jc w:val="right"/>
              <w:rPr>
                <w:color w:val="0000FF"/>
                <w:kern w:val="0"/>
                <w:sz w:val="18"/>
              </w:rPr>
            </w:pPr>
          </w:p>
        </w:tc>
        <w:tc>
          <w:tcPr>
            <w:tcW w:w="1366" w:type="dxa"/>
            <w:vAlign w:val="center"/>
          </w:tcPr>
          <w:p w:rsidR="00320300" w:rsidRPr="00414345" w:rsidRDefault="00320300" w:rsidP="00DA14B0">
            <w:pPr>
              <w:adjustRightInd w:val="0"/>
              <w:snapToGrid w:val="0"/>
              <w:spacing w:before="29" w:line="288" w:lineRule="auto"/>
              <w:jc w:val="right"/>
              <w:rPr>
                <w:color w:val="0000FF"/>
                <w:kern w:val="0"/>
                <w:sz w:val="18"/>
              </w:rPr>
            </w:pPr>
          </w:p>
        </w:tc>
        <w:tc>
          <w:tcPr>
            <w:tcW w:w="1584" w:type="dxa"/>
            <w:vAlign w:val="center"/>
          </w:tcPr>
          <w:p w:rsidR="00320300" w:rsidRPr="00414345" w:rsidRDefault="00320300" w:rsidP="00DA14B0">
            <w:pPr>
              <w:adjustRightInd w:val="0"/>
              <w:snapToGrid w:val="0"/>
              <w:spacing w:before="29" w:line="288" w:lineRule="auto"/>
              <w:jc w:val="right"/>
              <w:rPr>
                <w:color w:val="000000"/>
                <w:sz w:val="24"/>
              </w:rPr>
            </w:pPr>
            <w:r w:rsidRPr="00414345">
              <w:rPr>
                <w:color w:val="000000"/>
                <w:sz w:val="24"/>
              </w:rPr>
              <w:t>660,995.13</w:t>
            </w:r>
          </w:p>
        </w:tc>
        <w:tc>
          <w:tcPr>
            <w:tcW w:w="1767" w:type="dxa"/>
            <w:vAlign w:val="center"/>
          </w:tcPr>
          <w:p w:rsidR="00320300" w:rsidRPr="00414345" w:rsidRDefault="00320300" w:rsidP="00DA14B0">
            <w:pPr>
              <w:adjustRightInd w:val="0"/>
              <w:snapToGrid w:val="0"/>
              <w:spacing w:before="29" w:line="288" w:lineRule="auto"/>
              <w:jc w:val="right"/>
              <w:rPr>
                <w:color w:val="000000"/>
                <w:sz w:val="24"/>
              </w:rPr>
            </w:pPr>
            <w:r w:rsidRPr="00414345">
              <w:rPr>
                <w:color w:val="000000"/>
                <w:sz w:val="24"/>
              </w:rPr>
              <w:t>753,203.95</w:t>
            </w:r>
          </w:p>
        </w:tc>
        <w:tc>
          <w:tcPr>
            <w:tcW w:w="1343" w:type="dxa"/>
            <w:vAlign w:val="center"/>
          </w:tcPr>
          <w:p w:rsidR="00320300" w:rsidRPr="00414345" w:rsidRDefault="00320300" w:rsidP="00DA14B0">
            <w:pPr>
              <w:adjustRightInd w:val="0"/>
              <w:snapToGrid w:val="0"/>
              <w:spacing w:before="29" w:line="288" w:lineRule="auto"/>
              <w:jc w:val="right"/>
              <w:rPr>
                <w:color w:val="0000FF"/>
                <w:kern w:val="0"/>
                <w:sz w:val="18"/>
              </w:rPr>
            </w:pPr>
          </w:p>
        </w:tc>
      </w:tr>
    </w:tbl>
    <w:p w:rsidR="00480B35" w:rsidRPr="00414345" w:rsidRDefault="00480B35" w:rsidP="00DA14B0">
      <w:pPr>
        <w:autoSpaceDE w:val="0"/>
        <w:autoSpaceDN w:val="0"/>
        <w:adjustRightInd w:val="0"/>
        <w:spacing w:before="29" w:line="288" w:lineRule="auto"/>
        <w:jc w:val="left"/>
        <w:rPr>
          <w:color w:val="000000"/>
          <w:sz w:val="24"/>
        </w:rPr>
      </w:pPr>
    </w:p>
    <w:p w:rsidR="004061AC" w:rsidRPr="00414345" w:rsidRDefault="004061AC" w:rsidP="00DE0647">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）基金行业股票估值指数的通知》的指导意见，经与基金托管人协商一致，本基金对其所持有的鱼跃医疗（证券代码：</w:t>
      </w:r>
      <w:r w:rsidRPr="00414345">
        <w:rPr>
          <w:color w:val="000000"/>
          <w:sz w:val="24"/>
          <w:szCs w:val="24"/>
        </w:rPr>
        <w:t>002223</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28</w:t>
      </w:r>
      <w:r w:rsidRPr="00414345">
        <w:rPr>
          <w:color w:val="000000"/>
          <w:sz w:val="24"/>
          <w:szCs w:val="24"/>
        </w:rPr>
        <w:t>日起按照指数收益法进行估值。</w:t>
      </w:r>
    </w:p>
    <w:p w:rsidR="00ED6E80" w:rsidRPr="00414345" w:rsidRDefault="00ED6E80" w:rsidP="00DA14B0">
      <w:pPr>
        <w:spacing w:before="29" w:line="288" w:lineRule="auto"/>
        <w:ind w:firstLineChars="200" w:firstLine="480"/>
        <w:rPr>
          <w:color w:val="000000"/>
          <w:sz w:val="24"/>
          <w:szCs w:val="24"/>
        </w:rPr>
      </w:pPr>
    </w:p>
    <w:p w:rsidR="004061AC" w:rsidRPr="00414345" w:rsidRDefault="004061AC" w:rsidP="00DE0647">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5C1B2A" w:rsidRDefault="00A8515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、中国证监会核准交银施罗德先锋股票证券投资基金募集的文件；</w:t>
      </w:r>
    </w:p>
    <w:p w:rsidR="005C1B2A" w:rsidRDefault="00A8515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、《交银施罗德先锋股票证券投资基金基金合同》；</w:t>
      </w:r>
    </w:p>
    <w:p w:rsidR="005C1B2A" w:rsidRDefault="00A8515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、《交银施罗德先锋股票证券投资基金招募说明书》；</w:t>
      </w:r>
    </w:p>
    <w:p w:rsidR="005C1B2A" w:rsidRDefault="00A8515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、《交银施罗德先锋股票证券投资基金托管协议》；</w:t>
      </w:r>
    </w:p>
    <w:p w:rsidR="005C1B2A" w:rsidRDefault="00A85155">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5C1B2A" w:rsidRDefault="00A85155">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5C1B2A" w:rsidRDefault="00A85155">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、报告期内交银施罗德先锋股票证券投资基金在指定报刊上各项公告的原稿。</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5C1B2A" w:rsidRDefault="00A8515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2C3C7A" w:rsidRPr="00414345" w:rsidRDefault="006D7FF8">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C61" w:rsidRDefault="00A30C61" w:rsidP="00876D65">
      <w:r>
        <w:separator/>
      </w:r>
    </w:p>
  </w:endnote>
  <w:endnote w:type="continuationSeparator" w:id="0">
    <w:p w:rsidR="00A30C61" w:rsidRDefault="00A30C6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C1B2A">
      <w:rPr>
        <w:kern w:val="0"/>
        <w:szCs w:val="21"/>
      </w:rPr>
      <w:fldChar w:fldCharType="begin"/>
    </w:r>
    <w:r>
      <w:rPr>
        <w:kern w:val="0"/>
        <w:szCs w:val="21"/>
      </w:rPr>
      <w:instrText xml:space="preserve"> PAGE </w:instrText>
    </w:r>
    <w:r w:rsidR="005C1B2A">
      <w:rPr>
        <w:kern w:val="0"/>
        <w:szCs w:val="21"/>
      </w:rPr>
      <w:fldChar w:fldCharType="separate"/>
    </w:r>
    <w:r w:rsidR="00C4232B">
      <w:rPr>
        <w:noProof/>
        <w:kern w:val="0"/>
        <w:szCs w:val="21"/>
      </w:rPr>
      <w:t>1</w:t>
    </w:r>
    <w:r w:rsidR="005C1B2A">
      <w:rPr>
        <w:kern w:val="0"/>
        <w:szCs w:val="21"/>
      </w:rPr>
      <w:fldChar w:fldCharType="end"/>
    </w:r>
    <w:r>
      <w:rPr>
        <w:rFonts w:hint="eastAsia"/>
        <w:kern w:val="0"/>
        <w:szCs w:val="21"/>
      </w:rPr>
      <w:t>页共</w:t>
    </w:r>
    <w:r w:rsidR="005C1B2A">
      <w:rPr>
        <w:kern w:val="0"/>
        <w:szCs w:val="21"/>
      </w:rPr>
      <w:fldChar w:fldCharType="begin"/>
    </w:r>
    <w:r>
      <w:rPr>
        <w:kern w:val="0"/>
        <w:szCs w:val="21"/>
      </w:rPr>
      <w:instrText xml:space="preserve"> NUMPAGES </w:instrText>
    </w:r>
    <w:r w:rsidR="005C1B2A">
      <w:rPr>
        <w:kern w:val="0"/>
        <w:szCs w:val="21"/>
      </w:rPr>
      <w:fldChar w:fldCharType="separate"/>
    </w:r>
    <w:r w:rsidR="00C4232B">
      <w:rPr>
        <w:noProof/>
        <w:kern w:val="0"/>
        <w:szCs w:val="21"/>
      </w:rPr>
      <w:t>12</w:t>
    </w:r>
    <w:r w:rsidR="005C1B2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C61" w:rsidRDefault="00A30C61" w:rsidP="00876D65">
      <w:r>
        <w:separator/>
      </w:r>
    </w:p>
  </w:footnote>
  <w:footnote w:type="continuationSeparator" w:id="0">
    <w:p w:rsidR="00A30C61" w:rsidRDefault="00A30C6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F6CC8"/>
    <w:rsid w:val="00111261"/>
    <w:rsid w:val="00133015"/>
    <w:rsid w:val="00137452"/>
    <w:rsid w:val="00137B31"/>
    <w:rsid w:val="00144F93"/>
    <w:rsid w:val="00147376"/>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83857"/>
    <w:rsid w:val="0039085F"/>
    <w:rsid w:val="00394069"/>
    <w:rsid w:val="00396809"/>
    <w:rsid w:val="003A6061"/>
    <w:rsid w:val="003B3494"/>
    <w:rsid w:val="003B6FBC"/>
    <w:rsid w:val="003D742E"/>
    <w:rsid w:val="003E62FB"/>
    <w:rsid w:val="003E6867"/>
    <w:rsid w:val="003F09B5"/>
    <w:rsid w:val="003F1ECB"/>
    <w:rsid w:val="003F39DF"/>
    <w:rsid w:val="003F63BE"/>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C1B2A"/>
    <w:rsid w:val="005D2B36"/>
    <w:rsid w:val="005E475E"/>
    <w:rsid w:val="005F118D"/>
    <w:rsid w:val="005F3996"/>
    <w:rsid w:val="005F6AF6"/>
    <w:rsid w:val="00604E50"/>
    <w:rsid w:val="006054CF"/>
    <w:rsid w:val="006066D2"/>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CD8"/>
    <w:rsid w:val="00655E1C"/>
    <w:rsid w:val="006571DC"/>
    <w:rsid w:val="00660D4B"/>
    <w:rsid w:val="00664ECC"/>
    <w:rsid w:val="00670989"/>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00A9"/>
    <w:rsid w:val="00706D60"/>
    <w:rsid w:val="007075E3"/>
    <w:rsid w:val="00707F66"/>
    <w:rsid w:val="00710AE0"/>
    <w:rsid w:val="00713A1A"/>
    <w:rsid w:val="00713B5F"/>
    <w:rsid w:val="00720D28"/>
    <w:rsid w:val="00722509"/>
    <w:rsid w:val="00723CB2"/>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0186"/>
    <w:rsid w:val="00812D46"/>
    <w:rsid w:val="008148E0"/>
    <w:rsid w:val="00815A38"/>
    <w:rsid w:val="0082103F"/>
    <w:rsid w:val="00824239"/>
    <w:rsid w:val="008279FE"/>
    <w:rsid w:val="00831259"/>
    <w:rsid w:val="0083208A"/>
    <w:rsid w:val="0083218A"/>
    <w:rsid w:val="00832A00"/>
    <w:rsid w:val="0083636C"/>
    <w:rsid w:val="00837845"/>
    <w:rsid w:val="008442C4"/>
    <w:rsid w:val="00844DB2"/>
    <w:rsid w:val="00846739"/>
    <w:rsid w:val="00853140"/>
    <w:rsid w:val="00854537"/>
    <w:rsid w:val="00855F31"/>
    <w:rsid w:val="008606B6"/>
    <w:rsid w:val="00861E6D"/>
    <w:rsid w:val="008700EC"/>
    <w:rsid w:val="008749A7"/>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2793F"/>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0C61"/>
    <w:rsid w:val="00A31574"/>
    <w:rsid w:val="00A31671"/>
    <w:rsid w:val="00A324F4"/>
    <w:rsid w:val="00A36930"/>
    <w:rsid w:val="00A45320"/>
    <w:rsid w:val="00A54C7D"/>
    <w:rsid w:val="00A5612C"/>
    <w:rsid w:val="00A5689C"/>
    <w:rsid w:val="00A57AE4"/>
    <w:rsid w:val="00A63F19"/>
    <w:rsid w:val="00A669FC"/>
    <w:rsid w:val="00A66F42"/>
    <w:rsid w:val="00A76625"/>
    <w:rsid w:val="00A81F53"/>
    <w:rsid w:val="00A83500"/>
    <w:rsid w:val="00A85155"/>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21520"/>
    <w:rsid w:val="00C222B2"/>
    <w:rsid w:val="00C225FB"/>
    <w:rsid w:val="00C23547"/>
    <w:rsid w:val="00C2499B"/>
    <w:rsid w:val="00C4232B"/>
    <w:rsid w:val="00C451A3"/>
    <w:rsid w:val="00C46B88"/>
    <w:rsid w:val="00C47163"/>
    <w:rsid w:val="00C5218C"/>
    <w:rsid w:val="00C52191"/>
    <w:rsid w:val="00C53472"/>
    <w:rsid w:val="00C53D1B"/>
    <w:rsid w:val="00C5642F"/>
    <w:rsid w:val="00C6002A"/>
    <w:rsid w:val="00C629B1"/>
    <w:rsid w:val="00C63554"/>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67025"/>
    <w:rsid w:val="00D75E69"/>
    <w:rsid w:val="00D8099B"/>
    <w:rsid w:val="00D866A8"/>
    <w:rsid w:val="00D94B8D"/>
    <w:rsid w:val="00D96C8D"/>
    <w:rsid w:val="00D974EF"/>
    <w:rsid w:val="00DA0C61"/>
    <w:rsid w:val="00DA14B0"/>
    <w:rsid w:val="00DA2876"/>
    <w:rsid w:val="00DC0B51"/>
    <w:rsid w:val="00DC6B55"/>
    <w:rsid w:val="00DE0647"/>
    <w:rsid w:val="00DE27F7"/>
    <w:rsid w:val="00DE4B43"/>
    <w:rsid w:val="00E36549"/>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D0328"/>
    <w:rsid w:val="00ED14D5"/>
    <w:rsid w:val="00ED2620"/>
    <w:rsid w:val="00ED62BE"/>
    <w:rsid w:val="00ED6E80"/>
    <w:rsid w:val="00ED7B83"/>
    <w:rsid w:val="00EE3BC8"/>
    <w:rsid w:val="00EF17AB"/>
    <w:rsid w:val="00EF6FA5"/>
    <w:rsid w:val="00F11104"/>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F6542D7-C237-46AA-B8BF-06DCB261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E4205-8408-4ABA-BA61-A715C4B7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1085</Words>
  <Characters>6185</Characters>
  <Application>Microsoft Office Word</Application>
  <DocSecurity>0</DocSecurity>
  <Lines>51</Lines>
  <Paragraphs>14</Paragraphs>
  <ScaleCrop>false</ScaleCrop>
  <Company/>
  <LinksUpToDate>false</LinksUpToDate>
  <CharactersWithSpaces>7256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荣华</cp:lastModifiedBy>
  <cp:revision>2</cp:revision>
  <dcterms:created xsi:type="dcterms:W3CDTF">2014-04-16T12:30:00Z</dcterms:created>
  <dcterms:modified xsi:type="dcterms:W3CDTF">2014-04-16T12:30:00Z</dcterms:modified>
</cp:coreProperties>
</file>