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交银施罗德蓝筹股票证券投资基金</w:t>
      </w:r>
      <w:bookmarkStart w:id="0" w:name="_GoBack"/>
      <w:bookmarkEnd w:id="0"/>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基金托管人：中国建设银行股份有限公司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095F0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05BD1" w:rsidRDefault="00ED13A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095F0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交银蓝筹股票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9,871,345,552.72</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本基金是一只股票型基金，以优质蓝筹股为主要投资</w:t>
            </w:r>
            <w:r w:rsidRPr="00414345">
              <w:rPr>
                <w:color w:val="000000"/>
                <w:kern w:val="0"/>
                <w:sz w:val="24"/>
                <w:szCs w:val="24"/>
              </w:rPr>
              <w:lastRenderedPageBreak/>
              <w:t>对象，属于证券投资基金中较高预期收益和较高风险的品种，本基金的风险与预期收益都要高于混合型基金和债券型基金。</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095F0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D13A8" w:rsidRPr="00414345" w:rsidTr="00ED13A8">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D13A8" w:rsidRPr="00414345" w:rsidTr="00ED13A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91,835,155.61</w:t>
            </w:r>
          </w:p>
        </w:tc>
      </w:tr>
      <w:tr w:rsidR="00ED13A8" w:rsidRPr="00414345" w:rsidTr="00ED13A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-642,033,806.38</w:t>
            </w:r>
          </w:p>
        </w:tc>
      </w:tr>
      <w:tr w:rsidR="00ED13A8" w:rsidRPr="00414345" w:rsidTr="00ED13A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-0.0638</w:t>
            </w:r>
          </w:p>
        </w:tc>
      </w:tr>
      <w:tr w:rsidR="00ED13A8" w:rsidRPr="00414345" w:rsidTr="00ED13A8">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6,761,615,287.05</w:t>
            </w:r>
          </w:p>
        </w:tc>
      </w:tr>
      <w:tr w:rsidR="00ED13A8" w:rsidRPr="00414345" w:rsidTr="00ED13A8">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0.6850</w:t>
            </w:r>
          </w:p>
        </w:tc>
      </w:tr>
    </w:tbl>
    <w:p w:rsidR="00205BD1" w:rsidRDefault="00ED13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05BD1">
        <w:trPr>
          <w:jc w:val="center"/>
        </w:trPr>
        <w:tc>
          <w:tcPr>
            <w:tcW w:w="1701" w:type="dxa"/>
            <w:vAlign w:val="center"/>
          </w:tcPr>
          <w:p w:rsidR="00205BD1" w:rsidRDefault="00ED13A8">
            <w:pPr>
              <w:jc w:val="left"/>
            </w:pPr>
            <w:r>
              <w:rPr>
                <w:color w:val="000000"/>
                <w:sz w:val="24"/>
                <w:szCs w:val="24"/>
              </w:rPr>
              <w:t>过去三个月</w:t>
            </w:r>
          </w:p>
        </w:tc>
        <w:tc>
          <w:tcPr>
            <w:tcW w:w="1045" w:type="dxa"/>
            <w:vAlign w:val="center"/>
          </w:tcPr>
          <w:p w:rsidR="00205BD1" w:rsidRDefault="00ED13A8">
            <w:pPr>
              <w:jc w:val="center"/>
            </w:pPr>
            <w:r>
              <w:rPr>
                <w:color w:val="000000"/>
                <w:sz w:val="24"/>
                <w:szCs w:val="24"/>
              </w:rPr>
              <w:t>-8.67%</w:t>
            </w:r>
          </w:p>
        </w:tc>
        <w:tc>
          <w:tcPr>
            <w:tcW w:w="1344" w:type="dxa"/>
            <w:vAlign w:val="center"/>
          </w:tcPr>
          <w:p w:rsidR="00205BD1" w:rsidRDefault="00ED13A8">
            <w:pPr>
              <w:jc w:val="center"/>
            </w:pPr>
            <w:r>
              <w:rPr>
                <w:color w:val="000000"/>
                <w:sz w:val="24"/>
                <w:szCs w:val="24"/>
              </w:rPr>
              <w:t>1.22%</w:t>
            </w:r>
          </w:p>
        </w:tc>
        <w:tc>
          <w:tcPr>
            <w:tcW w:w="1194" w:type="dxa"/>
            <w:vAlign w:val="center"/>
          </w:tcPr>
          <w:p w:rsidR="00205BD1" w:rsidRDefault="00ED13A8">
            <w:pPr>
              <w:jc w:val="center"/>
            </w:pPr>
            <w:r>
              <w:rPr>
                <w:color w:val="000000"/>
                <w:sz w:val="24"/>
                <w:szCs w:val="24"/>
              </w:rPr>
              <w:t>-5.84%</w:t>
            </w:r>
          </w:p>
        </w:tc>
        <w:tc>
          <w:tcPr>
            <w:tcW w:w="1492" w:type="dxa"/>
            <w:vAlign w:val="center"/>
          </w:tcPr>
          <w:p w:rsidR="00205BD1" w:rsidRDefault="00ED13A8">
            <w:pPr>
              <w:jc w:val="center"/>
            </w:pPr>
            <w:r>
              <w:rPr>
                <w:color w:val="000000"/>
                <w:sz w:val="24"/>
                <w:szCs w:val="24"/>
              </w:rPr>
              <w:t>0.89%</w:t>
            </w:r>
          </w:p>
        </w:tc>
        <w:tc>
          <w:tcPr>
            <w:tcW w:w="1194" w:type="dxa"/>
            <w:vAlign w:val="center"/>
          </w:tcPr>
          <w:p w:rsidR="00205BD1" w:rsidRDefault="00ED13A8">
            <w:pPr>
              <w:jc w:val="center"/>
            </w:pPr>
            <w:r>
              <w:rPr>
                <w:color w:val="000000"/>
                <w:sz w:val="24"/>
                <w:szCs w:val="24"/>
              </w:rPr>
              <w:t>-2.83%</w:t>
            </w:r>
          </w:p>
        </w:tc>
        <w:tc>
          <w:tcPr>
            <w:tcW w:w="898" w:type="dxa"/>
            <w:vAlign w:val="center"/>
          </w:tcPr>
          <w:p w:rsidR="00205BD1" w:rsidRDefault="00ED13A8">
            <w:pPr>
              <w:jc w:val="center"/>
            </w:pPr>
            <w:r>
              <w:rPr>
                <w:color w:val="000000"/>
                <w:sz w:val="24"/>
                <w:szCs w:val="24"/>
              </w:rPr>
              <w:t>0.33%</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交银施罗德蓝筹股票证券投资基金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095F0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205BD1">
        <w:trPr>
          <w:jc w:val="center"/>
        </w:trPr>
        <w:tc>
          <w:tcPr>
            <w:tcW w:w="846" w:type="dxa"/>
            <w:vAlign w:val="center"/>
          </w:tcPr>
          <w:p w:rsidR="00205BD1" w:rsidRDefault="00ED13A8">
            <w:pPr>
              <w:jc w:val="center"/>
            </w:pPr>
            <w:r>
              <w:rPr>
                <w:color w:val="000000"/>
                <w:sz w:val="24"/>
                <w:szCs w:val="24"/>
              </w:rPr>
              <w:t>张媚钗</w:t>
            </w:r>
          </w:p>
        </w:tc>
        <w:tc>
          <w:tcPr>
            <w:tcW w:w="845" w:type="dxa"/>
            <w:vAlign w:val="center"/>
          </w:tcPr>
          <w:p w:rsidR="00205BD1" w:rsidRDefault="00ED13A8">
            <w:pPr>
              <w:jc w:val="center"/>
            </w:pPr>
            <w:r>
              <w:rPr>
                <w:color w:val="000000"/>
                <w:sz w:val="24"/>
                <w:szCs w:val="24"/>
              </w:rPr>
              <w:t>本基金的基金经理</w:t>
            </w:r>
          </w:p>
        </w:tc>
        <w:tc>
          <w:tcPr>
            <w:tcW w:w="1549" w:type="dxa"/>
            <w:vAlign w:val="center"/>
          </w:tcPr>
          <w:p w:rsidR="00205BD1" w:rsidRDefault="00ED13A8">
            <w:pPr>
              <w:jc w:val="center"/>
            </w:pPr>
            <w:r>
              <w:rPr>
                <w:color w:val="000000"/>
                <w:sz w:val="24"/>
                <w:szCs w:val="24"/>
              </w:rPr>
              <w:t>2010-06-04</w:t>
            </w:r>
          </w:p>
        </w:tc>
        <w:tc>
          <w:tcPr>
            <w:tcW w:w="1548" w:type="dxa"/>
            <w:vAlign w:val="center"/>
          </w:tcPr>
          <w:p w:rsidR="00205BD1" w:rsidRDefault="00ED13A8">
            <w:pPr>
              <w:jc w:val="center"/>
            </w:pPr>
            <w:r>
              <w:rPr>
                <w:color w:val="000000"/>
                <w:sz w:val="24"/>
                <w:szCs w:val="24"/>
              </w:rPr>
              <w:t>-</w:t>
            </w:r>
          </w:p>
        </w:tc>
        <w:tc>
          <w:tcPr>
            <w:tcW w:w="1407" w:type="dxa"/>
            <w:vAlign w:val="center"/>
          </w:tcPr>
          <w:p w:rsidR="00205BD1" w:rsidRDefault="00ED13A8">
            <w:pPr>
              <w:jc w:val="center"/>
            </w:pPr>
            <w:r>
              <w:rPr>
                <w:color w:val="000000"/>
                <w:sz w:val="24"/>
                <w:szCs w:val="24"/>
              </w:rPr>
              <w:t>12</w:t>
            </w:r>
            <w:r>
              <w:rPr>
                <w:color w:val="000000"/>
                <w:sz w:val="24"/>
                <w:szCs w:val="24"/>
              </w:rPr>
              <w:t>年</w:t>
            </w:r>
          </w:p>
        </w:tc>
        <w:tc>
          <w:tcPr>
            <w:tcW w:w="2673" w:type="dxa"/>
            <w:vAlign w:val="center"/>
          </w:tcPr>
          <w:p w:rsidR="00205BD1" w:rsidRDefault="00ED13A8">
            <w:r>
              <w:rPr>
                <w:color w:val="000000"/>
                <w:sz w:val="24"/>
                <w:szCs w:val="24"/>
              </w:rPr>
              <w:t>张媚钗女士，经济学硕士。历任申银万国证券研究所研究员。</w:t>
            </w:r>
            <w:r>
              <w:rPr>
                <w:color w:val="000000"/>
                <w:sz w:val="24"/>
                <w:szCs w:val="24"/>
              </w:rPr>
              <w:t>2005</w:t>
            </w:r>
            <w:r>
              <w:rPr>
                <w:color w:val="000000"/>
                <w:sz w:val="24"/>
                <w:szCs w:val="24"/>
              </w:rPr>
              <w:t>年加入交银施罗德基金管理有限公司，历任投资研究部研究员、基金经理助理和专户投资经理。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05BD1" w:rsidRDefault="00ED13A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05BD1" w:rsidRDefault="00ED13A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05BD1" w:rsidRDefault="00ED13A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05BD1" w:rsidRDefault="00ED13A8">
      <w:pPr>
        <w:spacing w:before="29" w:line="288" w:lineRule="auto"/>
        <w:ind w:firstLineChars="200" w:firstLine="480"/>
        <w:rPr>
          <w:color w:val="000000"/>
          <w:sz w:val="24"/>
          <w:szCs w:val="24"/>
        </w:rPr>
      </w:pPr>
      <w:r>
        <w:rPr>
          <w:color w:val="000000"/>
          <w:sz w:val="24"/>
          <w:szCs w:val="24"/>
        </w:rPr>
        <w:t>一季度，国内经济有所趋弱，通胀压力继续减轻。国内来看，地产量价持续萎靡拖累整体需求，并促发了稳增长政策的预期，但鉴于结构调整压力巨大，稳增长政策仅起到托底作用。另一方面，央行拓展人民币双向波动，美联储继续量化宽松政策的退出，这些均触发热钱流入的减少，短期外汇占款流入明显回落。由于新股发行即将重新开启，创业板发审条件有所放宽，市场对整体融资压力的担忧明显增强，中小创业板个股先扬后抑，普遍出现一定回调。而随着两会的召开，政府工作报告中进一步指明了未来几年的改革纲领和路径，提振了资本市场对于经济转型和平稳增长的预期，与改革及区域规划相关的主题得到了市场一定程度的追捧。</w:t>
      </w:r>
    </w:p>
    <w:p w:rsidR="00205BD1" w:rsidRDefault="00ED13A8">
      <w:pPr>
        <w:spacing w:before="29" w:line="288" w:lineRule="auto"/>
        <w:ind w:firstLineChars="200" w:firstLine="480"/>
        <w:rPr>
          <w:color w:val="000000"/>
          <w:sz w:val="24"/>
          <w:szCs w:val="24"/>
        </w:rPr>
      </w:pPr>
      <w:r>
        <w:rPr>
          <w:color w:val="000000"/>
          <w:sz w:val="24"/>
          <w:szCs w:val="24"/>
        </w:rPr>
        <w:t>报告期内，伴随经济回落，以及市场对改革的预期，信息服务及设备、机械设备、休闲服务等行业表现突出，而采掘、农业、家电、钢铁等行业则受到了需求或价格放缓的负面影响表现疲软。整个一季度，市场延续前期自下而上的成长股选股逻辑以及主题投资风格，但是后半期成长及主题的风格溢价有显著回落。报告期间本基金配置延续偏向成长，在医药、机械、新能源等细分成长类行业中取得了一定的相对回报，但受到全市场白马成长股表现的拖累，部分中大市值成长个股对基金业绩有所影响。</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宏观经济在整体政策取向改革与结构调整的背景下，可能不会有太大起色，随着稳增长政策的逐步出台，经济仍将呈现区间波动特征，传统行业估值有所修复，代表未来发展方向的新兴产业估值溢价回落后仍将具备一定投资价值，这将集中在今年景气继续改善和长期渗透率仍低的两个方向上，二季度本基金将继续精选个别领域寻找投资机会，计划适当参与传统领域的改革主题。</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0.6850</w:t>
      </w:r>
      <w:r w:rsidRPr="00414345">
        <w:rPr>
          <w:color w:val="000000"/>
          <w:sz w:val="24"/>
          <w:szCs w:val="24"/>
        </w:rPr>
        <w:t>元，本报告期份额净值增长率为</w:t>
      </w:r>
      <w:r w:rsidRPr="00414345">
        <w:rPr>
          <w:color w:val="000000"/>
          <w:sz w:val="24"/>
          <w:szCs w:val="24"/>
        </w:rPr>
        <w:t>-8.67%</w:t>
      </w:r>
      <w:r w:rsidRPr="00414345">
        <w:rPr>
          <w:color w:val="000000"/>
          <w:sz w:val="24"/>
          <w:szCs w:val="24"/>
        </w:rPr>
        <w:t>，同期业绩比较基准增长率为</w:t>
      </w:r>
      <w:r w:rsidRPr="00414345">
        <w:rPr>
          <w:color w:val="000000"/>
          <w:sz w:val="24"/>
          <w:szCs w:val="24"/>
        </w:rPr>
        <w:t>-5.84%</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095F0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4,820,510,272.88</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71.00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4,820,510,272.88</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71.00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160,321,717.33</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2.36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160,321,717.33</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2.36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1,063,666,711.31</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15.67</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716,773,785.53</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10.56</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27,707,724.74</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0.41</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6,788,980,211.79</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ED13A8">
            <w:pPr>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ED13A8">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3,612,936,575.81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53.43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73,073,462.28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200,650,188.97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ED13A8">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140,312,997.58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167,580,000.00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136,035,294.83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276,551,935.25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66,092,515.01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66,060,000.00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31,746,792.63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49,470,510.52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4,820,510,272.88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71.29</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05BD1">
        <w:trPr>
          <w:jc w:val="center"/>
        </w:trPr>
        <w:tc>
          <w:tcPr>
            <w:tcW w:w="855" w:type="dxa"/>
            <w:vAlign w:val="center"/>
          </w:tcPr>
          <w:p w:rsidR="00205BD1" w:rsidRDefault="00ED13A8">
            <w:pPr>
              <w:jc w:val="center"/>
            </w:pPr>
            <w:r>
              <w:rPr>
                <w:color w:val="000000"/>
                <w:sz w:val="24"/>
                <w:szCs w:val="24"/>
              </w:rPr>
              <w:t>1</w:t>
            </w:r>
          </w:p>
        </w:tc>
        <w:tc>
          <w:tcPr>
            <w:tcW w:w="1334" w:type="dxa"/>
            <w:vAlign w:val="center"/>
          </w:tcPr>
          <w:p w:rsidR="00205BD1" w:rsidRDefault="00ED13A8">
            <w:pPr>
              <w:jc w:val="center"/>
            </w:pPr>
            <w:r>
              <w:rPr>
                <w:color w:val="000000"/>
                <w:sz w:val="24"/>
                <w:szCs w:val="24"/>
              </w:rPr>
              <w:t>600535</w:t>
            </w:r>
          </w:p>
        </w:tc>
        <w:tc>
          <w:tcPr>
            <w:tcW w:w="1777" w:type="dxa"/>
            <w:vAlign w:val="center"/>
          </w:tcPr>
          <w:p w:rsidR="00205BD1" w:rsidRDefault="00ED13A8">
            <w:pPr>
              <w:jc w:val="center"/>
            </w:pPr>
            <w:r>
              <w:rPr>
                <w:color w:val="000000"/>
                <w:sz w:val="24"/>
                <w:szCs w:val="24"/>
              </w:rPr>
              <w:t>天士力</w:t>
            </w:r>
          </w:p>
        </w:tc>
        <w:tc>
          <w:tcPr>
            <w:tcW w:w="1334" w:type="dxa"/>
            <w:vAlign w:val="center"/>
          </w:tcPr>
          <w:p w:rsidR="00205BD1" w:rsidRDefault="00ED13A8">
            <w:pPr>
              <w:jc w:val="right"/>
            </w:pPr>
            <w:r>
              <w:rPr>
                <w:color w:val="000000"/>
                <w:sz w:val="24"/>
                <w:szCs w:val="24"/>
              </w:rPr>
              <w:t>8,660,000</w:t>
            </w:r>
          </w:p>
        </w:tc>
        <w:tc>
          <w:tcPr>
            <w:tcW w:w="1924" w:type="dxa"/>
            <w:vAlign w:val="center"/>
          </w:tcPr>
          <w:p w:rsidR="00205BD1" w:rsidRDefault="00ED13A8">
            <w:pPr>
              <w:jc w:val="right"/>
            </w:pPr>
            <w:r>
              <w:rPr>
                <w:color w:val="000000"/>
                <w:sz w:val="24"/>
                <w:szCs w:val="24"/>
              </w:rPr>
              <w:t>337,653,400.00</w:t>
            </w:r>
          </w:p>
        </w:tc>
        <w:tc>
          <w:tcPr>
            <w:tcW w:w="1644" w:type="dxa"/>
            <w:vAlign w:val="center"/>
          </w:tcPr>
          <w:p w:rsidR="00205BD1" w:rsidRDefault="00ED13A8">
            <w:pPr>
              <w:jc w:val="right"/>
            </w:pPr>
            <w:r>
              <w:rPr>
                <w:color w:val="000000"/>
                <w:sz w:val="24"/>
                <w:szCs w:val="24"/>
              </w:rPr>
              <w:t>4.99</w:t>
            </w:r>
          </w:p>
        </w:tc>
      </w:tr>
      <w:tr w:rsidR="00205BD1">
        <w:trPr>
          <w:jc w:val="center"/>
        </w:trPr>
        <w:tc>
          <w:tcPr>
            <w:tcW w:w="855" w:type="dxa"/>
            <w:vAlign w:val="center"/>
          </w:tcPr>
          <w:p w:rsidR="00205BD1" w:rsidRDefault="00ED13A8">
            <w:pPr>
              <w:jc w:val="center"/>
            </w:pPr>
            <w:r>
              <w:rPr>
                <w:color w:val="000000"/>
                <w:sz w:val="24"/>
                <w:szCs w:val="24"/>
              </w:rPr>
              <w:t>2</w:t>
            </w:r>
          </w:p>
        </w:tc>
        <w:tc>
          <w:tcPr>
            <w:tcW w:w="1334" w:type="dxa"/>
            <w:vAlign w:val="center"/>
          </w:tcPr>
          <w:p w:rsidR="00205BD1" w:rsidRDefault="00ED13A8">
            <w:pPr>
              <w:jc w:val="center"/>
            </w:pPr>
            <w:r>
              <w:rPr>
                <w:color w:val="000000"/>
                <w:sz w:val="24"/>
                <w:szCs w:val="24"/>
              </w:rPr>
              <w:t>600703</w:t>
            </w:r>
          </w:p>
        </w:tc>
        <w:tc>
          <w:tcPr>
            <w:tcW w:w="1777" w:type="dxa"/>
            <w:vAlign w:val="center"/>
          </w:tcPr>
          <w:p w:rsidR="00205BD1" w:rsidRDefault="00ED13A8">
            <w:pPr>
              <w:jc w:val="center"/>
            </w:pPr>
            <w:r>
              <w:rPr>
                <w:color w:val="000000"/>
                <w:sz w:val="24"/>
                <w:szCs w:val="24"/>
              </w:rPr>
              <w:t>三安光电</w:t>
            </w:r>
          </w:p>
        </w:tc>
        <w:tc>
          <w:tcPr>
            <w:tcW w:w="1334" w:type="dxa"/>
            <w:vAlign w:val="center"/>
          </w:tcPr>
          <w:p w:rsidR="00205BD1" w:rsidRDefault="00ED13A8">
            <w:pPr>
              <w:jc w:val="right"/>
            </w:pPr>
            <w:r>
              <w:rPr>
                <w:color w:val="000000"/>
                <w:sz w:val="24"/>
                <w:szCs w:val="24"/>
              </w:rPr>
              <w:t>11,000,000</w:t>
            </w:r>
          </w:p>
        </w:tc>
        <w:tc>
          <w:tcPr>
            <w:tcW w:w="1924" w:type="dxa"/>
            <w:vAlign w:val="center"/>
          </w:tcPr>
          <w:p w:rsidR="00205BD1" w:rsidRDefault="00ED13A8">
            <w:pPr>
              <w:jc w:val="right"/>
            </w:pPr>
            <w:r>
              <w:rPr>
                <w:color w:val="000000"/>
                <w:sz w:val="24"/>
                <w:szCs w:val="24"/>
              </w:rPr>
              <w:t>250,250,000.00</w:t>
            </w:r>
          </w:p>
        </w:tc>
        <w:tc>
          <w:tcPr>
            <w:tcW w:w="1644" w:type="dxa"/>
            <w:vAlign w:val="center"/>
          </w:tcPr>
          <w:p w:rsidR="00205BD1" w:rsidRDefault="00ED13A8">
            <w:pPr>
              <w:jc w:val="right"/>
            </w:pPr>
            <w:r>
              <w:rPr>
                <w:color w:val="000000"/>
                <w:sz w:val="24"/>
                <w:szCs w:val="24"/>
              </w:rPr>
              <w:t>3.70</w:t>
            </w:r>
          </w:p>
        </w:tc>
      </w:tr>
      <w:tr w:rsidR="00205BD1">
        <w:trPr>
          <w:jc w:val="center"/>
        </w:trPr>
        <w:tc>
          <w:tcPr>
            <w:tcW w:w="855" w:type="dxa"/>
            <w:vAlign w:val="center"/>
          </w:tcPr>
          <w:p w:rsidR="00205BD1" w:rsidRDefault="00ED13A8">
            <w:pPr>
              <w:jc w:val="center"/>
            </w:pPr>
            <w:r>
              <w:rPr>
                <w:color w:val="000000"/>
                <w:sz w:val="24"/>
                <w:szCs w:val="24"/>
              </w:rPr>
              <w:t>3</w:t>
            </w:r>
          </w:p>
        </w:tc>
        <w:tc>
          <w:tcPr>
            <w:tcW w:w="1334" w:type="dxa"/>
            <w:vAlign w:val="center"/>
          </w:tcPr>
          <w:p w:rsidR="00205BD1" w:rsidRDefault="00ED13A8">
            <w:pPr>
              <w:jc w:val="center"/>
            </w:pPr>
            <w:r>
              <w:rPr>
                <w:color w:val="000000"/>
                <w:sz w:val="24"/>
                <w:szCs w:val="24"/>
              </w:rPr>
              <w:t>002415</w:t>
            </w:r>
          </w:p>
        </w:tc>
        <w:tc>
          <w:tcPr>
            <w:tcW w:w="1777" w:type="dxa"/>
            <w:vAlign w:val="center"/>
          </w:tcPr>
          <w:p w:rsidR="00205BD1" w:rsidRDefault="00ED13A8">
            <w:pPr>
              <w:jc w:val="center"/>
            </w:pPr>
            <w:r>
              <w:rPr>
                <w:color w:val="000000"/>
                <w:sz w:val="24"/>
                <w:szCs w:val="24"/>
              </w:rPr>
              <w:t>海康威视</w:t>
            </w:r>
          </w:p>
        </w:tc>
        <w:tc>
          <w:tcPr>
            <w:tcW w:w="1334" w:type="dxa"/>
            <w:vAlign w:val="center"/>
          </w:tcPr>
          <w:p w:rsidR="00205BD1" w:rsidRDefault="00ED13A8">
            <w:pPr>
              <w:jc w:val="right"/>
            </w:pPr>
            <w:r>
              <w:rPr>
                <w:color w:val="000000"/>
                <w:sz w:val="24"/>
                <w:szCs w:val="24"/>
              </w:rPr>
              <w:t>13,057,609</w:t>
            </w:r>
          </w:p>
        </w:tc>
        <w:tc>
          <w:tcPr>
            <w:tcW w:w="1924" w:type="dxa"/>
            <w:vAlign w:val="center"/>
          </w:tcPr>
          <w:p w:rsidR="00205BD1" w:rsidRDefault="00ED13A8">
            <w:pPr>
              <w:jc w:val="right"/>
            </w:pPr>
            <w:r>
              <w:rPr>
                <w:color w:val="000000"/>
                <w:sz w:val="24"/>
                <w:szCs w:val="24"/>
              </w:rPr>
              <w:t>227,855,277.05</w:t>
            </w:r>
          </w:p>
        </w:tc>
        <w:tc>
          <w:tcPr>
            <w:tcW w:w="1644" w:type="dxa"/>
            <w:vAlign w:val="center"/>
          </w:tcPr>
          <w:p w:rsidR="00205BD1" w:rsidRDefault="00ED13A8">
            <w:pPr>
              <w:jc w:val="right"/>
            </w:pPr>
            <w:r>
              <w:rPr>
                <w:color w:val="000000"/>
                <w:sz w:val="24"/>
                <w:szCs w:val="24"/>
              </w:rPr>
              <w:t>3.37</w:t>
            </w:r>
          </w:p>
        </w:tc>
      </w:tr>
      <w:tr w:rsidR="00205BD1">
        <w:trPr>
          <w:jc w:val="center"/>
        </w:trPr>
        <w:tc>
          <w:tcPr>
            <w:tcW w:w="855" w:type="dxa"/>
            <w:vAlign w:val="center"/>
          </w:tcPr>
          <w:p w:rsidR="00205BD1" w:rsidRDefault="00ED13A8">
            <w:pPr>
              <w:jc w:val="center"/>
            </w:pPr>
            <w:r>
              <w:rPr>
                <w:color w:val="000000"/>
                <w:sz w:val="24"/>
                <w:szCs w:val="24"/>
              </w:rPr>
              <w:t>4</w:t>
            </w:r>
          </w:p>
        </w:tc>
        <w:tc>
          <w:tcPr>
            <w:tcW w:w="1334" w:type="dxa"/>
            <w:vAlign w:val="center"/>
          </w:tcPr>
          <w:p w:rsidR="00205BD1" w:rsidRDefault="00ED13A8">
            <w:pPr>
              <w:jc w:val="center"/>
            </w:pPr>
            <w:r>
              <w:rPr>
                <w:color w:val="000000"/>
                <w:sz w:val="24"/>
                <w:szCs w:val="24"/>
              </w:rPr>
              <w:t>300058</w:t>
            </w:r>
          </w:p>
        </w:tc>
        <w:tc>
          <w:tcPr>
            <w:tcW w:w="1777" w:type="dxa"/>
            <w:vAlign w:val="center"/>
          </w:tcPr>
          <w:p w:rsidR="00205BD1" w:rsidRDefault="00ED13A8">
            <w:pPr>
              <w:jc w:val="center"/>
            </w:pPr>
            <w:r>
              <w:rPr>
                <w:color w:val="000000"/>
                <w:sz w:val="24"/>
                <w:szCs w:val="24"/>
              </w:rPr>
              <w:t>蓝色光标</w:t>
            </w:r>
          </w:p>
        </w:tc>
        <w:tc>
          <w:tcPr>
            <w:tcW w:w="1334" w:type="dxa"/>
            <w:vAlign w:val="center"/>
          </w:tcPr>
          <w:p w:rsidR="00205BD1" w:rsidRDefault="00ED13A8">
            <w:pPr>
              <w:jc w:val="right"/>
            </w:pPr>
            <w:r>
              <w:rPr>
                <w:color w:val="000000"/>
                <w:sz w:val="24"/>
                <w:szCs w:val="24"/>
              </w:rPr>
              <w:t>3,936,384</w:t>
            </w:r>
          </w:p>
        </w:tc>
        <w:tc>
          <w:tcPr>
            <w:tcW w:w="1924" w:type="dxa"/>
            <w:vAlign w:val="center"/>
          </w:tcPr>
          <w:p w:rsidR="00205BD1" w:rsidRDefault="00ED13A8">
            <w:pPr>
              <w:jc w:val="right"/>
            </w:pPr>
            <w:r>
              <w:rPr>
                <w:color w:val="000000"/>
                <w:sz w:val="24"/>
                <w:szCs w:val="24"/>
              </w:rPr>
              <w:t>196,819,200.00</w:t>
            </w:r>
          </w:p>
        </w:tc>
        <w:tc>
          <w:tcPr>
            <w:tcW w:w="1644" w:type="dxa"/>
            <w:vAlign w:val="center"/>
          </w:tcPr>
          <w:p w:rsidR="00205BD1" w:rsidRDefault="00ED13A8">
            <w:pPr>
              <w:jc w:val="right"/>
            </w:pPr>
            <w:r>
              <w:rPr>
                <w:color w:val="000000"/>
                <w:sz w:val="24"/>
                <w:szCs w:val="24"/>
              </w:rPr>
              <w:t>2.91</w:t>
            </w:r>
          </w:p>
        </w:tc>
      </w:tr>
      <w:tr w:rsidR="00205BD1">
        <w:trPr>
          <w:jc w:val="center"/>
        </w:trPr>
        <w:tc>
          <w:tcPr>
            <w:tcW w:w="855" w:type="dxa"/>
            <w:vAlign w:val="center"/>
          </w:tcPr>
          <w:p w:rsidR="00205BD1" w:rsidRDefault="00ED13A8">
            <w:pPr>
              <w:jc w:val="center"/>
            </w:pPr>
            <w:r>
              <w:rPr>
                <w:color w:val="000000"/>
                <w:sz w:val="24"/>
                <w:szCs w:val="24"/>
              </w:rPr>
              <w:t>5</w:t>
            </w:r>
          </w:p>
        </w:tc>
        <w:tc>
          <w:tcPr>
            <w:tcW w:w="1334" w:type="dxa"/>
            <w:vAlign w:val="center"/>
          </w:tcPr>
          <w:p w:rsidR="00205BD1" w:rsidRDefault="00ED13A8">
            <w:pPr>
              <w:jc w:val="center"/>
            </w:pPr>
            <w:r>
              <w:rPr>
                <w:color w:val="000000"/>
                <w:sz w:val="24"/>
                <w:szCs w:val="24"/>
              </w:rPr>
              <w:t>600109</w:t>
            </w:r>
          </w:p>
        </w:tc>
        <w:tc>
          <w:tcPr>
            <w:tcW w:w="1777" w:type="dxa"/>
            <w:vAlign w:val="center"/>
          </w:tcPr>
          <w:p w:rsidR="00205BD1" w:rsidRDefault="00ED13A8">
            <w:pPr>
              <w:jc w:val="center"/>
            </w:pPr>
            <w:r>
              <w:rPr>
                <w:color w:val="000000"/>
                <w:sz w:val="24"/>
                <w:szCs w:val="24"/>
              </w:rPr>
              <w:t>国金证券</w:t>
            </w:r>
          </w:p>
        </w:tc>
        <w:tc>
          <w:tcPr>
            <w:tcW w:w="1334" w:type="dxa"/>
            <w:vAlign w:val="center"/>
          </w:tcPr>
          <w:p w:rsidR="00205BD1" w:rsidRDefault="00ED13A8">
            <w:pPr>
              <w:jc w:val="right"/>
            </w:pPr>
            <w:r>
              <w:rPr>
                <w:color w:val="000000"/>
                <w:sz w:val="24"/>
                <w:szCs w:val="24"/>
              </w:rPr>
              <w:t>9,000,000</w:t>
            </w:r>
          </w:p>
        </w:tc>
        <w:tc>
          <w:tcPr>
            <w:tcW w:w="1924" w:type="dxa"/>
            <w:vAlign w:val="center"/>
          </w:tcPr>
          <w:p w:rsidR="00205BD1" w:rsidRDefault="00ED13A8">
            <w:pPr>
              <w:jc w:val="right"/>
            </w:pPr>
            <w:r>
              <w:rPr>
                <w:color w:val="000000"/>
                <w:sz w:val="24"/>
                <w:szCs w:val="24"/>
              </w:rPr>
              <w:t>167,580,000.00</w:t>
            </w:r>
          </w:p>
        </w:tc>
        <w:tc>
          <w:tcPr>
            <w:tcW w:w="1644" w:type="dxa"/>
            <w:vAlign w:val="center"/>
          </w:tcPr>
          <w:p w:rsidR="00205BD1" w:rsidRDefault="00ED13A8">
            <w:pPr>
              <w:jc w:val="right"/>
            </w:pPr>
            <w:r>
              <w:rPr>
                <w:color w:val="000000"/>
                <w:sz w:val="24"/>
                <w:szCs w:val="24"/>
              </w:rPr>
              <w:t>2.48</w:t>
            </w:r>
          </w:p>
        </w:tc>
      </w:tr>
      <w:tr w:rsidR="00205BD1">
        <w:trPr>
          <w:jc w:val="center"/>
        </w:trPr>
        <w:tc>
          <w:tcPr>
            <w:tcW w:w="855" w:type="dxa"/>
            <w:vAlign w:val="center"/>
          </w:tcPr>
          <w:p w:rsidR="00205BD1" w:rsidRDefault="00ED13A8">
            <w:pPr>
              <w:jc w:val="center"/>
            </w:pPr>
            <w:r>
              <w:rPr>
                <w:color w:val="000000"/>
                <w:sz w:val="24"/>
                <w:szCs w:val="24"/>
              </w:rPr>
              <w:t>6</w:t>
            </w:r>
          </w:p>
        </w:tc>
        <w:tc>
          <w:tcPr>
            <w:tcW w:w="1334" w:type="dxa"/>
            <w:vAlign w:val="center"/>
          </w:tcPr>
          <w:p w:rsidR="00205BD1" w:rsidRDefault="00ED13A8">
            <w:pPr>
              <w:jc w:val="center"/>
            </w:pPr>
            <w:r>
              <w:rPr>
                <w:color w:val="000000"/>
                <w:sz w:val="24"/>
                <w:szCs w:val="24"/>
              </w:rPr>
              <w:t>600596</w:t>
            </w:r>
          </w:p>
        </w:tc>
        <w:tc>
          <w:tcPr>
            <w:tcW w:w="1777" w:type="dxa"/>
            <w:vAlign w:val="center"/>
          </w:tcPr>
          <w:p w:rsidR="00205BD1" w:rsidRDefault="00ED13A8">
            <w:pPr>
              <w:jc w:val="center"/>
            </w:pPr>
            <w:r>
              <w:rPr>
                <w:color w:val="000000"/>
                <w:sz w:val="24"/>
                <w:szCs w:val="24"/>
              </w:rPr>
              <w:t>新安股份</w:t>
            </w:r>
          </w:p>
        </w:tc>
        <w:tc>
          <w:tcPr>
            <w:tcW w:w="1334" w:type="dxa"/>
            <w:vAlign w:val="center"/>
          </w:tcPr>
          <w:p w:rsidR="00205BD1" w:rsidRDefault="00ED13A8">
            <w:pPr>
              <w:jc w:val="right"/>
            </w:pPr>
            <w:r>
              <w:rPr>
                <w:color w:val="000000"/>
                <w:sz w:val="24"/>
                <w:szCs w:val="24"/>
              </w:rPr>
              <w:t>12,893,352</w:t>
            </w:r>
          </w:p>
        </w:tc>
        <w:tc>
          <w:tcPr>
            <w:tcW w:w="1924" w:type="dxa"/>
            <w:vAlign w:val="center"/>
          </w:tcPr>
          <w:p w:rsidR="00205BD1" w:rsidRDefault="00ED13A8">
            <w:pPr>
              <w:jc w:val="right"/>
            </w:pPr>
            <w:r>
              <w:rPr>
                <w:color w:val="000000"/>
                <w:sz w:val="24"/>
                <w:szCs w:val="24"/>
              </w:rPr>
              <w:t>165,292,772.64</w:t>
            </w:r>
          </w:p>
        </w:tc>
        <w:tc>
          <w:tcPr>
            <w:tcW w:w="1644" w:type="dxa"/>
            <w:vAlign w:val="center"/>
          </w:tcPr>
          <w:p w:rsidR="00205BD1" w:rsidRDefault="00ED13A8">
            <w:pPr>
              <w:jc w:val="right"/>
            </w:pPr>
            <w:r>
              <w:rPr>
                <w:color w:val="000000"/>
                <w:sz w:val="24"/>
                <w:szCs w:val="24"/>
              </w:rPr>
              <w:t>2.44</w:t>
            </w:r>
          </w:p>
        </w:tc>
      </w:tr>
      <w:tr w:rsidR="00205BD1">
        <w:trPr>
          <w:jc w:val="center"/>
        </w:trPr>
        <w:tc>
          <w:tcPr>
            <w:tcW w:w="855" w:type="dxa"/>
            <w:vAlign w:val="center"/>
          </w:tcPr>
          <w:p w:rsidR="00205BD1" w:rsidRDefault="00ED13A8">
            <w:pPr>
              <w:jc w:val="center"/>
            </w:pPr>
            <w:r>
              <w:rPr>
                <w:color w:val="000000"/>
                <w:sz w:val="24"/>
                <w:szCs w:val="24"/>
              </w:rPr>
              <w:t>7</w:t>
            </w:r>
          </w:p>
        </w:tc>
        <w:tc>
          <w:tcPr>
            <w:tcW w:w="1334" w:type="dxa"/>
            <w:vAlign w:val="center"/>
          </w:tcPr>
          <w:p w:rsidR="00205BD1" w:rsidRDefault="00ED13A8">
            <w:pPr>
              <w:jc w:val="center"/>
            </w:pPr>
            <w:r>
              <w:rPr>
                <w:color w:val="000000"/>
                <w:sz w:val="24"/>
                <w:szCs w:val="24"/>
              </w:rPr>
              <w:t>600196</w:t>
            </w:r>
          </w:p>
        </w:tc>
        <w:tc>
          <w:tcPr>
            <w:tcW w:w="1777" w:type="dxa"/>
            <w:vAlign w:val="center"/>
          </w:tcPr>
          <w:p w:rsidR="00205BD1" w:rsidRDefault="00ED13A8">
            <w:pPr>
              <w:jc w:val="center"/>
            </w:pPr>
            <w:r>
              <w:rPr>
                <w:color w:val="000000"/>
                <w:sz w:val="24"/>
                <w:szCs w:val="24"/>
              </w:rPr>
              <w:t>复星医药</w:t>
            </w:r>
          </w:p>
        </w:tc>
        <w:tc>
          <w:tcPr>
            <w:tcW w:w="1334" w:type="dxa"/>
            <w:vAlign w:val="center"/>
          </w:tcPr>
          <w:p w:rsidR="00205BD1" w:rsidRDefault="00ED13A8">
            <w:pPr>
              <w:jc w:val="right"/>
            </w:pPr>
            <w:r>
              <w:rPr>
                <w:color w:val="000000"/>
                <w:sz w:val="24"/>
                <w:szCs w:val="24"/>
              </w:rPr>
              <w:t>7,500,000</w:t>
            </w:r>
          </w:p>
        </w:tc>
        <w:tc>
          <w:tcPr>
            <w:tcW w:w="1924" w:type="dxa"/>
            <w:vAlign w:val="center"/>
          </w:tcPr>
          <w:p w:rsidR="00205BD1" w:rsidRDefault="00ED13A8">
            <w:pPr>
              <w:jc w:val="right"/>
            </w:pPr>
            <w:r>
              <w:rPr>
                <w:color w:val="000000"/>
                <w:sz w:val="24"/>
                <w:szCs w:val="24"/>
              </w:rPr>
              <w:t>150,225,000.00</w:t>
            </w:r>
          </w:p>
        </w:tc>
        <w:tc>
          <w:tcPr>
            <w:tcW w:w="1644" w:type="dxa"/>
            <w:vAlign w:val="center"/>
          </w:tcPr>
          <w:p w:rsidR="00205BD1" w:rsidRDefault="00ED13A8">
            <w:pPr>
              <w:jc w:val="right"/>
            </w:pPr>
            <w:r>
              <w:rPr>
                <w:color w:val="000000"/>
                <w:sz w:val="24"/>
                <w:szCs w:val="24"/>
              </w:rPr>
              <w:t>2.22</w:t>
            </w:r>
          </w:p>
        </w:tc>
      </w:tr>
      <w:tr w:rsidR="00205BD1">
        <w:trPr>
          <w:jc w:val="center"/>
        </w:trPr>
        <w:tc>
          <w:tcPr>
            <w:tcW w:w="855" w:type="dxa"/>
            <w:vAlign w:val="center"/>
          </w:tcPr>
          <w:p w:rsidR="00205BD1" w:rsidRDefault="00ED13A8">
            <w:pPr>
              <w:jc w:val="center"/>
            </w:pPr>
            <w:r>
              <w:rPr>
                <w:color w:val="000000"/>
                <w:sz w:val="24"/>
                <w:szCs w:val="24"/>
              </w:rPr>
              <w:t>8</w:t>
            </w:r>
          </w:p>
        </w:tc>
        <w:tc>
          <w:tcPr>
            <w:tcW w:w="1334" w:type="dxa"/>
            <w:vAlign w:val="center"/>
          </w:tcPr>
          <w:p w:rsidR="00205BD1" w:rsidRDefault="00ED13A8">
            <w:pPr>
              <w:jc w:val="center"/>
            </w:pPr>
            <w:r>
              <w:rPr>
                <w:color w:val="000000"/>
                <w:sz w:val="24"/>
                <w:szCs w:val="24"/>
              </w:rPr>
              <w:t>601299</w:t>
            </w:r>
          </w:p>
        </w:tc>
        <w:tc>
          <w:tcPr>
            <w:tcW w:w="1777" w:type="dxa"/>
            <w:vAlign w:val="center"/>
          </w:tcPr>
          <w:p w:rsidR="00205BD1" w:rsidRDefault="00ED13A8">
            <w:pPr>
              <w:jc w:val="center"/>
            </w:pPr>
            <w:r>
              <w:rPr>
                <w:color w:val="000000"/>
                <w:sz w:val="24"/>
                <w:szCs w:val="24"/>
              </w:rPr>
              <w:t>中国北车</w:t>
            </w:r>
          </w:p>
        </w:tc>
        <w:tc>
          <w:tcPr>
            <w:tcW w:w="1334" w:type="dxa"/>
            <w:vAlign w:val="center"/>
          </w:tcPr>
          <w:p w:rsidR="00205BD1" w:rsidRDefault="00ED13A8">
            <w:pPr>
              <w:jc w:val="right"/>
            </w:pPr>
            <w:r>
              <w:rPr>
                <w:color w:val="000000"/>
                <w:sz w:val="24"/>
                <w:szCs w:val="24"/>
              </w:rPr>
              <w:t>31,999,908</w:t>
            </w:r>
          </w:p>
        </w:tc>
        <w:tc>
          <w:tcPr>
            <w:tcW w:w="1924" w:type="dxa"/>
            <w:vAlign w:val="center"/>
          </w:tcPr>
          <w:p w:rsidR="00205BD1" w:rsidRDefault="00ED13A8">
            <w:pPr>
              <w:jc w:val="right"/>
            </w:pPr>
            <w:r>
              <w:rPr>
                <w:color w:val="000000"/>
                <w:sz w:val="24"/>
                <w:szCs w:val="24"/>
              </w:rPr>
              <w:t>148,479,573.12</w:t>
            </w:r>
          </w:p>
        </w:tc>
        <w:tc>
          <w:tcPr>
            <w:tcW w:w="1644" w:type="dxa"/>
            <w:vAlign w:val="center"/>
          </w:tcPr>
          <w:p w:rsidR="00205BD1" w:rsidRDefault="00ED13A8">
            <w:pPr>
              <w:jc w:val="right"/>
            </w:pPr>
            <w:r>
              <w:rPr>
                <w:color w:val="000000"/>
                <w:sz w:val="24"/>
                <w:szCs w:val="24"/>
              </w:rPr>
              <w:t>2.20</w:t>
            </w:r>
          </w:p>
        </w:tc>
      </w:tr>
      <w:tr w:rsidR="00205BD1">
        <w:trPr>
          <w:jc w:val="center"/>
        </w:trPr>
        <w:tc>
          <w:tcPr>
            <w:tcW w:w="855" w:type="dxa"/>
            <w:vAlign w:val="center"/>
          </w:tcPr>
          <w:p w:rsidR="00205BD1" w:rsidRDefault="00ED13A8">
            <w:pPr>
              <w:jc w:val="center"/>
            </w:pPr>
            <w:r>
              <w:rPr>
                <w:color w:val="000000"/>
                <w:sz w:val="24"/>
                <w:szCs w:val="24"/>
              </w:rPr>
              <w:t>9</w:t>
            </w:r>
          </w:p>
        </w:tc>
        <w:tc>
          <w:tcPr>
            <w:tcW w:w="1334" w:type="dxa"/>
            <w:vAlign w:val="center"/>
          </w:tcPr>
          <w:p w:rsidR="00205BD1" w:rsidRDefault="00ED13A8">
            <w:pPr>
              <w:jc w:val="center"/>
            </w:pPr>
            <w:r>
              <w:rPr>
                <w:color w:val="000000"/>
                <w:sz w:val="24"/>
                <w:szCs w:val="24"/>
              </w:rPr>
              <w:t>000423</w:t>
            </w:r>
          </w:p>
        </w:tc>
        <w:tc>
          <w:tcPr>
            <w:tcW w:w="1777" w:type="dxa"/>
            <w:vAlign w:val="center"/>
          </w:tcPr>
          <w:p w:rsidR="00205BD1" w:rsidRDefault="00ED13A8">
            <w:pPr>
              <w:jc w:val="center"/>
            </w:pPr>
            <w:r>
              <w:rPr>
                <w:color w:val="000000"/>
                <w:sz w:val="24"/>
                <w:szCs w:val="24"/>
              </w:rPr>
              <w:t>东阿阿胶</w:t>
            </w:r>
          </w:p>
        </w:tc>
        <w:tc>
          <w:tcPr>
            <w:tcW w:w="1334" w:type="dxa"/>
            <w:vAlign w:val="center"/>
          </w:tcPr>
          <w:p w:rsidR="00205BD1" w:rsidRDefault="00ED13A8">
            <w:pPr>
              <w:jc w:val="right"/>
            </w:pPr>
            <w:r>
              <w:rPr>
                <w:color w:val="000000"/>
                <w:sz w:val="24"/>
                <w:szCs w:val="24"/>
              </w:rPr>
              <w:t>4,107,454</w:t>
            </w:r>
          </w:p>
        </w:tc>
        <w:tc>
          <w:tcPr>
            <w:tcW w:w="1924" w:type="dxa"/>
            <w:vAlign w:val="center"/>
          </w:tcPr>
          <w:p w:rsidR="00205BD1" w:rsidRDefault="00ED13A8">
            <w:pPr>
              <w:jc w:val="right"/>
            </w:pPr>
            <w:r>
              <w:rPr>
                <w:color w:val="000000"/>
                <w:sz w:val="24"/>
                <w:szCs w:val="24"/>
              </w:rPr>
              <w:t>140,064,181.40</w:t>
            </w:r>
          </w:p>
        </w:tc>
        <w:tc>
          <w:tcPr>
            <w:tcW w:w="1644" w:type="dxa"/>
            <w:vAlign w:val="center"/>
          </w:tcPr>
          <w:p w:rsidR="00205BD1" w:rsidRDefault="00ED13A8">
            <w:pPr>
              <w:jc w:val="right"/>
            </w:pPr>
            <w:r>
              <w:rPr>
                <w:color w:val="000000"/>
                <w:sz w:val="24"/>
                <w:szCs w:val="24"/>
              </w:rPr>
              <w:t>2.07</w:t>
            </w:r>
          </w:p>
        </w:tc>
      </w:tr>
      <w:tr w:rsidR="00205BD1">
        <w:trPr>
          <w:jc w:val="center"/>
        </w:trPr>
        <w:tc>
          <w:tcPr>
            <w:tcW w:w="855" w:type="dxa"/>
            <w:vAlign w:val="center"/>
          </w:tcPr>
          <w:p w:rsidR="00205BD1" w:rsidRDefault="00ED13A8">
            <w:pPr>
              <w:jc w:val="center"/>
            </w:pPr>
            <w:r>
              <w:rPr>
                <w:color w:val="000000"/>
                <w:sz w:val="24"/>
                <w:szCs w:val="24"/>
              </w:rPr>
              <w:t>10</w:t>
            </w:r>
          </w:p>
        </w:tc>
        <w:tc>
          <w:tcPr>
            <w:tcW w:w="1334" w:type="dxa"/>
            <w:vAlign w:val="center"/>
          </w:tcPr>
          <w:p w:rsidR="00205BD1" w:rsidRDefault="00ED13A8">
            <w:pPr>
              <w:jc w:val="center"/>
            </w:pPr>
            <w:r>
              <w:rPr>
                <w:color w:val="000000"/>
                <w:sz w:val="24"/>
                <w:szCs w:val="24"/>
              </w:rPr>
              <w:t>600150</w:t>
            </w:r>
          </w:p>
        </w:tc>
        <w:tc>
          <w:tcPr>
            <w:tcW w:w="1777" w:type="dxa"/>
            <w:vAlign w:val="center"/>
          </w:tcPr>
          <w:p w:rsidR="00205BD1" w:rsidRDefault="00ED13A8">
            <w:pPr>
              <w:jc w:val="center"/>
            </w:pPr>
            <w:r>
              <w:rPr>
                <w:color w:val="000000"/>
                <w:sz w:val="24"/>
                <w:szCs w:val="24"/>
              </w:rPr>
              <w:t>中国船舶</w:t>
            </w:r>
          </w:p>
        </w:tc>
        <w:tc>
          <w:tcPr>
            <w:tcW w:w="1334" w:type="dxa"/>
            <w:vAlign w:val="center"/>
          </w:tcPr>
          <w:p w:rsidR="00205BD1" w:rsidRDefault="00ED13A8">
            <w:pPr>
              <w:jc w:val="right"/>
            </w:pPr>
            <w:r>
              <w:rPr>
                <w:color w:val="000000"/>
                <w:sz w:val="24"/>
                <w:szCs w:val="24"/>
              </w:rPr>
              <w:t>7,000,000</w:t>
            </w:r>
          </w:p>
        </w:tc>
        <w:tc>
          <w:tcPr>
            <w:tcW w:w="1924" w:type="dxa"/>
            <w:vAlign w:val="center"/>
          </w:tcPr>
          <w:p w:rsidR="00205BD1" w:rsidRDefault="00ED13A8">
            <w:pPr>
              <w:jc w:val="right"/>
            </w:pPr>
            <w:r>
              <w:rPr>
                <w:color w:val="000000"/>
                <w:sz w:val="24"/>
                <w:szCs w:val="24"/>
              </w:rPr>
              <w:t>129,500,000.00</w:t>
            </w:r>
          </w:p>
        </w:tc>
        <w:tc>
          <w:tcPr>
            <w:tcW w:w="1644" w:type="dxa"/>
            <w:vAlign w:val="center"/>
          </w:tcPr>
          <w:p w:rsidR="00205BD1" w:rsidRDefault="00ED13A8">
            <w:pPr>
              <w:jc w:val="right"/>
            </w:pPr>
            <w:r>
              <w:rPr>
                <w:color w:val="000000"/>
                <w:sz w:val="24"/>
                <w:szCs w:val="24"/>
              </w:rPr>
              <w:t>1.92</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119,956,000.00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1.77</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119,956,000.00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1.77</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40,365,717.33</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0.60</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160,321,717.33</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2.37</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05BD1">
        <w:trPr>
          <w:jc w:val="center"/>
        </w:trPr>
        <w:tc>
          <w:tcPr>
            <w:tcW w:w="850" w:type="dxa"/>
            <w:vAlign w:val="center"/>
          </w:tcPr>
          <w:p w:rsidR="00205BD1" w:rsidRDefault="00ED13A8">
            <w:pPr>
              <w:jc w:val="center"/>
            </w:pPr>
            <w:r>
              <w:rPr>
                <w:color w:val="000000"/>
                <w:sz w:val="24"/>
                <w:szCs w:val="24"/>
              </w:rPr>
              <w:t>1</w:t>
            </w:r>
          </w:p>
        </w:tc>
        <w:tc>
          <w:tcPr>
            <w:tcW w:w="1475" w:type="dxa"/>
            <w:vAlign w:val="center"/>
          </w:tcPr>
          <w:p w:rsidR="00205BD1" w:rsidRDefault="00ED13A8">
            <w:pPr>
              <w:jc w:val="center"/>
            </w:pPr>
            <w:r>
              <w:rPr>
                <w:color w:val="000000"/>
                <w:sz w:val="24"/>
                <w:szCs w:val="24"/>
              </w:rPr>
              <w:t>130218</w:t>
            </w:r>
          </w:p>
        </w:tc>
        <w:tc>
          <w:tcPr>
            <w:tcW w:w="1769" w:type="dxa"/>
            <w:vAlign w:val="center"/>
          </w:tcPr>
          <w:p w:rsidR="00205BD1" w:rsidRDefault="00ED13A8">
            <w:pPr>
              <w:jc w:val="center"/>
            </w:pPr>
            <w:r>
              <w:rPr>
                <w:color w:val="000000"/>
                <w:sz w:val="24"/>
                <w:szCs w:val="24"/>
              </w:rPr>
              <w:t>13</w:t>
            </w:r>
            <w:r>
              <w:rPr>
                <w:color w:val="000000"/>
                <w:sz w:val="24"/>
                <w:szCs w:val="24"/>
              </w:rPr>
              <w:t>国开</w:t>
            </w:r>
            <w:r>
              <w:rPr>
                <w:color w:val="000000"/>
                <w:sz w:val="24"/>
                <w:szCs w:val="24"/>
              </w:rPr>
              <w:t>18</w:t>
            </w:r>
          </w:p>
        </w:tc>
        <w:tc>
          <w:tcPr>
            <w:tcW w:w="1387" w:type="dxa"/>
            <w:vAlign w:val="center"/>
          </w:tcPr>
          <w:p w:rsidR="00205BD1" w:rsidRDefault="00ED13A8">
            <w:pPr>
              <w:jc w:val="right"/>
            </w:pPr>
            <w:r>
              <w:rPr>
                <w:color w:val="000000"/>
                <w:sz w:val="24"/>
                <w:szCs w:val="24"/>
              </w:rPr>
              <w:t>800,000</w:t>
            </w:r>
          </w:p>
        </w:tc>
        <w:tc>
          <w:tcPr>
            <w:tcW w:w="2150" w:type="dxa"/>
            <w:vAlign w:val="center"/>
          </w:tcPr>
          <w:p w:rsidR="00205BD1" w:rsidRDefault="00ED13A8">
            <w:pPr>
              <w:jc w:val="right"/>
            </w:pPr>
            <w:r>
              <w:rPr>
                <w:color w:val="000000"/>
                <w:sz w:val="24"/>
                <w:szCs w:val="24"/>
              </w:rPr>
              <w:t>80,000,000.00</w:t>
            </w:r>
          </w:p>
        </w:tc>
        <w:tc>
          <w:tcPr>
            <w:tcW w:w="1237" w:type="dxa"/>
            <w:vAlign w:val="center"/>
          </w:tcPr>
          <w:p w:rsidR="00205BD1" w:rsidRDefault="00ED13A8">
            <w:pPr>
              <w:jc w:val="right"/>
            </w:pPr>
            <w:r>
              <w:rPr>
                <w:color w:val="000000"/>
                <w:sz w:val="24"/>
                <w:szCs w:val="24"/>
              </w:rPr>
              <w:t>1.18</w:t>
            </w:r>
          </w:p>
        </w:tc>
      </w:tr>
      <w:tr w:rsidR="00205BD1">
        <w:trPr>
          <w:jc w:val="center"/>
        </w:trPr>
        <w:tc>
          <w:tcPr>
            <w:tcW w:w="850" w:type="dxa"/>
            <w:vAlign w:val="center"/>
          </w:tcPr>
          <w:p w:rsidR="00205BD1" w:rsidRDefault="00ED13A8">
            <w:pPr>
              <w:jc w:val="center"/>
            </w:pPr>
            <w:r>
              <w:rPr>
                <w:color w:val="000000"/>
                <w:sz w:val="24"/>
                <w:szCs w:val="24"/>
              </w:rPr>
              <w:t>2</w:t>
            </w:r>
          </w:p>
        </w:tc>
        <w:tc>
          <w:tcPr>
            <w:tcW w:w="1475" w:type="dxa"/>
            <w:vAlign w:val="center"/>
          </w:tcPr>
          <w:p w:rsidR="00205BD1" w:rsidRDefault="00ED13A8">
            <w:pPr>
              <w:jc w:val="center"/>
            </w:pPr>
            <w:r>
              <w:rPr>
                <w:color w:val="000000"/>
                <w:sz w:val="24"/>
                <w:szCs w:val="24"/>
              </w:rPr>
              <w:t>130236</w:t>
            </w:r>
          </w:p>
        </w:tc>
        <w:tc>
          <w:tcPr>
            <w:tcW w:w="1769" w:type="dxa"/>
            <w:vAlign w:val="center"/>
          </w:tcPr>
          <w:p w:rsidR="00205BD1" w:rsidRDefault="00ED13A8">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205BD1" w:rsidRDefault="00ED13A8">
            <w:pPr>
              <w:jc w:val="right"/>
            </w:pPr>
            <w:r>
              <w:rPr>
                <w:color w:val="000000"/>
                <w:sz w:val="24"/>
                <w:szCs w:val="24"/>
              </w:rPr>
              <w:t>400,000</w:t>
            </w:r>
          </w:p>
        </w:tc>
        <w:tc>
          <w:tcPr>
            <w:tcW w:w="2150" w:type="dxa"/>
            <w:vAlign w:val="center"/>
          </w:tcPr>
          <w:p w:rsidR="00205BD1" w:rsidRDefault="00ED13A8">
            <w:pPr>
              <w:jc w:val="right"/>
            </w:pPr>
            <w:r>
              <w:rPr>
                <w:color w:val="000000"/>
                <w:sz w:val="24"/>
                <w:szCs w:val="24"/>
              </w:rPr>
              <w:t>39,956,000.00</w:t>
            </w:r>
          </w:p>
        </w:tc>
        <w:tc>
          <w:tcPr>
            <w:tcW w:w="1237" w:type="dxa"/>
            <w:vAlign w:val="center"/>
          </w:tcPr>
          <w:p w:rsidR="00205BD1" w:rsidRDefault="00ED13A8">
            <w:pPr>
              <w:jc w:val="right"/>
            </w:pPr>
            <w:r>
              <w:rPr>
                <w:color w:val="000000"/>
                <w:sz w:val="24"/>
                <w:szCs w:val="24"/>
              </w:rPr>
              <w:t>0.59</w:t>
            </w:r>
          </w:p>
        </w:tc>
      </w:tr>
      <w:tr w:rsidR="00205BD1">
        <w:trPr>
          <w:jc w:val="center"/>
        </w:trPr>
        <w:tc>
          <w:tcPr>
            <w:tcW w:w="850" w:type="dxa"/>
            <w:vAlign w:val="center"/>
          </w:tcPr>
          <w:p w:rsidR="00205BD1" w:rsidRDefault="00ED13A8">
            <w:pPr>
              <w:jc w:val="center"/>
            </w:pPr>
            <w:r>
              <w:rPr>
                <w:color w:val="000000"/>
                <w:sz w:val="24"/>
                <w:szCs w:val="24"/>
              </w:rPr>
              <w:t>3</w:t>
            </w:r>
          </w:p>
        </w:tc>
        <w:tc>
          <w:tcPr>
            <w:tcW w:w="1475" w:type="dxa"/>
            <w:vAlign w:val="center"/>
          </w:tcPr>
          <w:p w:rsidR="00205BD1" w:rsidRDefault="00ED13A8">
            <w:pPr>
              <w:jc w:val="center"/>
            </w:pPr>
            <w:r>
              <w:rPr>
                <w:color w:val="000000"/>
                <w:sz w:val="24"/>
                <w:szCs w:val="24"/>
              </w:rPr>
              <w:t>113001</w:t>
            </w:r>
          </w:p>
        </w:tc>
        <w:tc>
          <w:tcPr>
            <w:tcW w:w="1769" w:type="dxa"/>
            <w:vAlign w:val="center"/>
          </w:tcPr>
          <w:p w:rsidR="00205BD1" w:rsidRDefault="00ED13A8">
            <w:pPr>
              <w:jc w:val="center"/>
            </w:pPr>
            <w:r>
              <w:rPr>
                <w:color w:val="000000"/>
                <w:sz w:val="24"/>
                <w:szCs w:val="24"/>
              </w:rPr>
              <w:t>中行转债</w:t>
            </w:r>
          </w:p>
        </w:tc>
        <w:tc>
          <w:tcPr>
            <w:tcW w:w="1387" w:type="dxa"/>
            <w:vAlign w:val="center"/>
          </w:tcPr>
          <w:p w:rsidR="00205BD1" w:rsidRDefault="00ED13A8">
            <w:pPr>
              <w:jc w:val="right"/>
            </w:pPr>
            <w:r>
              <w:rPr>
                <w:color w:val="000000"/>
                <w:sz w:val="24"/>
                <w:szCs w:val="24"/>
              </w:rPr>
              <w:t>274,700</w:t>
            </w:r>
          </w:p>
        </w:tc>
        <w:tc>
          <w:tcPr>
            <w:tcW w:w="2150" w:type="dxa"/>
            <w:vAlign w:val="center"/>
          </w:tcPr>
          <w:p w:rsidR="00205BD1" w:rsidRDefault="00ED13A8">
            <w:pPr>
              <w:jc w:val="right"/>
            </w:pPr>
            <w:r>
              <w:rPr>
                <w:color w:val="000000"/>
                <w:sz w:val="24"/>
                <w:szCs w:val="24"/>
              </w:rPr>
              <w:t>26,901,371.00</w:t>
            </w:r>
          </w:p>
        </w:tc>
        <w:tc>
          <w:tcPr>
            <w:tcW w:w="1237" w:type="dxa"/>
            <w:vAlign w:val="center"/>
          </w:tcPr>
          <w:p w:rsidR="00205BD1" w:rsidRDefault="00ED13A8">
            <w:pPr>
              <w:jc w:val="right"/>
            </w:pPr>
            <w:r>
              <w:rPr>
                <w:color w:val="000000"/>
                <w:sz w:val="24"/>
                <w:szCs w:val="24"/>
              </w:rPr>
              <w:t>0.40</w:t>
            </w:r>
          </w:p>
        </w:tc>
      </w:tr>
      <w:tr w:rsidR="00205BD1">
        <w:trPr>
          <w:jc w:val="center"/>
        </w:trPr>
        <w:tc>
          <w:tcPr>
            <w:tcW w:w="850" w:type="dxa"/>
            <w:vAlign w:val="center"/>
          </w:tcPr>
          <w:p w:rsidR="00205BD1" w:rsidRDefault="00ED13A8">
            <w:pPr>
              <w:jc w:val="center"/>
            </w:pPr>
            <w:r>
              <w:rPr>
                <w:color w:val="000000"/>
                <w:sz w:val="24"/>
                <w:szCs w:val="24"/>
              </w:rPr>
              <w:t>4</w:t>
            </w:r>
          </w:p>
        </w:tc>
        <w:tc>
          <w:tcPr>
            <w:tcW w:w="1475" w:type="dxa"/>
            <w:vAlign w:val="center"/>
          </w:tcPr>
          <w:p w:rsidR="00205BD1" w:rsidRDefault="00ED13A8">
            <w:pPr>
              <w:jc w:val="center"/>
            </w:pPr>
            <w:r>
              <w:rPr>
                <w:color w:val="000000"/>
                <w:sz w:val="24"/>
                <w:szCs w:val="24"/>
              </w:rPr>
              <w:t>110023</w:t>
            </w:r>
          </w:p>
        </w:tc>
        <w:tc>
          <w:tcPr>
            <w:tcW w:w="1769" w:type="dxa"/>
            <w:vAlign w:val="center"/>
          </w:tcPr>
          <w:p w:rsidR="00205BD1" w:rsidRDefault="00ED13A8">
            <w:pPr>
              <w:jc w:val="center"/>
            </w:pPr>
            <w:r>
              <w:rPr>
                <w:color w:val="000000"/>
                <w:sz w:val="24"/>
                <w:szCs w:val="24"/>
              </w:rPr>
              <w:t>民生转债</w:t>
            </w:r>
          </w:p>
        </w:tc>
        <w:tc>
          <w:tcPr>
            <w:tcW w:w="1387" w:type="dxa"/>
            <w:vAlign w:val="center"/>
          </w:tcPr>
          <w:p w:rsidR="00205BD1" w:rsidRDefault="00ED13A8">
            <w:pPr>
              <w:jc w:val="right"/>
            </w:pPr>
            <w:r>
              <w:rPr>
                <w:color w:val="000000"/>
                <w:sz w:val="24"/>
                <w:szCs w:val="24"/>
              </w:rPr>
              <w:t>84,080</w:t>
            </w:r>
          </w:p>
        </w:tc>
        <w:tc>
          <w:tcPr>
            <w:tcW w:w="2150" w:type="dxa"/>
            <w:vAlign w:val="center"/>
          </w:tcPr>
          <w:p w:rsidR="00205BD1" w:rsidRDefault="00ED13A8">
            <w:pPr>
              <w:jc w:val="right"/>
            </w:pPr>
            <w:r>
              <w:rPr>
                <w:color w:val="000000"/>
                <w:sz w:val="24"/>
                <w:szCs w:val="24"/>
              </w:rPr>
              <w:t>7,441,920.80</w:t>
            </w:r>
          </w:p>
        </w:tc>
        <w:tc>
          <w:tcPr>
            <w:tcW w:w="1237" w:type="dxa"/>
            <w:vAlign w:val="center"/>
          </w:tcPr>
          <w:p w:rsidR="00205BD1" w:rsidRDefault="00ED13A8">
            <w:pPr>
              <w:jc w:val="right"/>
            </w:pPr>
            <w:r>
              <w:rPr>
                <w:color w:val="000000"/>
                <w:sz w:val="24"/>
                <w:szCs w:val="24"/>
              </w:rPr>
              <w:t>0.11</w:t>
            </w:r>
          </w:p>
        </w:tc>
      </w:tr>
      <w:tr w:rsidR="00205BD1">
        <w:trPr>
          <w:jc w:val="center"/>
        </w:trPr>
        <w:tc>
          <w:tcPr>
            <w:tcW w:w="850" w:type="dxa"/>
            <w:vAlign w:val="center"/>
          </w:tcPr>
          <w:p w:rsidR="00205BD1" w:rsidRDefault="00ED13A8">
            <w:pPr>
              <w:jc w:val="center"/>
            </w:pPr>
            <w:r>
              <w:rPr>
                <w:color w:val="000000"/>
                <w:sz w:val="24"/>
                <w:szCs w:val="24"/>
              </w:rPr>
              <w:t>5</w:t>
            </w:r>
          </w:p>
        </w:tc>
        <w:tc>
          <w:tcPr>
            <w:tcW w:w="1475" w:type="dxa"/>
            <w:vAlign w:val="center"/>
          </w:tcPr>
          <w:p w:rsidR="00205BD1" w:rsidRDefault="00ED13A8">
            <w:pPr>
              <w:jc w:val="center"/>
            </w:pPr>
            <w:r>
              <w:rPr>
                <w:color w:val="000000"/>
                <w:sz w:val="24"/>
                <w:szCs w:val="24"/>
              </w:rPr>
              <w:t>125887</w:t>
            </w:r>
          </w:p>
        </w:tc>
        <w:tc>
          <w:tcPr>
            <w:tcW w:w="1769" w:type="dxa"/>
            <w:vAlign w:val="center"/>
          </w:tcPr>
          <w:p w:rsidR="00205BD1" w:rsidRDefault="00ED13A8">
            <w:pPr>
              <w:jc w:val="center"/>
            </w:pPr>
            <w:r>
              <w:rPr>
                <w:color w:val="000000"/>
                <w:sz w:val="24"/>
                <w:szCs w:val="24"/>
              </w:rPr>
              <w:t>中鼎转债</w:t>
            </w:r>
          </w:p>
        </w:tc>
        <w:tc>
          <w:tcPr>
            <w:tcW w:w="1387" w:type="dxa"/>
            <w:vAlign w:val="center"/>
          </w:tcPr>
          <w:p w:rsidR="00205BD1" w:rsidRDefault="00ED13A8">
            <w:pPr>
              <w:jc w:val="right"/>
            </w:pPr>
            <w:r>
              <w:rPr>
                <w:color w:val="000000"/>
                <w:sz w:val="24"/>
                <w:szCs w:val="24"/>
              </w:rPr>
              <w:t>29,962</w:t>
            </w:r>
          </w:p>
        </w:tc>
        <w:tc>
          <w:tcPr>
            <w:tcW w:w="2150" w:type="dxa"/>
            <w:vAlign w:val="center"/>
          </w:tcPr>
          <w:p w:rsidR="00205BD1" w:rsidRDefault="00ED13A8">
            <w:pPr>
              <w:jc w:val="right"/>
            </w:pPr>
            <w:r>
              <w:rPr>
                <w:color w:val="000000"/>
                <w:sz w:val="24"/>
                <w:szCs w:val="24"/>
              </w:rPr>
              <w:t>3,548,249.85</w:t>
            </w:r>
          </w:p>
        </w:tc>
        <w:tc>
          <w:tcPr>
            <w:tcW w:w="1237" w:type="dxa"/>
            <w:vAlign w:val="center"/>
          </w:tcPr>
          <w:p w:rsidR="00205BD1" w:rsidRDefault="00ED13A8">
            <w:pPr>
              <w:jc w:val="right"/>
            </w:pPr>
            <w:r>
              <w:rPr>
                <w:color w:val="000000"/>
                <w:sz w:val="24"/>
                <w:szCs w:val="24"/>
              </w:rPr>
              <w:t>0.05</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1,862,090.52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21,068,913.70</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4,684,337.32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92,383.20</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27,707,724.74</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05BD1">
        <w:trPr>
          <w:jc w:val="center"/>
        </w:trPr>
        <w:tc>
          <w:tcPr>
            <w:tcW w:w="1883" w:type="dxa"/>
            <w:vAlign w:val="center"/>
          </w:tcPr>
          <w:p w:rsidR="00205BD1" w:rsidRDefault="00ED13A8">
            <w:pPr>
              <w:jc w:val="center"/>
            </w:pPr>
            <w:r>
              <w:rPr>
                <w:color w:val="000000"/>
                <w:sz w:val="24"/>
                <w:szCs w:val="24"/>
              </w:rPr>
              <w:t>1</w:t>
            </w:r>
          </w:p>
        </w:tc>
        <w:tc>
          <w:tcPr>
            <w:tcW w:w="1801" w:type="dxa"/>
            <w:vAlign w:val="center"/>
          </w:tcPr>
          <w:p w:rsidR="00205BD1" w:rsidRDefault="00ED13A8">
            <w:pPr>
              <w:jc w:val="center"/>
            </w:pPr>
            <w:r>
              <w:rPr>
                <w:color w:val="000000"/>
                <w:sz w:val="24"/>
                <w:szCs w:val="24"/>
              </w:rPr>
              <w:t>113001</w:t>
            </w:r>
          </w:p>
        </w:tc>
        <w:tc>
          <w:tcPr>
            <w:tcW w:w="1727" w:type="dxa"/>
            <w:vAlign w:val="center"/>
          </w:tcPr>
          <w:p w:rsidR="00205BD1" w:rsidRDefault="00ED13A8">
            <w:pPr>
              <w:jc w:val="center"/>
            </w:pPr>
            <w:r>
              <w:rPr>
                <w:color w:val="000000"/>
                <w:sz w:val="24"/>
                <w:szCs w:val="24"/>
              </w:rPr>
              <w:t>中行转债</w:t>
            </w:r>
          </w:p>
        </w:tc>
        <w:tc>
          <w:tcPr>
            <w:tcW w:w="1768" w:type="dxa"/>
            <w:vAlign w:val="center"/>
          </w:tcPr>
          <w:p w:rsidR="00205BD1" w:rsidRDefault="00ED13A8">
            <w:pPr>
              <w:jc w:val="right"/>
            </w:pPr>
            <w:r>
              <w:rPr>
                <w:color w:val="000000"/>
                <w:sz w:val="24"/>
                <w:szCs w:val="24"/>
              </w:rPr>
              <w:t>26,901,371.00</w:t>
            </w:r>
          </w:p>
        </w:tc>
        <w:tc>
          <w:tcPr>
            <w:tcW w:w="1689" w:type="dxa"/>
            <w:vAlign w:val="center"/>
          </w:tcPr>
          <w:p w:rsidR="00205BD1" w:rsidRDefault="00ED13A8">
            <w:pPr>
              <w:jc w:val="right"/>
            </w:pPr>
            <w:r>
              <w:rPr>
                <w:color w:val="000000"/>
                <w:sz w:val="24"/>
                <w:szCs w:val="24"/>
              </w:rPr>
              <w:t>0.40</w:t>
            </w:r>
          </w:p>
        </w:tc>
      </w:tr>
      <w:tr w:rsidR="00205BD1">
        <w:trPr>
          <w:jc w:val="center"/>
        </w:trPr>
        <w:tc>
          <w:tcPr>
            <w:tcW w:w="1883" w:type="dxa"/>
            <w:vAlign w:val="center"/>
          </w:tcPr>
          <w:p w:rsidR="00205BD1" w:rsidRDefault="00ED13A8">
            <w:pPr>
              <w:jc w:val="center"/>
            </w:pPr>
            <w:r>
              <w:rPr>
                <w:color w:val="000000"/>
                <w:sz w:val="24"/>
                <w:szCs w:val="24"/>
              </w:rPr>
              <w:t>2</w:t>
            </w:r>
          </w:p>
        </w:tc>
        <w:tc>
          <w:tcPr>
            <w:tcW w:w="1801" w:type="dxa"/>
            <w:vAlign w:val="center"/>
          </w:tcPr>
          <w:p w:rsidR="00205BD1" w:rsidRDefault="00ED13A8">
            <w:pPr>
              <w:jc w:val="center"/>
            </w:pPr>
            <w:r>
              <w:rPr>
                <w:color w:val="000000"/>
                <w:sz w:val="24"/>
                <w:szCs w:val="24"/>
              </w:rPr>
              <w:t>110023</w:t>
            </w:r>
          </w:p>
        </w:tc>
        <w:tc>
          <w:tcPr>
            <w:tcW w:w="1727" w:type="dxa"/>
            <w:vAlign w:val="center"/>
          </w:tcPr>
          <w:p w:rsidR="00205BD1" w:rsidRDefault="00ED13A8">
            <w:pPr>
              <w:jc w:val="center"/>
            </w:pPr>
            <w:r>
              <w:rPr>
                <w:color w:val="000000"/>
                <w:sz w:val="24"/>
                <w:szCs w:val="24"/>
              </w:rPr>
              <w:t>民生转债</w:t>
            </w:r>
          </w:p>
        </w:tc>
        <w:tc>
          <w:tcPr>
            <w:tcW w:w="1768" w:type="dxa"/>
            <w:vAlign w:val="center"/>
          </w:tcPr>
          <w:p w:rsidR="00205BD1" w:rsidRDefault="00ED13A8">
            <w:pPr>
              <w:jc w:val="right"/>
            </w:pPr>
            <w:r>
              <w:rPr>
                <w:color w:val="000000"/>
                <w:sz w:val="24"/>
                <w:szCs w:val="24"/>
              </w:rPr>
              <w:t>7,441,920.80</w:t>
            </w:r>
          </w:p>
        </w:tc>
        <w:tc>
          <w:tcPr>
            <w:tcW w:w="1689" w:type="dxa"/>
            <w:vAlign w:val="center"/>
          </w:tcPr>
          <w:p w:rsidR="00205BD1" w:rsidRDefault="00ED13A8">
            <w:pPr>
              <w:jc w:val="right"/>
            </w:pPr>
            <w:r>
              <w:rPr>
                <w:color w:val="000000"/>
                <w:sz w:val="24"/>
                <w:szCs w:val="24"/>
              </w:rPr>
              <w:t>0.11</w:t>
            </w:r>
          </w:p>
        </w:tc>
      </w:tr>
      <w:tr w:rsidR="00205BD1">
        <w:trPr>
          <w:jc w:val="center"/>
        </w:trPr>
        <w:tc>
          <w:tcPr>
            <w:tcW w:w="1883" w:type="dxa"/>
            <w:vAlign w:val="center"/>
          </w:tcPr>
          <w:p w:rsidR="00205BD1" w:rsidRDefault="00ED13A8">
            <w:pPr>
              <w:jc w:val="center"/>
            </w:pPr>
            <w:r>
              <w:rPr>
                <w:color w:val="000000"/>
                <w:sz w:val="24"/>
                <w:szCs w:val="24"/>
              </w:rPr>
              <w:t>3</w:t>
            </w:r>
          </w:p>
        </w:tc>
        <w:tc>
          <w:tcPr>
            <w:tcW w:w="1801" w:type="dxa"/>
            <w:vAlign w:val="center"/>
          </w:tcPr>
          <w:p w:rsidR="00205BD1" w:rsidRDefault="00ED13A8">
            <w:pPr>
              <w:jc w:val="center"/>
            </w:pPr>
            <w:r>
              <w:rPr>
                <w:color w:val="000000"/>
                <w:sz w:val="24"/>
                <w:szCs w:val="24"/>
              </w:rPr>
              <w:t>125887</w:t>
            </w:r>
          </w:p>
        </w:tc>
        <w:tc>
          <w:tcPr>
            <w:tcW w:w="1727" w:type="dxa"/>
            <w:vAlign w:val="center"/>
          </w:tcPr>
          <w:p w:rsidR="00205BD1" w:rsidRDefault="00ED13A8">
            <w:pPr>
              <w:jc w:val="center"/>
            </w:pPr>
            <w:r>
              <w:rPr>
                <w:color w:val="000000"/>
                <w:sz w:val="24"/>
                <w:szCs w:val="24"/>
              </w:rPr>
              <w:t>中鼎转债</w:t>
            </w:r>
          </w:p>
        </w:tc>
        <w:tc>
          <w:tcPr>
            <w:tcW w:w="1768" w:type="dxa"/>
            <w:vAlign w:val="center"/>
          </w:tcPr>
          <w:p w:rsidR="00205BD1" w:rsidRDefault="00ED13A8">
            <w:pPr>
              <w:jc w:val="right"/>
            </w:pPr>
            <w:r>
              <w:rPr>
                <w:color w:val="000000"/>
                <w:sz w:val="24"/>
                <w:szCs w:val="24"/>
              </w:rPr>
              <w:t>3,548,249.85</w:t>
            </w:r>
          </w:p>
        </w:tc>
        <w:tc>
          <w:tcPr>
            <w:tcW w:w="1689" w:type="dxa"/>
            <w:vAlign w:val="center"/>
          </w:tcPr>
          <w:p w:rsidR="00205BD1" w:rsidRDefault="00ED13A8">
            <w:pPr>
              <w:jc w:val="right"/>
            </w:pPr>
            <w:r>
              <w:rPr>
                <w:color w:val="000000"/>
                <w:sz w:val="24"/>
                <w:szCs w:val="24"/>
              </w:rPr>
              <w:t>0.05</w:t>
            </w:r>
          </w:p>
        </w:tc>
      </w:tr>
      <w:tr w:rsidR="00205BD1">
        <w:trPr>
          <w:jc w:val="center"/>
        </w:trPr>
        <w:tc>
          <w:tcPr>
            <w:tcW w:w="1883" w:type="dxa"/>
            <w:vAlign w:val="center"/>
          </w:tcPr>
          <w:p w:rsidR="00205BD1" w:rsidRDefault="00ED13A8">
            <w:pPr>
              <w:jc w:val="center"/>
            </w:pPr>
            <w:r>
              <w:rPr>
                <w:color w:val="000000"/>
                <w:sz w:val="24"/>
                <w:szCs w:val="24"/>
              </w:rPr>
              <w:t>4</w:t>
            </w:r>
          </w:p>
        </w:tc>
        <w:tc>
          <w:tcPr>
            <w:tcW w:w="1801" w:type="dxa"/>
            <w:vAlign w:val="center"/>
          </w:tcPr>
          <w:p w:rsidR="00205BD1" w:rsidRDefault="00ED13A8">
            <w:pPr>
              <w:jc w:val="center"/>
            </w:pPr>
            <w:r>
              <w:rPr>
                <w:color w:val="000000"/>
                <w:sz w:val="24"/>
                <w:szCs w:val="24"/>
              </w:rPr>
              <w:t>128002</w:t>
            </w:r>
          </w:p>
        </w:tc>
        <w:tc>
          <w:tcPr>
            <w:tcW w:w="1727" w:type="dxa"/>
            <w:vAlign w:val="center"/>
          </w:tcPr>
          <w:p w:rsidR="00205BD1" w:rsidRDefault="00ED13A8">
            <w:pPr>
              <w:jc w:val="center"/>
            </w:pPr>
            <w:r>
              <w:rPr>
                <w:color w:val="000000"/>
                <w:sz w:val="24"/>
                <w:szCs w:val="24"/>
              </w:rPr>
              <w:t>东华转债</w:t>
            </w:r>
          </w:p>
        </w:tc>
        <w:tc>
          <w:tcPr>
            <w:tcW w:w="1768" w:type="dxa"/>
            <w:vAlign w:val="center"/>
          </w:tcPr>
          <w:p w:rsidR="00205BD1" w:rsidRDefault="00ED13A8">
            <w:pPr>
              <w:jc w:val="right"/>
            </w:pPr>
            <w:r>
              <w:rPr>
                <w:color w:val="000000"/>
                <w:sz w:val="24"/>
                <w:szCs w:val="24"/>
              </w:rPr>
              <w:t>2,474,175.68</w:t>
            </w:r>
          </w:p>
        </w:tc>
        <w:tc>
          <w:tcPr>
            <w:tcW w:w="1689" w:type="dxa"/>
            <w:vAlign w:val="center"/>
          </w:tcPr>
          <w:p w:rsidR="00205BD1" w:rsidRDefault="00ED13A8">
            <w:pPr>
              <w:jc w:val="right"/>
            </w:pPr>
            <w:r>
              <w:rPr>
                <w:color w:val="000000"/>
                <w:sz w:val="24"/>
                <w:szCs w:val="24"/>
              </w:rPr>
              <w:t>0.04</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10,247,023,605.10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10,894,686.58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386,572,738.96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9,871,345,552.72</w:t>
            </w:r>
          </w:p>
        </w:tc>
      </w:tr>
    </w:tbl>
    <w:p w:rsidR="00205BD1" w:rsidRDefault="00ED13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095F05">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19,034,797.82</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19,034,797.82</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0.19</w:t>
            </w:r>
          </w:p>
        </w:tc>
      </w:tr>
    </w:tbl>
    <w:p w:rsidR="00205BD1" w:rsidRDefault="00ED13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095F0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Default="00A0512C" w:rsidP="00DA14B0">
      <w:pPr>
        <w:spacing w:before="29" w:line="288" w:lineRule="auto"/>
        <w:ind w:firstLineChars="200" w:firstLine="480"/>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）基金行业股票估值指数的通知》的指导意见，经与基金托管人协商一致，本基金对其所持有的鱼跃医疗（证券代码：</w:t>
      </w:r>
      <w:r w:rsidR="004061AC" w:rsidRPr="00414345">
        <w:rPr>
          <w:color w:val="000000"/>
          <w:sz w:val="24"/>
          <w:szCs w:val="24"/>
        </w:rPr>
        <w:t>002223</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3</w:t>
      </w:r>
      <w:r w:rsidR="004061AC" w:rsidRPr="00414345">
        <w:rPr>
          <w:color w:val="000000"/>
          <w:sz w:val="24"/>
          <w:szCs w:val="24"/>
        </w:rPr>
        <w:t>月</w:t>
      </w:r>
      <w:r w:rsidR="004061AC" w:rsidRPr="00414345">
        <w:rPr>
          <w:color w:val="000000"/>
          <w:sz w:val="24"/>
          <w:szCs w:val="24"/>
        </w:rPr>
        <w:t>28</w:t>
      </w:r>
      <w:r w:rsidR="004061AC" w:rsidRPr="00414345">
        <w:rPr>
          <w:color w:val="000000"/>
          <w:sz w:val="24"/>
          <w:szCs w:val="24"/>
        </w:rPr>
        <w:t>日起按照指数收益法进行估值。</w:t>
      </w:r>
    </w:p>
    <w:p w:rsidR="00A0512C" w:rsidRPr="00414345" w:rsidRDefault="00A0512C" w:rsidP="00DA14B0">
      <w:pPr>
        <w:spacing w:before="29" w:line="288" w:lineRule="auto"/>
        <w:ind w:firstLineChars="200" w:firstLine="480"/>
        <w:rPr>
          <w:color w:val="000000"/>
          <w:sz w:val="24"/>
          <w:szCs w:val="24"/>
        </w:rPr>
      </w:pPr>
      <w:r>
        <w:rPr>
          <w:color w:val="000000"/>
          <w:sz w:val="24"/>
          <w:szCs w:val="24"/>
        </w:rPr>
        <w:t>2</w:t>
      </w:r>
      <w:r>
        <w:rPr>
          <w:rFonts w:hint="eastAsia"/>
          <w:color w:val="000000"/>
          <w:sz w:val="24"/>
          <w:szCs w:val="24"/>
        </w:rPr>
        <w:t>、</w:t>
      </w:r>
      <w:r w:rsidRPr="00A0512C">
        <w:rPr>
          <w:rFonts w:hint="eastAsia"/>
          <w:color w:val="000000"/>
          <w:sz w:val="24"/>
          <w:szCs w:val="24"/>
        </w:rPr>
        <w:t>本基金托管人</w:t>
      </w:r>
      <w:r w:rsidRPr="00A0512C">
        <w:rPr>
          <w:rFonts w:hint="eastAsia"/>
          <w:color w:val="000000"/>
          <w:sz w:val="24"/>
          <w:szCs w:val="24"/>
        </w:rPr>
        <w:t>2014</w:t>
      </w:r>
      <w:r w:rsidRPr="00A0512C">
        <w:rPr>
          <w:rFonts w:hint="eastAsia"/>
          <w:color w:val="000000"/>
          <w:sz w:val="24"/>
          <w:szCs w:val="24"/>
        </w:rPr>
        <w:t>年</w:t>
      </w:r>
      <w:r w:rsidRPr="00A0512C">
        <w:rPr>
          <w:rFonts w:hint="eastAsia"/>
          <w:color w:val="000000"/>
          <w:sz w:val="24"/>
          <w:szCs w:val="24"/>
        </w:rPr>
        <w:t>2</w:t>
      </w:r>
      <w:r w:rsidRPr="00A0512C">
        <w:rPr>
          <w:rFonts w:hint="eastAsia"/>
          <w:color w:val="000000"/>
          <w:sz w:val="24"/>
          <w:szCs w:val="24"/>
        </w:rPr>
        <w:t>月</w:t>
      </w:r>
      <w:r w:rsidRPr="00A0512C">
        <w:rPr>
          <w:rFonts w:hint="eastAsia"/>
          <w:color w:val="000000"/>
          <w:sz w:val="24"/>
          <w:szCs w:val="24"/>
        </w:rPr>
        <w:t>7</w:t>
      </w:r>
      <w:r w:rsidRPr="00A0512C">
        <w:rPr>
          <w:rFonts w:hint="eastAsia"/>
          <w:color w:val="000000"/>
          <w:sz w:val="24"/>
          <w:szCs w:val="24"/>
        </w:rPr>
        <w:t>日发布任免通知，解聘尹东中国建设银行投资托管业务部总经理助理职务。</w:t>
      </w:r>
    </w:p>
    <w:p w:rsidR="00ED6E80" w:rsidRPr="00414345" w:rsidRDefault="00ED6E80" w:rsidP="00DA14B0">
      <w:pPr>
        <w:spacing w:before="29" w:line="288" w:lineRule="auto"/>
        <w:ind w:firstLineChars="200" w:firstLine="480"/>
        <w:rPr>
          <w:color w:val="000000"/>
          <w:sz w:val="24"/>
          <w:szCs w:val="24"/>
        </w:rPr>
      </w:pPr>
    </w:p>
    <w:p w:rsidR="004061AC" w:rsidRPr="00414345" w:rsidRDefault="004061AC" w:rsidP="00095F0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05BD1" w:rsidRDefault="00ED13A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、《交银施罗德蓝筹股票证券投资基金基金合同》；</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、《交银施罗德蓝筹股票证券投资基金招募说明书》；</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、《交银施罗德蓝筹股票证券投资基金托管协议》；</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05BD1" w:rsidRDefault="00ED13A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、报告期内交银施罗德蓝筹股票证券投资基金在指定报刊上各项公告的原稿。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05BD1" w:rsidRDefault="00ED13A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35" w:rsidRDefault="00124F35" w:rsidP="00876D65">
      <w:r>
        <w:separator/>
      </w:r>
    </w:p>
  </w:endnote>
  <w:endnote w:type="continuationSeparator" w:id="0">
    <w:p w:rsidR="00124F35" w:rsidRDefault="00124F3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D0497E">
      <w:rPr>
        <w:kern w:val="0"/>
        <w:szCs w:val="21"/>
      </w:rPr>
      <w:fldChar w:fldCharType="begin"/>
    </w:r>
    <w:r>
      <w:rPr>
        <w:kern w:val="0"/>
        <w:szCs w:val="21"/>
      </w:rPr>
      <w:instrText xml:space="preserve"> PAGE </w:instrText>
    </w:r>
    <w:r w:rsidR="00D0497E">
      <w:rPr>
        <w:kern w:val="0"/>
        <w:szCs w:val="21"/>
      </w:rPr>
      <w:fldChar w:fldCharType="separate"/>
    </w:r>
    <w:r w:rsidR="00CF2992">
      <w:rPr>
        <w:noProof/>
        <w:kern w:val="0"/>
        <w:szCs w:val="21"/>
      </w:rPr>
      <w:t>1</w:t>
    </w:r>
    <w:r w:rsidR="00D0497E">
      <w:rPr>
        <w:kern w:val="0"/>
        <w:szCs w:val="21"/>
      </w:rPr>
      <w:fldChar w:fldCharType="end"/>
    </w:r>
    <w:r>
      <w:rPr>
        <w:rFonts w:hint="eastAsia"/>
        <w:kern w:val="0"/>
        <w:szCs w:val="21"/>
      </w:rPr>
      <w:t>页共</w:t>
    </w:r>
    <w:r w:rsidR="00D0497E">
      <w:rPr>
        <w:kern w:val="0"/>
        <w:szCs w:val="21"/>
      </w:rPr>
      <w:fldChar w:fldCharType="begin"/>
    </w:r>
    <w:r>
      <w:rPr>
        <w:kern w:val="0"/>
        <w:szCs w:val="21"/>
      </w:rPr>
      <w:instrText xml:space="preserve"> NUMPAGES </w:instrText>
    </w:r>
    <w:r w:rsidR="00D0497E">
      <w:rPr>
        <w:kern w:val="0"/>
        <w:szCs w:val="21"/>
      </w:rPr>
      <w:fldChar w:fldCharType="separate"/>
    </w:r>
    <w:r w:rsidR="00CF2992">
      <w:rPr>
        <w:noProof/>
        <w:kern w:val="0"/>
        <w:szCs w:val="21"/>
      </w:rPr>
      <w:t>11</w:t>
    </w:r>
    <w:r w:rsidR="00D0497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35" w:rsidRDefault="00124F35" w:rsidP="00876D65">
      <w:r>
        <w:separator/>
      </w:r>
    </w:p>
  </w:footnote>
  <w:footnote w:type="continuationSeparator" w:id="0">
    <w:p w:rsidR="00124F35" w:rsidRDefault="00124F3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95F05"/>
    <w:rsid w:val="000A2B53"/>
    <w:rsid w:val="000A2FC0"/>
    <w:rsid w:val="000A4173"/>
    <w:rsid w:val="000B1D21"/>
    <w:rsid w:val="000B5C78"/>
    <w:rsid w:val="000B624F"/>
    <w:rsid w:val="000B73C6"/>
    <w:rsid w:val="000C190B"/>
    <w:rsid w:val="000C1E17"/>
    <w:rsid w:val="000C5216"/>
    <w:rsid w:val="000D0E6C"/>
    <w:rsid w:val="000D11DE"/>
    <w:rsid w:val="000D3ED4"/>
    <w:rsid w:val="000E0F4D"/>
    <w:rsid w:val="000F6CC8"/>
    <w:rsid w:val="00111261"/>
    <w:rsid w:val="00124F35"/>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05BD1"/>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148E"/>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512C"/>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992"/>
    <w:rsid w:val="00CF2D3E"/>
    <w:rsid w:val="00CF6572"/>
    <w:rsid w:val="00D01FE6"/>
    <w:rsid w:val="00D02347"/>
    <w:rsid w:val="00D046DB"/>
    <w:rsid w:val="00D04755"/>
    <w:rsid w:val="00D0497E"/>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3A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502EC67-9D58-44AA-AB0B-B92F1723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FD2ED-DE36-4336-82EA-7BFAAA61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2014-04-16T12:30:00Z</dcterms:created>
  <dcterms:modified xsi:type="dcterms:W3CDTF">2014-04-16T12:30:00Z</dcterms:modified>
</cp:coreProperties>
</file>