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交银施罗德成长股票证券投资基金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613395">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C6535" w:rsidRDefault="00B2638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613395">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交银成长股票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2,771,576,039.69</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本基金是一只股票型基金，以具有良好成长性的公司为主要投资对象，追求超额收益，属于证券投资基金中较高预期收益和较高风险的品种。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613395">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B26381" w:rsidRPr="00414345" w:rsidTr="00B26381">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26381" w:rsidRPr="00414345" w:rsidTr="00B2638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399,390,899.46</w:t>
            </w:r>
          </w:p>
        </w:tc>
      </w:tr>
      <w:tr w:rsidR="00B26381" w:rsidRPr="00414345" w:rsidTr="00B2638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-820,899,108.53</w:t>
            </w:r>
          </w:p>
        </w:tc>
      </w:tr>
      <w:tr w:rsidR="00B26381" w:rsidRPr="00414345" w:rsidTr="00B2638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-0.2564</w:t>
            </w:r>
          </w:p>
        </w:tc>
      </w:tr>
      <w:tr w:rsidR="00B26381" w:rsidRPr="00414345" w:rsidTr="00B2638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7,708,296,336.64</w:t>
            </w:r>
          </w:p>
        </w:tc>
      </w:tr>
      <w:tr w:rsidR="00B26381" w:rsidRPr="00414345" w:rsidTr="00B26381">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2.7812</w:t>
            </w:r>
          </w:p>
        </w:tc>
      </w:tr>
    </w:tbl>
    <w:p w:rsidR="006C6535" w:rsidRDefault="00B2638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C6535">
        <w:trPr>
          <w:jc w:val="center"/>
        </w:trPr>
        <w:tc>
          <w:tcPr>
            <w:tcW w:w="1701" w:type="dxa"/>
            <w:vAlign w:val="center"/>
          </w:tcPr>
          <w:p w:rsidR="006C6535" w:rsidRDefault="00B26381">
            <w:pPr>
              <w:jc w:val="left"/>
            </w:pPr>
            <w:r>
              <w:rPr>
                <w:color w:val="000000"/>
                <w:sz w:val="24"/>
                <w:szCs w:val="24"/>
              </w:rPr>
              <w:t>过去三个月</w:t>
            </w:r>
          </w:p>
        </w:tc>
        <w:tc>
          <w:tcPr>
            <w:tcW w:w="1045" w:type="dxa"/>
            <w:vAlign w:val="center"/>
          </w:tcPr>
          <w:p w:rsidR="006C6535" w:rsidRDefault="00B26381">
            <w:pPr>
              <w:jc w:val="center"/>
            </w:pPr>
            <w:r>
              <w:rPr>
                <w:color w:val="000000"/>
                <w:sz w:val="24"/>
                <w:szCs w:val="24"/>
              </w:rPr>
              <w:t>-9.34%</w:t>
            </w:r>
          </w:p>
        </w:tc>
        <w:tc>
          <w:tcPr>
            <w:tcW w:w="1344" w:type="dxa"/>
            <w:vAlign w:val="center"/>
          </w:tcPr>
          <w:p w:rsidR="006C6535" w:rsidRDefault="00B26381">
            <w:pPr>
              <w:jc w:val="center"/>
            </w:pPr>
            <w:r>
              <w:rPr>
                <w:color w:val="000000"/>
                <w:sz w:val="24"/>
                <w:szCs w:val="24"/>
              </w:rPr>
              <w:t>1.34%</w:t>
            </w:r>
          </w:p>
        </w:tc>
        <w:tc>
          <w:tcPr>
            <w:tcW w:w="1194" w:type="dxa"/>
            <w:vAlign w:val="center"/>
          </w:tcPr>
          <w:p w:rsidR="006C6535" w:rsidRDefault="00B26381">
            <w:pPr>
              <w:jc w:val="center"/>
            </w:pPr>
            <w:r>
              <w:rPr>
                <w:color w:val="000000"/>
                <w:sz w:val="24"/>
                <w:szCs w:val="24"/>
              </w:rPr>
              <w:t>-5.23%</w:t>
            </w:r>
          </w:p>
        </w:tc>
        <w:tc>
          <w:tcPr>
            <w:tcW w:w="1492" w:type="dxa"/>
            <w:vAlign w:val="center"/>
          </w:tcPr>
          <w:p w:rsidR="006C6535" w:rsidRDefault="00B26381">
            <w:pPr>
              <w:jc w:val="center"/>
            </w:pPr>
            <w:r>
              <w:rPr>
                <w:color w:val="000000"/>
                <w:sz w:val="24"/>
                <w:szCs w:val="24"/>
              </w:rPr>
              <w:t>0.99%</w:t>
            </w:r>
          </w:p>
        </w:tc>
        <w:tc>
          <w:tcPr>
            <w:tcW w:w="1194" w:type="dxa"/>
            <w:vAlign w:val="center"/>
          </w:tcPr>
          <w:p w:rsidR="006C6535" w:rsidRDefault="00B26381">
            <w:pPr>
              <w:jc w:val="center"/>
            </w:pPr>
            <w:r>
              <w:rPr>
                <w:color w:val="000000"/>
                <w:sz w:val="24"/>
                <w:szCs w:val="24"/>
              </w:rPr>
              <w:t>-4.11%</w:t>
            </w:r>
          </w:p>
        </w:tc>
        <w:tc>
          <w:tcPr>
            <w:tcW w:w="898" w:type="dxa"/>
            <w:vAlign w:val="center"/>
          </w:tcPr>
          <w:p w:rsidR="006C6535" w:rsidRDefault="00B26381">
            <w:pPr>
              <w:jc w:val="center"/>
            </w:pPr>
            <w:r>
              <w:rPr>
                <w:color w:val="000000"/>
                <w:sz w:val="24"/>
                <w:szCs w:val="24"/>
              </w:rPr>
              <w:t>0.35%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交银施罗德成长股票证券投资基金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15074" w:rsidP="00DA14B0">
      <w:pPr>
        <w:pStyle w:val="a5"/>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731510" cy="3356610"/>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613395">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6C6535">
        <w:trPr>
          <w:jc w:val="center"/>
        </w:trPr>
        <w:tc>
          <w:tcPr>
            <w:tcW w:w="846" w:type="dxa"/>
            <w:vAlign w:val="center"/>
          </w:tcPr>
          <w:p w:rsidR="006C6535" w:rsidRDefault="00B26381">
            <w:pPr>
              <w:jc w:val="center"/>
            </w:pPr>
            <w:r>
              <w:rPr>
                <w:color w:val="000000"/>
                <w:sz w:val="24"/>
                <w:szCs w:val="24"/>
              </w:rPr>
              <w:t>管华雨</w:t>
            </w:r>
          </w:p>
        </w:tc>
        <w:tc>
          <w:tcPr>
            <w:tcW w:w="845" w:type="dxa"/>
            <w:vAlign w:val="center"/>
          </w:tcPr>
          <w:p w:rsidR="006C6535" w:rsidRDefault="00B26381" w:rsidP="00B36C98">
            <w:pPr>
              <w:jc w:val="center"/>
            </w:pPr>
            <w:r>
              <w:rPr>
                <w:color w:val="000000"/>
                <w:sz w:val="24"/>
                <w:szCs w:val="24"/>
              </w:rPr>
              <w:t>本基金、交银趋势股票、交银成长</w:t>
            </w:r>
            <w:r>
              <w:rPr>
                <w:color w:val="000000"/>
                <w:sz w:val="24"/>
                <w:szCs w:val="24"/>
              </w:rPr>
              <w:t>30</w:t>
            </w:r>
            <w:r>
              <w:rPr>
                <w:color w:val="000000"/>
                <w:sz w:val="24"/>
                <w:szCs w:val="24"/>
              </w:rPr>
              <w:t>股票</w:t>
            </w:r>
            <w:r w:rsidR="00B36C98">
              <w:rPr>
                <w:rFonts w:hint="eastAsia"/>
                <w:color w:val="000000"/>
                <w:sz w:val="24"/>
                <w:szCs w:val="24"/>
              </w:rPr>
              <w:t>的</w:t>
            </w:r>
            <w:r w:rsidR="00B36C98">
              <w:rPr>
                <w:color w:val="000000"/>
                <w:sz w:val="24"/>
                <w:szCs w:val="24"/>
              </w:rPr>
              <w:t>基金经理</w:t>
            </w:r>
            <w:bookmarkStart w:id="0" w:name="_GoBack"/>
            <w:bookmarkEnd w:id="0"/>
            <w:r>
              <w:rPr>
                <w:color w:val="000000"/>
                <w:sz w:val="24"/>
                <w:szCs w:val="24"/>
              </w:rPr>
              <w:t>，公司权益投资总监</w:t>
            </w:r>
          </w:p>
        </w:tc>
        <w:tc>
          <w:tcPr>
            <w:tcW w:w="1549" w:type="dxa"/>
            <w:vAlign w:val="center"/>
          </w:tcPr>
          <w:p w:rsidR="006C6535" w:rsidRDefault="00B26381">
            <w:pPr>
              <w:jc w:val="center"/>
            </w:pPr>
            <w:r>
              <w:rPr>
                <w:color w:val="000000"/>
                <w:sz w:val="24"/>
                <w:szCs w:val="24"/>
              </w:rPr>
              <w:t>2010-10-08</w:t>
            </w:r>
          </w:p>
        </w:tc>
        <w:tc>
          <w:tcPr>
            <w:tcW w:w="1548" w:type="dxa"/>
            <w:vAlign w:val="center"/>
          </w:tcPr>
          <w:p w:rsidR="006C6535" w:rsidRDefault="00B26381">
            <w:pPr>
              <w:jc w:val="center"/>
            </w:pPr>
            <w:r>
              <w:rPr>
                <w:color w:val="000000"/>
                <w:sz w:val="24"/>
                <w:szCs w:val="24"/>
              </w:rPr>
              <w:t>-</w:t>
            </w:r>
          </w:p>
        </w:tc>
        <w:tc>
          <w:tcPr>
            <w:tcW w:w="1407" w:type="dxa"/>
            <w:vAlign w:val="center"/>
          </w:tcPr>
          <w:p w:rsidR="006C6535" w:rsidRDefault="00B26381">
            <w:pPr>
              <w:jc w:val="center"/>
            </w:pPr>
            <w:r>
              <w:rPr>
                <w:color w:val="000000"/>
                <w:sz w:val="24"/>
                <w:szCs w:val="24"/>
              </w:rPr>
              <w:t>12</w:t>
            </w:r>
            <w:r>
              <w:rPr>
                <w:color w:val="000000"/>
                <w:sz w:val="24"/>
                <w:szCs w:val="24"/>
              </w:rPr>
              <w:t>年</w:t>
            </w:r>
          </w:p>
        </w:tc>
        <w:tc>
          <w:tcPr>
            <w:tcW w:w="2673" w:type="dxa"/>
            <w:vAlign w:val="center"/>
          </w:tcPr>
          <w:p w:rsidR="006C6535" w:rsidRDefault="00B26381">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lastRenderedPageBreak/>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C6535" w:rsidRDefault="00B2638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C6535" w:rsidRDefault="00B2638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C6535" w:rsidRDefault="00B2638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C6535" w:rsidRDefault="00B26381">
      <w:pPr>
        <w:spacing w:before="29" w:line="288" w:lineRule="auto"/>
        <w:ind w:firstLineChars="200" w:firstLine="480"/>
        <w:rPr>
          <w:color w:val="000000"/>
          <w:sz w:val="24"/>
          <w:szCs w:val="24"/>
        </w:rPr>
      </w:pPr>
      <w:r>
        <w:rPr>
          <w:color w:val="000000"/>
          <w:sz w:val="24"/>
          <w:szCs w:val="24"/>
        </w:rPr>
        <w:lastRenderedPageBreak/>
        <w:t>一季度</w:t>
      </w:r>
      <w:r>
        <w:rPr>
          <w:color w:val="000000"/>
          <w:sz w:val="24"/>
          <w:szCs w:val="24"/>
        </w:rPr>
        <w:t>A</w:t>
      </w:r>
      <w:r>
        <w:rPr>
          <w:color w:val="000000"/>
          <w:sz w:val="24"/>
          <w:szCs w:val="24"/>
        </w:rPr>
        <w:t>股市场剧烈分化：沪深</w:t>
      </w:r>
      <w:r>
        <w:rPr>
          <w:color w:val="000000"/>
          <w:sz w:val="24"/>
          <w:szCs w:val="24"/>
        </w:rPr>
        <w:t>300</w:t>
      </w:r>
      <w:r>
        <w:rPr>
          <w:color w:val="000000"/>
          <w:sz w:val="24"/>
          <w:szCs w:val="24"/>
        </w:rPr>
        <w:t>震荡下行，创业板却延续去年的强势，年初顽强上扬，</w:t>
      </w:r>
      <w:r>
        <w:rPr>
          <w:color w:val="000000"/>
          <w:sz w:val="24"/>
          <w:szCs w:val="24"/>
        </w:rPr>
        <w:t>2</w:t>
      </w:r>
      <w:r>
        <w:rPr>
          <w:color w:val="000000"/>
          <w:sz w:val="24"/>
          <w:szCs w:val="24"/>
        </w:rPr>
        <w:t>月底以后出现大幅震荡，全季度小幅上涨。从行业和板块看，周期股依然没有起色，成长股内部显著分化，小市值概念股被大幅度炒作，基金重仓持有的中大市值白马股则大部分出现明显下跌。</w:t>
      </w:r>
    </w:p>
    <w:p w:rsidR="006C6535" w:rsidRDefault="00B26381">
      <w:pPr>
        <w:spacing w:before="29" w:line="288" w:lineRule="auto"/>
        <w:ind w:firstLineChars="200" w:firstLine="480"/>
        <w:rPr>
          <w:color w:val="000000"/>
          <w:sz w:val="24"/>
          <w:szCs w:val="24"/>
        </w:rPr>
      </w:pPr>
      <w:r>
        <w:rPr>
          <w:color w:val="000000"/>
          <w:sz w:val="24"/>
          <w:szCs w:val="24"/>
        </w:rPr>
        <w:t>去年底，本基金对整体市场保持谨慎态度，因此持股向低估值白马龙头股集中。但是，一季度行情体现出极高风险偏好的特征，因此组合整体上略显被动。</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未来，本基金认为改革和转型相关股票在经历了去年的大幅度上涨后，今年进入业绩兑现期，纯粹主题炒作品种面临较大的回调压力。从大环境看，未来国内外宏观经济和流动性都存在较大的不确定性，因此本基金将一如既往地深入研究，严控风险，力争给持有人带来好的回报。</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2.7812</w:t>
      </w:r>
      <w:r w:rsidRPr="00414345">
        <w:rPr>
          <w:color w:val="000000"/>
          <w:sz w:val="24"/>
          <w:szCs w:val="24"/>
        </w:rPr>
        <w:t>元，本报告期份额净值增长率为</w:t>
      </w:r>
      <w:r w:rsidRPr="00414345">
        <w:rPr>
          <w:color w:val="000000"/>
          <w:sz w:val="24"/>
          <w:szCs w:val="24"/>
        </w:rPr>
        <w:t>-9.34%</w:t>
      </w:r>
      <w:r w:rsidRPr="00414345">
        <w:rPr>
          <w:color w:val="000000"/>
          <w:sz w:val="24"/>
          <w:szCs w:val="24"/>
        </w:rPr>
        <w:t>，同期业绩比较基准增长率为</w:t>
      </w:r>
      <w:r w:rsidRPr="00414345">
        <w:rPr>
          <w:color w:val="000000"/>
          <w:sz w:val="24"/>
          <w:szCs w:val="24"/>
        </w:rPr>
        <w:t>-5.23%</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613395">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6,960,863,760.59</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89.92</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6,960,863,760.59</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89.92</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153,263,463.40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1.98</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153,263,463.40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1.98</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99,995,349.99</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1.29</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485,909,169.74</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6.28</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41,352,440.00</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0.53</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7,741,384,183.72</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B2638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B26381">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5,699,928,258.76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73.95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81,269,250.51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141,901,869.56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B26381">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248,005,796.60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297,920,000.00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192,055,535.28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81,430,912.00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36,056,734.26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89,181,000.00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93,114,403.62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6,960,863,760.59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90.30</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C6535">
        <w:trPr>
          <w:jc w:val="center"/>
        </w:trPr>
        <w:tc>
          <w:tcPr>
            <w:tcW w:w="855" w:type="dxa"/>
            <w:vAlign w:val="center"/>
          </w:tcPr>
          <w:p w:rsidR="006C6535" w:rsidRDefault="00B26381">
            <w:pPr>
              <w:jc w:val="center"/>
            </w:pPr>
            <w:r>
              <w:rPr>
                <w:color w:val="000000"/>
                <w:sz w:val="24"/>
                <w:szCs w:val="24"/>
              </w:rPr>
              <w:t>1</w:t>
            </w:r>
          </w:p>
        </w:tc>
        <w:tc>
          <w:tcPr>
            <w:tcW w:w="1334" w:type="dxa"/>
            <w:vAlign w:val="center"/>
          </w:tcPr>
          <w:p w:rsidR="006C6535" w:rsidRDefault="00B26381">
            <w:pPr>
              <w:jc w:val="center"/>
            </w:pPr>
            <w:r>
              <w:rPr>
                <w:color w:val="000000"/>
                <w:sz w:val="24"/>
                <w:szCs w:val="24"/>
              </w:rPr>
              <w:t>002415</w:t>
            </w:r>
          </w:p>
        </w:tc>
        <w:tc>
          <w:tcPr>
            <w:tcW w:w="1777" w:type="dxa"/>
            <w:vAlign w:val="center"/>
          </w:tcPr>
          <w:p w:rsidR="006C6535" w:rsidRDefault="00B26381">
            <w:pPr>
              <w:jc w:val="center"/>
            </w:pPr>
            <w:r>
              <w:rPr>
                <w:color w:val="000000"/>
                <w:sz w:val="24"/>
                <w:szCs w:val="24"/>
              </w:rPr>
              <w:t>海康威视</w:t>
            </w:r>
          </w:p>
        </w:tc>
        <w:tc>
          <w:tcPr>
            <w:tcW w:w="1334" w:type="dxa"/>
            <w:vAlign w:val="center"/>
          </w:tcPr>
          <w:p w:rsidR="006C6535" w:rsidRDefault="00B26381">
            <w:pPr>
              <w:jc w:val="right"/>
            </w:pPr>
            <w:r>
              <w:rPr>
                <w:color w:val="000000"/>
                <w:sz w:val="24"/>
                <w:szCs w:val="24"/>
              </w:rPr>
              <w:t>26,000,000</w:t>
            </w:r>
          </w:p>
        </w:tc>
        <w:tc>
          <w:tcPr>
            <w:tcW w:w="1924" w:type="dxa"/>
            <w:vAlign w:val="center"/>
          </w:tcPr>
          <w:p w:rsidR="006C6535" w:rsidRDefault="00B26381">
            <w:pPr>
              <w:jc w:val="right"/>
            </w:pPr>
            <w:r>
              <w:rPr>
                <w:color w:val="000000"/>
                <w:sz w:val="24"/>
                <w:szCs w:val="24"/>
              </w:rPr>
              <w:t>453,700,000.00</w:t>
            </w:r>
          </w:p>
        </w:tc>
        <w:tc>
          <w:tcPr>
            <w:tcW w:w="1644" w:type="dxa"/>
            <w:vAlign w:val="center"/>
          </w:tcPr>
          <w:p w:rsidR="006C6535" w:rsidRDefault="00B26381">
            <w:pPr>
              <w:jc w:val="right"/>
            </w:pPr>
            <w:r>
              <w:rPr>
                <w:color w:val="000000"/>
                <w:sz w:val="24"/>
                <w:szCs w:val="24"/>
              </w:rPr>
              <w:t>5.89</w:t>
            </w:r>
          </w:p>
        </w:tc>
      </w:tr>
      <w:tr w:rsidR="006C6535">
        <w:trPr>
          <w:jc w:val="center"/>
        </w:trPr>
        <w:tc>
          <w:tcPr>
            <w:tcW w:w="855" w:type="dxa"/>
            <w:vAlign w:val="center"/>
          </w:tcPr>
          <w:p w:rsidR="006C6535" w:rsidRDefault="00B26381">
            <w:pPr>
              <w:jc w:val="center"/>
            </w:pPr>
            <w:r>
              <w:rPr>
                <w:color w:val="000000"/>
                <w:sz w:val="24"/>
                <w:szCs w:val="24"/>
              </w:rPr>
              <w:t>2</w:t>
            </w:r>
          </w:p>
        </w:tc>
        <w:tc>
          <w:tcPr>
            <w:tcW w:w="1334" w:type="dxa"/>
            <w:vAlign w:val="center"/>
          </w:tcPr>
          <w:p w:rsidR="006C6535" w:rsidRDefault="00B26381">
            <w:pPr>
              <w:jc w:val="center"/>
            </w:pPr>
            <w:r>
              <w:rPr>
                <w:color w:val="000000"/>
                <w:sz w:val="24"/>
                <w:szCs w:val="24"/>
              </w:rPr>
              <w:t>000625</w:t>
            </w:r>
          </w:p>
        </w:tc>
        <w:tc>
          <w:tcPr>
            <w:tcW w:w="1777" w:type="dxa"/>
            <w:vAlign w:val="center"/>
          </w:tcPr>
          <w:p w:rsidR="006C6535" w:rsidRDefault="00B26381">
            <w:pPr>
              <w:jc w:val="center"/>
            </w:pPr>
            <w:r>
              <w:rPr>
                <w:color w:val="000000"/>
                <w:sz w:val="24"/>
                <w:szCs w:val="24"/>
              </w:rPr>
              <w:t>长安汽车</w:t>
            </w:r>
          </w:p>
        </w:tc>
        <w:tc>
          <w:tcPr>
            <w:tcW w:w="1334" w:type="dxa"/>
            <w:vAlign w:val="center"/>
          </w:tcPr>
          <w:p w:rsidR="006C6535" w:rsidRDefault="00B26381">
            <w:pPr>
              <w:jc w:val="right"/>
            </w:pPr>
            <w:r>
              <w:rPr>
                <w:color w:val="000000"/>
                <w:sz w:val="24"/>
                <w:szCs w:val="24"/>
              </w:rPr>
              <w:t>45,187,523</w:t>
            </w:r>
          </w:p>
        </w:tc>
        <w:tc>
          <w:tcPr>
            <w:tcW w:w="1924" w:type="dxa"/>
            <w:vAlign w:val="center"/>
          </w:tcPr>
          <w:p w:rsidR="006C6535" w:rsidRDefault="00B26381">
            <w:pPr>
              <w:jc w:val="right"/>
            </w:pPr>
            <w:r>
              <w:rPr>
                <w:color w:val="000000"/>
                <w:sz w:val="24"/>
                <w:szCs w:val="24"/>
              </w:rPr>
              <w:t>432,444,595.11</w:t>
            </w:r>
          </w:p>
        </w:tc>
        <w:tc>
          <w:tcPr>
            <w:tcW w:w="1644" w:type="dxa"/>
            <w:vAlign w:val="center"/>
          </w:tcPr>
          <w:p w:rsidR="006C6535" w:rsidRDefault="00B26381">
            <w:pPr>
              <w:jc w:val="right"/>
            </w:pPr>
            <w:r>
              <w:rPr>
                <w:color w:val="000000"/>
                <w:sz w:val="24"/>
                <w:szCs w:val="24"/>
              </w:rPr>
              <w:t>5.61</w:t>
            </w:r>
          </w:p>
        </w:tc>
      </w:tr>
      <w:tr w:rsidR="006C6535">
        <w:trPr>
          <w:jc w:val="center"/>
        </w:trPr>
        <w:tc>
          <w:tcPr>
            <w:tcW w:w="855" w:type="dxa"/>
            <w:vAlign w:val="center"/>
          </w:tcPr>
          <w:p w:rsidR="006C6535" w:rsidRDefault="00B26381">
            <w:pPr>
              <w:jc w:val="center"/>
            </w:pPr>
            <w:r>
              <w:rPr>
                <w:color w:val="000000"/>
                <w:sz w:val="24"/>
                <w:szCs w:val="24"/>
              </w:rPr>
              <w:lastRenderedPageBreak/>
              <w:t>3</w:t>
            </w:r>
          </w:p>
        </w:tc>
        <w:tc>
          <w:tcPr>
            <w:tcW w:w="1334" w:type="dxa"/>
            <w:vAlign w:val="center"/>
          </w:tcPr>
          <w:p w:rsidR="006C6535" w:rsidRDefault="00B26381">
            <w:pPr>
              <w:jc w:val="center"/>
            </w:pPr>
            <w:r>
              <w:rPr>
                <w:color w:val="000000"/>
                <w:sz w:val="24"/>
                <w:szCs w:val="24"/>
              </w:rPr>
              <w:t>600535</w:t>
            </w:r>
          </w:p>
        </w:tc>
        <w:tc>
          <w:tcPr>
            <w:tcW w:w="1777" w:type="dxa"/>
            <w:vAlign w:val="center"/>
          </w:tcPr>
          <w:p w:rsidR="006C6535" w:rsidRDefault="00B26381">
            <w:pPr>
              <w:jc w:val="center"/>
            </w:pPr>
            <w:r>
              <w:rPr>
                <w:color w:val="000000"/>
                <w:sz w:val="24"/>
                <w:szCs w:val="24"/>
              </w:rPr>
              <w:t>天士力</w:t>
            </w:r>
          </w:p>
        </w:tc>
        <w:tc>
          <w:tcPr>
            <w:tcW w:w="1334" w:type="dxa"/>
            <w:vAlign w:val="center"/>
          </w:tcPr>
          <w:p w:rsidR="006C6535" w:rsidRDefault="00B26381">
            <w:pPr>
              <w:jc w:val="right"/>
            </w:pPr>
            <w:r>
              <w:rPr>
                <w:color w:val="000000"/>
                <w:sz w:val="24"/>
                <w:szCs w:val="24"/>
              </w:rPr>
              <w:t>9,700,000</w:t>
            </w:r>
          </w:p>
        </w:tc>
        <w:tc>
          <w:tcPr>
            <w:tcW w:w="1924" w:type="dxa"/>
            <w:vAlign w:val="center"/>
          </w:tcPr>
          <w:p w:rsidR="006C6535" w:rsidRDefault="00B26381">
            <w:pPr>
              <w:jc w:val="right"/>
            </w:pPr>
            <w:r>
              <w:rPr>
                <w:color w:val="000000"/>
                <w:sz w:val="24"/>
                <w:szCs w:val="24"/>
              </w:rPr>
              <w:t>378,203,000.00</w:t>
            </w:r>
          </w:p>
        </w:tc>
        <w:tc>
          <w:tcPr>
            <w:tcW w:w="1644" w:type="dxa"/>
            <w:vAlign w:val="center"/>
          </w:tcPr>
          <w:p w:rsidR="006C6535" w:rsidRDefault="00B26381">
            <w:pPr>
              <w:jc w:val="right"/>
            </w:pPr>
            <w:r>
              <w:rPr>
                <w:color w:val="000000"/>
                <w:sz w:val="24"/>
                <w:szCs w:val="24"/>
              </w:rPr>
              <w:t>4.91</w:t>
            </w:r>
          </w:p>
        </w:tc>
      </w:tr>
      <w:tr w:rsidR="006C6535">
        <w:trPr>
          <w:jc w:val="center"/>
        </w:trPr>
        <w:tc>
          <w:tcPr>
            <w:tcW w:w="855" w:type="dxa"/>
            <w:vAlign w:val="center"/>
          </w:tcPr>
          <w:p w:rsidR="006C6535" w:rsidRDefault="00B26381">
            <w:pPr>
              <w:jc w:val="center"/>
            </w:pPr>
            <w:r>
              <w:rPr>
                <w:color w:val="000000"/>
                <w:sz w:val="24"/>
                <w:szCs w:val="24"/>
              </w:rPr>
              <w:t>4</w:t>
            </w:r>
          </w:p>
        </w:tc>
        <w:tc>
          <w:tcPr>
            <w:tcW w:w="1334" w:type="dxa"/>
            <w:vAlign w:val="center"/>
          </w:tcPr>
          <w:p w:rsidR="006C6535" w:rsidRDefault="00B26381">
            <w:pPr>
              <w:jc w:val="center"/>
            </w:pPr>
            <w:r>
              <w:rPr>
                <w:color w:val="000000"/>
                <w:sz w:val="24"/>
                <w:szCs w:val="24"/>
              </w:rPr>
              <w:t>600089</w:t>
            </w:r>
          </w:p>
        </w:tc>
        <w:tc>
          <w:tcPr>
            <w:tcW w:w="1777" w:type="dxa"/>
            <w:vAlign w:val="center"/>
          </w:tcPr>
          <w:p w:rsidR="006C6535" w:rsidRDefault="00B26381">
            <w:pPr>
              <w:jc w:val="center"/>
            </w:pPr>
            <w:r>
              <w:rPr>
                <w:color w:val="000000"/>
                <w:sz w:val="24"/>
                <w:szCs w:val="24"/>
              </w:rPr>
              <w:t>特变电工</w:t>
            </w:r>
          </w:p>
        </w:tc>
        <w:tc>
          <w:tcPr>
            <w:tcW w:w="1334" w:type="dxa"/>
            <w:vAlign w:val="center"/>
          </w:tcPr>
          <w:p w:rsidR="006C6535" w:rsidRDefault="00B26381">
            <w:pPr>
              <w:jc w:val="right"/>
            </w:pPr>
            <w:r>
              <w:rPr>
                <w:color w:val="000000"/>
                <w:sz w:val="24"/>
                <w:szCs w:val="24"/>
              </w:rPr>
              <w:t>39,980,000</w:t>
            </w:r>
          </w:p>
        </w:tc>
        <w:tc>
          <w:tcPr>
            <w:tcW w:w="1924" w:type="dxa"/>
            <w:vAlign w:val="center"/>
          </w:tcPr>
          <w:p w:rsidR="006C6535" w:rsidRDefault="00B26381">
            <w:pPr>
              <w:jc w:val="right"/>
            </w:pPr>
            <w:r>
              <w:rPr>
                <w:color w:val="000000"/>
                <w:sz w:val="24"/>
                <w:szCs w:val="24"/>
              </w:rPr>
              <w:t>360,219,800.00</w:t>
            </w:r>
          </w:p>
        </w:tc>
        <w:tc>
          <w:tcPr>
            <w:tcW w:w="1644" w:type="dxa"/>
            <w:vAlign w:val="center"/>
          </w:tcPr>
          <w:p w:rsidR="006C6535" w:rsidRDefault="00B26381">
            <w:pPr>
              <w:jc w:val="right"/>
            </w:pPr>
            <w:r>
              <w:rPr>
                <w:color w:val="000000"/>
                <w:sz w:val="24"/>
                <w:szCs w:val="24"/>
              </w:rPr>
              <w:t>4.67</w:t>
            </w:r>
          </w:p>
        </w:tc>
      </w:tr>
      <w:tr w:rsidR="006C6535">
        <w:trPr>
          <w:jc w:val="center"/>
        </w:trPr>
        <w:tc>
          <w:tcPr>
            <w:tcW w:w="855" w:type="dxa"/>
            <w:vAlign w:val="center"/>
          </w:tcPr>
          <w:p w:rsidR="006C6535" w:rsidRDefault="00B26381">
            <w:pPr>
              <w:jc w:val="center"/>
            </w:pPr>
            <w:r>
              <w:rPr>
                <w:color w:val="000000"/>
                <w:sz w:val="24"/>
                <w:szCs w:val="24"/>
              </w:rPr>
              <w:t>5</w:t>
            </w:r>
          </w:p>
        </w:tc>
        <w:tc>
          <w:tcPr>
            <w:tcW w:w="1334" w:type="dxa"/>
            <w:vAlign w:val="center"/>
          </w:tcPr>
          <w:p w:rsidR="006C6535" w:rsidRDefault="00B26381">
            <w:pPr>
              <w:jc w:val="center"/>
            </w:pPr>
            <w:r>
              <w:rPr>
                <w:color w:val="000000"/>
                <w:sz w:val="24"/>
                <w:szCs w:val="24"/>
              </w:rPr>
              <w:t>600690</w:t>
            </w:r>
          </w:p>
        </w:tc>
        <w:tc>
          <w:tcPr>
            <w:tcW w:w="1777" w:type="dxa"/>
            <w:vAlign w:val="center"/>
          </w:tcPr>
          <w:p w:rsidR="006C6535" w:rsidRDefault="00B26381">
            <w:pPr>
              <w:jc w:val="center"/>
            </w:pPr>
            <w:r>
              <w:rPr>
                <w:color w:val="000000"/>
                <w:sz w:val="24"/>
                <w:szCs w:val="24"/>
              </w:rPr>
              <w:t>青岛海尔</w:t>
            </w:r>
          </w:p>
        </w:tc>
        <w:tc>
          <w:tcPr>
            <w:tcW w:w="1334" w:type="dxa"/>
            <w:vAlign w:val="center"/>
          </w:tcPr>
          <w:p w:rsidR="006C6535" w:rsidRDefault="00B26381">
            <w:pPr>
              <w:jc w:val="right"/>
            </w:pPr>
            <w:r>
              <w:rPr>
                <w:color w:val="000000"/>
                <w:sz w:val="24"/>
                <w:szCs w:val="24"/>
              </w:rPr>
              <w:t>20,033,339</w:t>
            </w:r>
          </w:p>
        </w:tc>
        <w:tc>
          <w:tcPr>
            <w:tcW w:w="1924" w:type="dxa"/>
            <w:vAlign w:val="center"/>
          </w:tcPr>
          <w:p w:rsidR="006C6535" w:rsidRDefault="00B26381">
            <w:pPr>
              <w:jc w:val="right"/>
            </w:pPr>
            <w:r>
              <w:rPr>
                <w:color w:val="000000"/>
                <w:sz w:val="24"/>
                <w:szCs w:val="24"/>
              </w:rPr>
              <w:t>325,341,425.36</w:t>
            </w:r>
          </w:p>
        </w:tc>
        <w:tc>
          <w:tcPr>
            <w:tcW w:w="1644" w:type="dxa"/>
            <w:vAlign w:val="center"/>
          </w:tcPr>
          <w:p w:rsidR="006C6535" w:rsidRDefault="00B26381">
            <w:pPr>
              <w:jc w:val="right"/>
            </w:pPr>
            <w:r>
              <w:rPr>
                <w:color w:val="000000"/>
                <w:sz w:val="24"/>
                <w:szCs w:val="24"/>
              </w:rPr>
              <w:t>4.22</w:t>
            </w:r>
          </w:p>
        </w:tc>
      </w:tr>
      <w:tr w:rsidR="006C6535">
        <w:trPr>
          <w:jc w:val="center"/>
        </w:trPr>
        <w:tc>
          <w:tcPr>
            <w:tcW w:w="855" w:type="dxa"/>
            <w:vAlign w:val="center"/>
          </w:tcPr>
          <w:p w:rsidR="006C6535" w:rsidRDefault="00B26381">
            <w:pPr>
              <w:jc w:val="center"/>
            </w:pPr>
            <w:r>
              <w:rPr>
                <w:color w:val="000000"/>
                <w:sz w:val="24"/>
                <w:szCs w:val="24"/>
              </w:rPr>
              <w:t>6</w:t>
            </w:r>
          </w:p>
        </w:tc>
        <w:tc>
          <w:tcPr>
            <w:tcW w:w="1334" w:type="dxa"/>
            <w:vAlign w:val="center"/>
          </w:tcPr>
          <w:p w:rsidR="006C6535" w:rsidRDefault="00B26381">
            <w:pPr>
              <w:jc w:val="center"/>
            </w:pPr>
            <w:r>
              <w:rPr>
                <w:color w:val="000000"/>
                <w:sz w:val="24"/>
                <w:szCs w:val="24"/>
              </w:rPr>
              <w:t>002008</w:t>
            </w:r>
          </w:p>
        </w:tc>
        <w:tc>
          <w:tcPr>
            <w:tcW w:w="1777" w:type="dxa"/>
            <w:vAlign w:val="center"/>
          </w:tcPr>
          <w:p w:rsidR="006C6535" w:rsidRDefault="00B26381">
            <w:pPr>
              <w:jc w:val="center"/>
            </w:pPr>
            <w:r>
              <w:rPr>
                <w:color w:val="000000"/>
                <w:sz w:val="24"/>
                <w:szCs w:val="24"/>
              </w:rPr>
              <w:t>大族激光</w:t>
            </w:r>
          </w:p>
        </w:tc>
        <w:tc>
          <w:tcPr>
            <w:tcW w:w="1334" w:type="dxa"/>
            <w:vAlign w:val="center"/>
          </w:tcPr>
          <w:p w:rsidR="006C6535" w:rsidRDefault="00B26381">
            <w:pPr>
              <w:jc w:val="right"/>
            </w:pPr>
            <w:r>
              <w:rPr>
                <w:color w:val="000000"/>
                <w:sz w:val="24"/>
                <w:szCs w:val="24"/>
              </w:rPr>
              <w:t>24,023,058</w:t>
            </w:r>
          </w:p>
        </w:tc>
        <w:tc>
          <w:tcPr>
            <w:tcW w:w="1924" w:type="dxa"/>
            <w:vAlign w:val="center"/>
          </w:tcPr>
          <w:p w:rsidR="006C6535" w:rsidRDefault="00B26381">
            <w:pPr>
              <w:jc w:val="right"/>
            </w:pPr>
            <w:r>
              <w:rPr>
                <w:color w:val="000000"/>
                <w:sz w:val="24"/>
                <w:szCs w:val="24"/>
              </w:rPr>
              <w:t>318,065,287.92</w:t>
            </w:r>
          </w:p>
        </w:tc>
        <w:tc>
          <w:tcPr>
            <w:tcW w:w="1644" w:type="dxa"/>
            <w:vAlign w:val="center"/>
          </w:tcPr>
          <w:p w:rsidR="006C6535" w:rsidRDefault="00B26381">
            <w:pPr>
              <w:jc w:val="right"/>
            </w:pPr>
            <w:r>
              <w:rPr>
                <w:color w:val="000000"/>
                <w:sz w:val="24"/>
                <w:szCs w:val="24"/>
              </w:rPr>
              <w:t>4.13</w:t>
            </w:r>
          </w:p>
        </w:tc>
      </w:tr>
      <w:tr w:rsidR="006C6535">
        <w:trPr>
          <w:jc w:val="center"/>
        </w:trPr>
        <w:tc>
          <w:tcPr>
            <w:tcW w:w="855" w:type="dxa"/>
            <w:vAlign w:val="center"/>
          </w:tcPr>
          <w:p w:rsidR="006C6535" w:rsidRDefault="00B26381">
            <w:pPr>
              <w:jc w:val="center"/>
            </w:pPr>
            <w:r>
              <w:rPr>
                <w:color w:val="000000"/>
                <w:sz w:val="24"/>
                <w:szCs w:val="24"/>
              </w:rPr>
              <w:t>7</w:t>
            </w:r>
          </w:p>
        </w:tc>
        <w:tc>
          <w:tcPr>
            <w:tcW w:w="1334" w:type="dxa"/>
            <w:vAlign w:val="center"/>
          </w:tcPr>
          <w:p w:rsidR="006C6535" w:rsidRDefault="00B26381">
            <w:pPr>
              <w:jc w:val="center"/>
            </w:pPr>
            <w:r>
              <w:rPr>
                <w:color w:val="000000"/>
                <w:sz w:val="24"/>
                <w:szCs w:val="24"/>
              </w:rPr>
              <w:t>600109</w:t>
            </w:r>
          </w:p>
        </w:tc>
        <w:tc>
          <w:tcPr>
            <w:tcW w:w="1777" w:type="dxa"/>
            <w:vAlign w:val="center"/>
          </w:tcPr>
          <w:p w:rsidR="006C6535" w:rsidRDefault="00B26381">
            <w:pPr>
              <w:jc w:val="center"/>
            </w:pPr>
            <w:r>
              <w:rPr>
                <w:color w:val="000000"/>
                <w:sz w:val="24"/>
                <w:szCs w:val="24"/>
              </w:rPr>
              <w:t>国金证券</w:t>
            </w:r>
          </w:p>
        </w:tc>
        <w:tc>
          <w:tcPr>
            <w:tcW w:w="1334" w:type="dxa"/>
            <w:vAlign w:val="center"/>
          </w:tcPr>
          <w:p w:rsidR="006C6535" w:rsidRDefault="00B26381">
            <w:pPr>
              <w:jc w:val="right"/>
            </w:pPr>
            <w:r>
              <w:rPr>
                <w:color w:val="000000"/>
                <w:sz w:val="24"/>
                <w:szCs w:val="24"/>
              </w:rPr>
              <w:t>16,000,000</w:t>
            </w:r>
          </w:p>
        </w:tc>
        <w:tc>
          <w:tcPr>
            <w:tcW w:w="1924" w:type="dxa"/>
            <w:vAlign w:val="center"/>
          </w:tcPr>
          <w:p w:rsidR="006C6535" w:rsidRDefault="00B26381">
            <w:pPr>
              <w:jc w:val="right"/>
            </w:pPr>
            <w:r>
              <w:rPr>
                <w:color w:val="000000"/>
                <w:sz w:val="24"/>
                <w:szCs w:val="24"/>
              </w:rPr>
              <w:t>297,920,000.00</w:t>
            </w:r>
          </w:p>
        </w:tc>
        <w:tc>
          <w:tcPr>
            <w:tcW w:w="1644" w:type="dxa"/>
            <w:vAlign w:val="center"/>
          </w:tcPr>
          <w:p w:rsidR="006C6535" w:rsidRDefault="00B26381">
            <w:pPr>
              <w:jc w:val="right"/>
            </w:pPr>
            <w:r>
              <w:rPr>
                <w:color w:val="000000"/>
                <w:sz w:val="24"/>
                <w:szCs w:val="24"/>
              </w:rPr>
              <w:t>3.86</w:t>
            </w:r>
          </w:p>
        </w:tc>
      </w:tr>
      <w:tr w:rsidR="006C6535">
        <w:trPr>
          <w:jc w:val="center"/>
        </w:trPr>
        <w:tc>
          <w:tcPr>
            <w:tcW w:w="855" w:type="dxa"/>
            <w:vAlign w:val="center"/>
          </w:tcPr>
          <w:p w:rsidR="006C6535" w:rsidRDefault="00B26381">
            <w:pPr>
              <w:jc w:val="center"/>
            </w:pPr>
            <w:r>
              <w:rPr>
                <w:color w:val="000000"/>
                <w:sz w:val="24"/>
                <w:szCs w:val="24"/>
              </w:rPr>
              <w:t>8</w:t>
            </w:r>
          </w:p>
        </w:tc>
        <w:tc>
          <w:tcPr>
            <w:tcW w:w="1334" w:type="dxa"/>
            <w:vAlign w:val="center"/>
          </w:tcPr>
          <w:p w:rsidR="006C6535" w:rsidRDefault="00B26381">
            <w:pPr>
              <w:jc w:val="center"/>
            </w:pPr>
            <w:r>
              <w:rPr>
                <w:color w:val="000000"/>
                <w:sz w:val="24"/>
                <w:szCs w:val="24"/>
              </w:rPr>
              <w:t>002223</w:t>
            </w:r>
          </w:p>
        </w:tc>
        <w:tc>
          <w:tcPr>
            <w:tcW w:w="1777" w:type="dxa"/>
            <w:vAlign w:val="center"/>
          </w:tcPr>
          <w:p w:rsidR="006C6535" w:rsidRDefault="00B26381">
            <w:pPr>
              <w:jc w:val="center"/>
            </w:pPr>
            <w:r>
              <w:rPr>
                <w:color w:val="000000"/>
                <w:sz w:val="24"/>
                <w:szCs w:val="24"/>
              </w:rPr>
              <w:t>鱼跃医疗</w:t>
            </w:r>
          </w:p>
        </w:tc>
        <w:tc>
          <w:tcPr>
            <w:tcW w:w="1334" w:type="dxa"/>
            <w:vAlign w:val="center"/>
          </w:tcPr>
          <w:p w:rsidR="006C6535" w:rsidRDefault="00B26381">
            <w:pPr>
              <w:jc w:val="right"/>
            </w:pPr>
            <w:r>
              <w:rPr>
                <w:color w:val="000000"/>
                <w:sz w:val="24"/>
                <w:szCs w:val="24"/>
              </w:rPr>
              <w:t>10,000,000</w:t>
            </w:r>
          </w:p>
        </w:tc>
        <w:tc>
          <w:tcPr>
            <w:tcW w:w="1924" w:type="dxa"/>
            <w:vAlign w:val="center"/>
          </w:tcPr>
          <w:p w:rsidR="006C6535" w:rsidRDefault="00B26381">
            <w:pPr>
              <w:jc w:val="right"/>
            </w:pPr>
            <w:r>
              <w:rPr>
                <w:color w:val="000000"/>
                <w:sz w:val="24"/>
                <w:szCs w:val="24"/>
              </w:rPr>
              <w:t>280,700,000.00</w:t>
            </w:r>
          </w:p>
        </w:tc>
        <w:tc>
          <w:tcPr>
            <w:tcW w:w="1644" w:type="dxa"/>
            <w:vAlign w:val="center"/>
          </w:tcPr>
          <w:p w:rsidR="006C6535" w:rsidRDefault="00B26381">
            <w:pPr>
              <w:jc w:val="right"/>
            </w:pPr>
            <w:r>
              <w:rPr>
                <w:color w:val="000000"/>
                <w:sz w:val="24"/>
                <w:szCs w:val="24"/>
              </w:rPr>
              <w:t>3.64</w:t>
            </w:r>
          </w:p>
        </w:tc>
      </w:tr>
      <w:tr w:rsidR="006C6535">
        <w:trPr>
          <w:jc w:val="center"/>
        </w:trPr>
        <w:tc>
          <w:tcPr>
            <w:tcW w:w="855" w:type="dxa"/>
            <w:vAlign w:val="center"/>
          </w:tcPr>
          <w:p w:rsidR="006C6535" w:rsidRDefault="00B26381">
            <w:pPr>
              <w:jc w:val="center"/>
            </w:pPr>
            <w:r>
              <w:rPr>
                <w:color w:val="000000"/>
                <w:sz w:val="24"/>
                <w:szCs w:val="24"/>
              </w:rPr>
              <w:t>9</w:t>
            </w:r>
          </w:p>
        </w:tc>
        <w:tc>
          <w:tcPr>
            <w:tcW w:w="1334" w:type="dxa"/>
            <w:vAlign w:val="center"/>
          </w:tcPr>
          <w:p w:rsidR="006C6535" w:rsidRDefault="00B26381">
            <w:pPr>
              <w:jc w:val="center"/>
            </w:pPr>
            <w:r>
              <w:rPr>
                <w:color w:val="000000"/>
                <w:sz w:val="24"/>
                <w:szCs w:val="24"/>
              </w:rPr>
              <w:t>300146</w:t>
            </w:r>
          </w:p>
        </w:tc>
        <w:tc>
          <w:tcPr>
            <w:tcW w:w="1777" w:type="dxa"/>
            <w:vAlign w:val="center"/>
          </w:tcPr>
          <w:p w:rsidR="006C6535" w:rsidRDefault="00B26381">
            <w:pPr>
              <w:jc w:val="center"/>
            </w:pPr>
            <w:r>
              <w:rPr>
                <w:color w:val="000000"/>
                <w:sz w:val="24"/>
                <w:szCs w:val="24"/>
              </w:rPr>
              <w:t>汤臣倍健</w:t>
            </w:r>
          </w:p>
        </w:tc>
        <w:tc>
          <w:tcPr>
            <w:tcW w:w="1334" w:type="dxa"/>
            <w:vAlign w:val="center"/>
          </w:tcPr>
          <w:p w:rsidR="006C6535" w:rsidRDefault="00B26381">
            <w:pPr>
              <w:jc w:val="right"/>
            </w:pPr>
            <w:r>
              <w:rPr>
                <w:color w:val="000000"/>
                <w:sz w:val="24"/>
                <w:szCs w:val="24"/>
              </w:rPr>
              <w:t>4,285,673</w:t>
            </w:r>
          </w:p>
        </w:tc>
        <w:tc>
          <w:tcPr>
            <w:tcW w:w="1924" w:type="dxa"/>
            <w:vAlign w:val="center"/>
          </w:tcPr>
          <w:p w:rsidR="006C6535" w:rsidRDefault="00B26381">
            <w:pPr>
              <w:jc w:val="right"/>
            </w:pPr>
            <w:r>
              <w:rPr>
                <w:color w:val="000000"/>
                <w:sz w:val="24"/>
                <w:szCs w:val="24"/>
              </w:rPr>
              <w:t>258,897,505.93</w:t>
            </w:r>
          </w:p>
        </w:tc>
        <w:tc>
          <w:tcPr>
            <w:tcW w:w="1644" w:type="dxa"/>
            <w:vAlign w:val="center"/>
          </w:tcPr>
          <w:p w:rsidR="006C6535" w:rsidRDefault="00B26381">
            <w:pPr>
              <w:jc w:val="right"/>
            </w:pPr>
            <w:r>
              <w:rPr>
                <w:color w:val="000000"/>
                <w:sz w:val="24"/>
                <w:szCs w:val="24"/>
              </w:rPr>
              <w:t>3.36</w:t>
            </w:r>
          </w:p>
        </w:tc>
      </w:tr>
      <w:tr w:rsidR="006C6535">
        <w:trPr>
          <w:jc w:val="center"/>
        </w:trPr>
        <w:tc>
          <w:tcPr>
            <w:tcW w:w="855" w:type="dxa"/>
            <w:vAlign w:val="center"/>
          </w:tcPr>
          <w:p w:rsidR="006C6535" w:rsidRDefault="00B26381">
            <w:pPr>
              <w:jc w:val="center"/>
            </w:pPr>
            <w:r>
              <w:rPr>
                <w:color w:val="000000"/>
                <w:sz w:val="24"/>
                <w:szCs w:val="24"/>
              </w:rPr>
              <w:t>10</w:t>
            </w:r>
          </w:p>
        </w:tc>
        <w:tc>
          <w:tcPr>
            <w:tcW w:w="1334" w:type="dxa"/>
            <w:vAlign w:val="center"/>
          </w:tcPr>
          <w:p w:rsidR="006C6535" w:rsidRDefault="00B26381">
            <w:pPr>
              <w:jc w:val="center"/>
            </w:pPr>
            <w:r>
              <w:rPr>
                <w:color w:val="000000"/>
                <w:sz w:val="24"/>
                <w:szCs w:val="24"/>
              </w:rPr>
              <w:t>000661</w:t>
            </w:r>
          </w:p>
        </w:tc>
        <w:tc>
          <w:tcPr>
            <w:tcW w:w="1777" w:type="dxa"/>
            <w:vAlign w:val="center"/>
          </w:tcPr>
          <w:p w:rsidR="006C6535" w:rsidRDefault="00B26381">
            <w:pPr>
              <w:jc w:val="center"/>
            </w:pPr>
            <w:r>
              <w:rPr>
                <w:color w:val="000000"/>
                <w:sz w:val="24"/>
                <w:szCs w:val="24"/>
              </w:rPr>
              <w:t>长春高新</w:t>
            </w:r>
          </w:p>
        </w:tc>
        <w:tc>
          <w:tcPr>
            <w:tcW w:w="1334" w:type="dxa"/>
            <w:vAlign w:val="center"/>
          </w:tcPr>
          <w:p w:rsidR="006C6535" w:rsidRDefault="00B26381">
            <w:pPr>
              <w:jc w:val="right"/>
            </w:pPr>
            <w:r>
              <w:rPr>
                <w:color w:val="000000"/>
                <w:sz w:val="24"/>
                <w:szCs w:val="24"/>
              </w:rPr>
              <w:t>2,509,975</w:t>
            </w:r>
          </w:p>
        </w:tc>
        <w:tc>
          <w:tcPr>
            <w:tcW w:w="1924" w:type="dxa"/>
            <w:vAlign w:val="center"/>
          </w:tcPr>
          <w:p w:rsidR="006C6535" w:rsidRDefault="00B26381">
            <w:pPr>
              <w:jc w:val="right"/>
            </w:pPr>
            <w:r>
              <w:rPr>
                <w:color w:val="000000"/>
                <w:sz w:val="24"/>
                <w:szCs w:val="24"/>
              </w:rPr>
              <w:t>241,710,592.50</w:t>
            </w:r>
          </w:p>
        </w:tc>
        <w:tc>
          <w:tcPr>
            <w:tcW w:w="1644" w:type="dxa"/>
            <w:vAlign w:val="center"/>
          </w:tcPr>
          <w:p w:rsidR="006C6535" w:rsidRDefault="00B26381">
            <w:pPr>
              <w:jc w:val="right"/>
            </w:pPr>
            <w:r>
              <w:rPr>
                <w:color w:val="000000"/>
                <w:sz w:val="24"/>
                <w:szCs w:val="24"/>
              </w:rPr>
              <w:t>3.14</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149,945,000.00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1.95</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149,945,000.00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1.95</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3,318,463.40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0.04</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153,263,463.40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1.99</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C6535">
        <w:trPr>
          <w:jc w:val="center"/>
        </w:trPr>
        <w:tc>
          <w:tcPr>
            <w:tcW w:w="850" w:type="dxa"/>
            <w:vAlign w:val="center"/>
          </w:tcPr>
          <w:p w:rsidR="006C6535" w:rsidRDefault="00B26381">
            <w:pPr>
              <w:jc w:val="center"/>
            </w:pPr>
            <w:r>
              <w:rPr>
                <w:color w:val="000000"/>
                <w:sz w:val="24"/>
                <w:szCs w:val="24"/>
              </w:rPr>
              <w:t>1</w:t>
            </w:r>
          </w:p>
        </w:tc>
        <w:tc>
          <w:tcPr>
            <w:tcW w:w="1475" w:type="dxa"/>
            <w:vAlign w:val="center"/>
          </w:tcPr>
          <w:p w:rsidR="006C6535" w:rsidRDefault="00B26381">
            <w:pPr>
              <w:jc w:val="center"/>
            </w:pPr>
            <w:r>
              <w:rPr>
                <w:color w:val="000000"/>
                <w:sz w:val="24"/>
                <w:szCs w:val="24"/>
              </w:rPr>
              <w:t>130218</w:t>
            </w:r>
          </w:p>
        </w:tc>
        <w:tc>
          <w:tcPr>
            <w:tcW w:w="1769" w:type="dxa"/>
            <w:vAlign w:val="center"/>
          </w:tcPr>
          <w:p w:rsidR="006C6535" w:rsidRDefault="00B26381">
            <w:pPr>
              <w:jc w:val="center"/>
            </w:pPr>
            <w:r>
              <w:rPr>
                <w:color w:val="000000"/>
                <w:sz w:val="24"/>
                <w:szCs w:val="24"/>
              </w:rPr>
              <w:t>13</w:t>
            </w:r>
            <w:r>
              <w:rPr>
                <w:color w:val="000000"/>
                <w:sz w:val="24"/>
                <w:szCs w:val="24"/>
              </w:rPr>
              <w:t>国开</w:t>
            </w:r>
            <w:r>
              <w:rPr>
                <w:color w:val="000000"/>
                <w:sz w:val="24"/>
                <w:szCs w:val="24"/>
              </w:rPr>
              <w:t>18</w:t>
            </w:r>
          </w:p>
        </w:tc>
        <w:tc>
          <w:tcPr>
            <w:tcW w:w="1387" w:type="dxa"/>
            <w:vAlign w:val="center"/>
          </w:tcPr>
          <w:p w:rsidR="006C6535" w:rsidRDefault="00B26381">
            <w:pPr>
              <w:jc w:val="right"/>
            </w:pPr>
            <w:r>
              <w:rPr>
                <w:color w:val="000000"/>
                <w:sz w:val="24"/>
                <w:szCs w:val="24"/>
              </w:rPr>
              <w:t>1,000,000</w:t>
            </w:r>
          </w:p>
        </w:tc>
        <w:tc>
          <w:tcPr>
            <w:tcW w:w="2150" w:type="dxa"/>
            <w:vAlign w:val="center"/>
          </w:tcPr>
          <w:p w:rsidR="006C6535" w:rsidRDefault="00B26381">
            <w:pPr>
              <w:jc w:val="right"/>
            </w:pPr>
            <w:r>
              <w:rPr>
                <w:color w:val="000000"/>
                <w:sz w:val="24"/>
                <w:szCs w:val="24"/>
              </w:rPr>
              <w:t>100,000,000.00</w:t>
            </w:r>
          </w:p>
        </w:tc>
        <w:tc>
          <w:tcPr>
            <w:tcW w:w="1237" w:type="dxa"/>
            <w:vAlign w:val="center"/>
          </w:tcPr>
          <w:p w:rsidR="006C6535" w:rsidRDefault="00B26381">
            <w:pPr>
              <w:jc w:val="right"/>
            </w:pPr>
            <w:r>
              <w:rPr>
                <w:color w:val="000000"/>
                <w:sz w:val="24"/>
                <w:szCs w:val="24"/>
              </w:rPr>
              <w:t>1.30</w:t>
            </w:r>
          </w:p>
        </w:tc>
      </w:tr>
      <w:tr w:rsidR="006C6535">
        <w:trPr>
          <w:jc w:val="center"/>
        </w:trPr>
        <w:tc>
          <w:tcPr>
            <w:tcW w:w="850" w:type="dxa"/>
            <w:vAlign w:val="center"/>
          </w:tcPr>
          <w:p w:rsidR="006C6535" w:rsidRDefault="00B26381">
            <w:pPr>
              <w:jc w:val="center"/>
            </w:pPr>
            <w:r>
              <w:rPr>
                <w:color w:val="000000"/>
                <w:sz w:val="24"/>
                <w:szCs w:val="24"/>
              </w:rPr>
              <w:t>2</w:t>
            </w:r>
          </w:p>
        </w:tc>
        <w:tc>
          <w:tcPr>
            <w:tcW w:w="1475" w:type="dxa"/>
            <w:vAlign w:val="center"/>
          </w:tcPr>
          <w:p w:rsidR="006C6535" w:rsidRDefault="00B26381">
            <w:pPr>
              <w:jc w:val="center"/>
            </w:pPr>
            <w:r>
              <w:rPr>
                <w:color w:val="000000"/>
                <w:sz w:val="24"/>
                <w:szCs w:val="24"/>
              </w:rPr>
              <w:t>130236</w:t>
            </w:r>
          </w:p>
        </w:tc>
        <w:tc>
          <w:tcPr>
            <w:tcW w:w="1769" w:type="dxa"/>
            <w:vAlign w:val="center"/>
          </w:tcPr>
          <w:p w:rsidR="006C6535" w:rsidRDefault="00B26381">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6C6535" w:rsidRDefault="00B26381">
            <w:pPr>
              <w:jc w:val="right"/>
            </w:pPr>
            <w:r>
              <w:rPr>
                <w:color w:val="000000"/>
                <w:sz w:val="24"/>
                <w:szCs w:val="24"/>
              </w:rPr>
              <w:t>500,000</w:t>
            </w:r>
          </w:p>
        </w:tc>
        <w:tc>
          <w:tcPr>
            <w:tcW w:w="2150" w:type="dxa"/>
            <w:vAlign w:val="center"/>
          </w:tcPr>
          <w:p w:rsidR="006C6535" w:rsidRDefault="00B26381">
            <w:pPr>
              <w:jc w:val="right"/>
            </w:pPr>
            <w:r>
              <w:rPr>
                <w:color w:val="000000"/>
                <w:sz w:val="24"/>
                <w:szCs w:val="24"/>
              </w:rPr>
              <w:t>49,945,000.00</w:t>
            </w:r>
          </w:p>
        </w:tc>
        <w:tc>
          <w:tcPr>
            <w:tcW w:w="1237" w:type="dxa"/>
            <w:vAlign w:val="center"/>
          </w:tcPr>
          <w:p w:rsidR="006C6535" w:rsidRDefault="00B26381">
            <w:pPr>
              <w:jc w:val="right"/>
            </w:pPr>
            <w:r>
              <w:rPr>
                <w:color w:val="000000"/>
                <w:sz w:val="24"/>
                <w:szCs w:val="24"/>
              </w:rPr>
              <w:t>0.65</w:t>
            </w:r>
          </w:p>
        </w:tc>
      </w:tr>
      <w:tr w:rsidR="006C6535">
        <w:trPr>
          <w:jc w:val="center"/>
        </w:trPr>
        <w:tc>
          <w:tcPr>
            <w:tcW w:w="850" w:type="dxa"/>
            <w:vAlign w:val="center"/>
          </w:tcPr>
          <w:p w:rsidR="006C6535" w:rsidRDefault="00B26381">
            <w:pPr>
              <w:jc w:val="center"/>
            </w:pPr>
            <w:r>
              <w:rPr>
                <w:color w:val="000000"/>
                <w:sz w:val="24"/>
                <w:szCs w:val="24"/>
              </w:rPr>
              <w:t>3</w:t>
            </w:r>
          </w:p>
        </w:tc>
        <w:tc>
          <w:tcPr>
            <w:tcW w:w="1475" w:type="dxa"/>
            <w:vAlign w:val="center"/>
          </w:tcPr>
          <w:p w:rsidR="006C6535" w:rsidRDefault="00B26381">
            <w:pPr>
              <w:jc w:val="center"/>
            </w:pPr>
            <w:r>
              <w:rPr>
                <w:color w:val="000000"/>
                <w:sz w:val="24"/>
                <w:szCs w:val="24"/>
              </w:rPr>
              <w:t>113001</w:t>
            </w:r>
          </w:p>
        </w:tc>
        <w:tc>
          <w:tcPr>
            <w:tcW w:w="1769" w:type="dxa"/>
            <w:vAlign w:val="center"/>
          </w:tcPr>
          <w:p w:rsidR="006C6535" w:rsidRDefault="00B26381">
            <w:pPr>
              <w:jc w:val="center"/>
            </w:pPr>
            <w:r>
              <w:rPr>
                <w:color w:val="000000"/>
                <w:sz w:val="24"/>
                <w:szCs w:val="24"/>
              </w:rPr>
              <w:t>中行转债</w:t>
            </w:r>
          </w:p>
        </w:tc>
        <w:tc>
          <w:tcPr>
            <w:tcW w:w="1387" w:type="dxa"/>
            <w:vAlign w:val="center"/>
          </w:tcPr>
          <w:p w:rsidR="006C6535" w:rsidRDefault="00B26381">
            <w:pPr>
              <w:jc w:val="right"/>
            </w:pPr>
            <w:r>
              <w:rPr>
                <w:color w:val="000000"/>
                <w:sz w:val="24"/>
                <w:szCs w:val="24"/>
              </w:rPr>
              <w:t>18,920</w:t>
            </w:r>
          </w:p>
        </w:tc>
        <w:tc>
          <w:tcPr>
            <w:tcW w:w="2150" w:type="dxa"/>
            <w:vAlign w:val="center"/>
          </w:tcPr>
          <w:p w:rsidR="006C6535" w:rsidRDefault="00B26381">
            <w:pPr>
              <w:jc w:val="right"/>
            </w:pPr>
            <w:r>
              <w:rPr>
                <w:color w:val="000000"/>
                <w:sz w:val="24"/>
                <w:szCs w:val="24"/>
              </w:rPr>
              <w:t>1,852,835.60</w:t>
            </w:r>
          </w:p>
        </w:tc>
        <w:tc>
          <w:tcPr>
            <w:tcW w:w="1237" w:type="dxa"/>
            <w:vAlign w:val="center"/>
          </w:tcPr>
          <w:p w:rsidR="006C6535" w:rsidRDefault="00B26381">
            <w:pPr>
              <w:jc w:val="right"/>
            </w:pPr>
            <w:r>
              <w:rPr>
                <w:color w:val="000000"/>
                <w:sz w:val="24"/>
                <w:szCs w:val="24"/>
              </w:rPr>
              <w:t>0.02</w:t>
            </w:r>
          </w:p>
        </w:tc>
      </w:tr>
      <w:tr w:rsidR="006C6535">
        <w:trPr>
          <w:jc w:val="center"/>
        </w:trPr>
        <w:tc>
          <w:tcPr>
            <w:tcW w:w="850" w:type="dxa"/>
            <w:vAlign w:val="center"/>
          </w:tcPr>
          <w:p w:rsidR="006C6535" w:rsidRDefault="00B26381">
            <w:pPr>
              <w:jc w:val="center"/>
            </w:pPr>
            <w:r>
              <w:rPr>
                <w:color w:val="000000"/>
                <w:sz w:val="24"/>
                <w:szCs w:val="24"/>
              </w:rPr>
              <w:t>4</w:t>
            </w:r>
          </w:p>
        </w:tc>
        <w:tc>
          <w:tcPr>
            <w:tcW w:w="1475" w:type="dxa"/>
            <w:vAlign w:val="center"/>
          </w:tcPr>
          <w:p w:rsidR="006C6535" w:rsidRDefault="00B26381">
            <w:pPr>
              <w:jc w:val="center"/>
            </w:pPr>
            <w:r>
              <w:rPr>
                <w:color w:val="000000"/>
                <w:sz w:val="24"/>
                <w:szCs w:val="24"/>
              </w:rPr>
              <w:t>125887</w:t>
            </w:r>
          </w:p>
        </w:tc>
        <w:tc>
          <w:tcPr>
            <w:tcW w:w="1769" w:type="dxa"/>
            <w:vAlign w:val="center"/>
          </w:tcPr>
          <w:p w:rsidR="006C6535" w:rsidRDefault="00B26381">
            <w:pPr>
              <w:jc w:val="center"/>
            </w:pPr>
            <w:r>
              <w:rPr>
                <w:color w:val="000000"/>
                <w:sz w:val="24"/>
                <w:szCs w:val="24"/>
              </w:rPr>
              <w:t>中鼎转债</w:t>
            </w:r>
          </w:p>
        </w:tc>
        <w:tc>
          <w:tcPr>
            <w:tcW w:w="1387" w:type="dxa"/>
            <w:vAlign w:val="center"/>
          </w:tcPr>
          <w:p w:rsidR="006C6535" w:rsidRDefault="00B26381">
            <w:pPr>
              <w:jc w:val="right"/>
            </w:pPr>
            <w:r>
              <w:rPr>
                <w:color w:val="000000"/>
                <w:sz w:val="24"/>
                <w:szCs w:val="24"/>
              </w:rPr>
              <w:t>12,376</w:t>
            </w:r>
          </w:p>
        </w:tc>
        <w:tc>
          <w:tcPr>
            <w:tcW w:w="2150" w:type="dxa"/>
            <w:vAlign w:val="center"/>
          </w:tcPr>
          <w:p w:rsidR="006C6535" w:rsidRDefault="00B26381">
            <w:pPr>
              <w:jc w:val="right"/>
            </w:pPr>
            <w:r>
              <w:rPr>
                <w:color w:val="000000"/>
                <w:sz w:val="24"/>
                <w:szCs w:val="24"/>
              </w:rPr>
              <w:t>1,465,627.80</w:t>
            </w:r>
          </w:p>
        </w:tc>
        <w:tc>
          <w:tcPr>
            <w:tcW w:w="1237" w:type="dxa"/>
            <w:vAlign w:val="center"/>
          </w:tcPr>
          <w:p w:rsidR="006C6535" w:rsidRDefault="00B26381">
            <w:pPr>
              <w:jc w:val="right"/>
            </w:pPr>
            <w:r>
              <w:rPr>
                <w:color w:val="000000"/>
                <w:sz w:val="24"/>
                <w:szCs w:val="24"/>
              </w:rPr>
              <w:t>0.02</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2,695,556.04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31,397,286.91</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4,667,243.61</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2,592,353.44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41,352,440.00</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C6535">
        <w:trPr>
          <w:jc w:val="center"/>
        </w:trPr>
        <w:tc>
          <w:tcPr>
            <w:tcW w:w="1883" w:type="dxa"/>
            <w:vAlign w:val="center"/>
          </w:tcPr>
          <w:p w:rsidR="006C6535" w:rsidRDefault="00B26381">
            <w:pPr>
              <w:jc w:val="center"/>
            </w:pPr>
            <w:r>
              <w:rPr>
                <w:color w:val="000000"/>
                <w:sz w:val="24"/>
                <w:szCs w:val="24"/>
              </w:rPr>
              <w:lastRenderedPageBreak/>
              <w:t>1</w:t>
            </w:r>
          </w:p>
        </w:tc>
        <w:tc>
          <w:tcPr>
            <w:tcW w:w="1801" w:type="dxa"/>
            <w:vAlign w:val="center"/>
          </w:tcPr>
          <w:p w:rsidR="006C6535" w:rsidRDefault="00B26381">
            <w:pPr>
              <w:jc w:val="center"/>
            </w:pPr>
            <w:r>
              <w:rPr>
                <w:color w:val="000000"/>
                <w:sz w:val="24"/>
                <w:szCs w:val="24"/>
              </w:rPr>
              <w:t>113001</w:t>
            </w:r>
          </w:p>
        </w:tc>
        <w:tc>
          <w:tcPr>
            <w:tcW w:w="1727" w:type="dxa"/>
            <w:vAlign w:val="center"/>
          </w:tcPr>
          <w:p w:rsidR="006C6535" w:rsidRDefault="00B26381">
            <w:pPr>
              <w:jc w:val="center"/>
            </w:pPr>
            <w:r>
              <w:rPr>
                <w:color w:val="000000"/>
                <w:sz w:val="24"/>
                <w:szCs w:val="24"/>
              </w:rPr>
              <w:t>中行转债</w:t>
            </w:r>
          </w:p>
        </w:tc>
        <w:tc>
          <w:tcPr>
            <w:tcW w:w="1768" w:type="dxa"/>
            <w:vAlign w:val="center"/>
          </w:tcPr>
          <w:p w:rsidR="006C6535" w:rsidRDefault="00B26381">
            <w:pPr>
              <w:jc w:val="right"/>
            </w:pPr>
            <w:r>
              <w:rPr>
                <w:color w:val="000000"/>
                <w:sz w:val="24"/>
                <w:szCs w:val="24"/>
              </w:rPr>
              <w:t>1,852,835.60</w:t>
            </w:r>
          </w:p>
        </w:tc>
        <w:tc>
          <w:tcPr>
            <w:tcW w:w="1689" w:type="dxa"/>
            <w:vAlign w:val="center"/>
          </w:tcPr>
          <w:p w:rsidR="006C6535" w:rsidRDefault="00B26381">
            <w:pPr>
              <w:jc w:val="right"/>
            </w:pPr>
            <w:r>
              <w:rPr>
                <w:color w:val="000000"/>
                <w:sz w:val="24"/>
                <w:szCs w:val="24"/>
              </w:rPr>
              <w:t>0.02</w:t>
            </w:r>
          </w:p>
        </w:tc>
      </w:tr>
      <w:tr w:rsidR="006C6535">
        <w:trPr>
          <w:jc w:val="center"/>
        </w:trPr>
        <w:tc>
          <w:tcPr>
            <w:tcW w:w="1883" w:type="dxa"/>
            <w:vAlign w:val="center"/>
          </w:tcPr>
          <w:p w:rsidR="006C6535" w:rsidRDefault="00B26381">
            <w:pPr>
              <w:jc w:val="center"/>
            </w:pPr>
            <w:r>
              <w:rPr>
                <w:color w:val="000000"/>
                <w:sz w:val="24"/>
                <w:szCs w:val="24"/>
              </w:rPr>
              <w:t>2</w:t>
            </w:r>
          </w:p>
        </w:tc>
        <w:tc>
          <w:tcPr>
            <w:tcW w:w="1801" w:type="dxa"/>
            <w:vAlign w:val="center"/>
          </w:tcPr>
          <w:p w:rsidR="006C6535" w:rsidRDefault="00B26381">
            <w:pPr>
              <w:jc w:val="center"/>
            </w:pPr>
            <w:r>
              <w:rPr>
                <w:color w:val="000000"/>
                <w:sz w:val="24"/>
                <w:szCs w:val="24"/>
              </w:rPr>
              <w:t>125887</w:t>
            </w:r>
          </w:p>
        </w:tc>
        <w:tc>
          <w:tcPr>
            <w:tcW w:w="1727" w:type="dxa"/>
            <w:vAlign w:val="center"/>
          </w:tcPr>
          <w:p w:rsidR="006C6535" w:rsidRDefault="00B26381">
            <w:pPr>
              <w:jc w:val="center"/>
            </w:pPr>
            <w:r>
              <w:rPr>
                <w:color w:val="000000"/>
                <w:sz w:val="24"/>
                <w:szCs w:val="24"/>
              </w:rPr>
              <w:t>中鼎转债</w:t>
            </w:r>
          </w:p>
        </w:tc>
        <w:tc>
          <w:tcPr>
            <w:tcW w:w="1768" w:type="dxa"/>
            <w:vAlign w:val="center"/>
          </w:tcPr>
          <w:p w:rsidR="006C6535" w:rsidRDefault="00B26381">
            <w:pPr>
              <w:jc w:val="right"/>
            </w:pPr>
            <w:r>
              <w:rPr>
                <w:color w:val="000000"/>
                <w:sz w:val="24"/>
                <w:szCs w:val="24"/>
              </w:rPr>
              <w:t>1,465,627.80</w:t>
            </w:r>
          </w:p>
        </w:tc>
        <w:tc>
          <w:tcPr>
            <w:tcW w:w="1689" w:type="dxa"/>
            <w:vAlign w:val="center"/>
          </w:tcPr>
          <w:p w:rsidR="006C6535" w:rsidRDefault="00B26381">
            <w:pPr>
              <w:jc w:val="right"/>
            </w:pPr>
            <w:r>
              <w:rPr>
                <w:color w:val="000000"/>
                <w:sz w:val="24"/>
                <w:szCs w:val="24"/>
              </w:rPr>
              <w:t>0.02</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6C6535">
        <w:trPr>
          <w:jc w:val="center"/>
        </w:trPr>
        <w:tc>
          <w:tcPr>
            <w:tcW w:w="1129" w:type="dxa"/>
            <w:vAlign w:val="center"/>
          </w:tcPr>
          <w:p w:rsidR="006C6535" w:rsidRDefault="00B26381">
            <w:pPr>
              <w:jc w:val="center"/>
            </w:pPr>
            <w:r>
              <w:rPr>
                <w:color w:val="000000"/>
                <w:sz w:val="24"/>
                <w:szCs w:val="24"/>
              </w:rPr>
              <w:t>1</w:t>
            </w:r>
          </w:p>
        </w:tc>
        <w:tc>
          <w:tcPr>
            <w:tcW w:w="1356" w:type="dxa"/>
            <w:vAlign w:val="center"/>
          </w:tcPr>
          <w:p w:rsidR="006C6535" w:rsidRDefault="00B26381">
            <w:pPr>
              <w:jc w:val="center"/>
            </w:pPr>
            <w:r>
              <w:rPr>
                <w:color w:val="000000"/>
                <w:sz w:val="24"/>
                <w:szCs w:val="24"/>
              </w:rPr>
              <w:t>002223</w:t>
            </w:r>
          </w:p>
        </w:tc>
        <w:tc>
          <w:tcPr>
            <w:tcW w:w="1355" w:type="dxa"/>
            <w:vAlign w:val="center"/>
          </w:tcPr>
          <w:p w:rsidR="006C6535" w:rsidRDefault="00B26381">
            <w:pPr>
              <w:jc w:val="center"/>
            </w:pPr>
            <w:r>
              <w:rPr>
                <w:color w:val="000000"/>
                <w:sz w:val="24"/>
                <w:szCs w:val="24"/>
              </w:rPr>
              <w:t>鱼跃医疗</w:t>
            </w:r>
          </w:p>
        </w:tc>
        <w:tc>
          <w:tcPr>
            <w:tcW w:w="1880" w:type="dxa"/>
            <w:vAlign w:val="center"/>
          </w:tcPr>
          <w:p w:rsidR="006C6535" w:rsidRDefault="00B26381">
            <w:pPr>
              <w:jc w:val="right"/>
            </w:pPr>
            <w:r>
              <w:rPr>
                <w:color w:val="000000"/>
                <w:sz w:val="24"/>
                <w:szCs w:val="24"/>
              </w:rPr>
              <w:t>280,700,000.00</w:t>
            </w:r>
          </w:p>
        </w:tc>
        <w:tc>
          <w:tcPr>
            <w:tcW w:w="1724" w:type="dxa"/>
            <w:vAlign w:val="center"/>
          </w:tcPr>
          <w:p w:rsidR="006C6535" w:rsidRDefault="00B26381">
            <w:pPr>
              <w:jc w:val="right"/>
            </w:pPr>
            <w:r>
              <w:rPr>
                <w:color w:val="000000"/>
                <w:sz w:val="24"/>
                <w:szCs w:val="24"/>
              </w:rPr>
              <w:t>3.64</w:t>
            </w:r>
          </w:p>
        </w:tc>
        <w:tc>
          <w:tcPr>
            <w:tcW w:w="1424" w:type="dxa"/>
            <w:vAlign w:val="center"/>
          </w:tcPr>
          <w:p w:rsidR="006C6535" w:rsidRDefault="00B26381">
            <w:pPr>
              <w:jc w:val="right"/>
            </w:pPr>
            <w:r>
              <w:rPr>
                <w:color w:val="000000"/>
                <w:sz w:val="24"/>
                <w:szCs w:val="24"/>
              </w:rPr>
              <w:t>重大事项</w:t>
            </w:r>
          </w:p>
        </w:tc>
      </w:tr>
      <w:tr w:rsidR="006C6535">
        <w:trPr>
          <w:jc w:val="center"/>
        </w:trPr>
        <w:tc>
          <w:tcPr>
            <w:tcW w:w="1129" w:type="dxa"/>
            <w:vAlign w:val="center"/>
          </w:tcPr>
          <w:p w:rsidR="006C6535" w:rsidRDefault="00B26381">
            <w:pPr>
              <w:jc w:val="center"/>
            </w:pPr>
            <w:r>
              <w:rPr>
                <w:color w:val="000000"/>
                <w:sz w:val="24"/>
                <w:szCs w:val="24"/>
              </w:rPr>
              <w:t>2</w:t>
            </w:r>
          </w:p>
        </w:tc>
        <w:tc>
          <w:tcPr>
            <w:tcW w:w="1356" w:type="dxa"/>
            <w:vAlign w:val="center"/>
          </w:tcPr>
          <w:p w:rsidR="006C6535" w:rsidRDefault="00B26381">
            <w:pPr>
              <w:jc w:val="center"/>
            </w:pPr>
            <w:r>
              <w:rPr>
                <w:color w:val="000000"/>
                <w:sz w:val="24"/>
                <w:szCs w:val="24"/>
              </w:rPr>
              <w:t>000661</w:t>
            </w:r>
          </w:p>
        </w:tc>
        <w:tc>
          <w:tcPr>
            <w:tcW w:w="1355" w:type="dxa"/>
            <w:vAlign w:val="center"/>
          </w:tcPr>
          <w:p w:rsidR="006C6535" w:rsidRDefault="00B26381">
            <w:pPr>
              <w:jc w:val="center"/>
            </w:pPr>
            <w:r>
              <w:rPr>
                <w:color w:val="000000"/>
                <w:sz w:val="24"/>
                <w:szCs w:val="24"/>
              </w:rPr>
              <w:t>长春高新</w:t>
            </w:r>
          </w:p>
        </w:tc>
        <w:tc>
          <w:tcPr>
            <w:tcW w:w="1880" w:type="dxa"/>
            <w:vAlign w:val="center"/>
          </w:tcPr>
          <w:p w:rsidR="006C6535" w:rsidRDefault="00B26381">
            <w:pPr>
              <w:jc w:val="right"/>
            </w:pPr>
            <w:r>
              <w:rPr>
                <w:color w:val="000000"/>
                <w:sz w:val="24"/>
                <w:szCs w:val="24"/>
              </w:rPr>
              <w:t>241,710,592.50</w:t>
            </w:r>
          </w:p>
        </w:tc>
        <w:tc>
          <w:tcPr>
            <w:tcW w:w="1724" w:type="dxa"/>
            <w:vAlign w:val="center"/>
          </w:tcPr>
          <w:p w:rsidR="006C6535" w:rsidRDefault="00B26381">
            <w:pPr>
              <w:jc w:val="right"/>
            </w:pPr>
            <w:r>
              <w:rPr>
                <w:color w:val="000000"/>
                <w:sz w:val="24"/>
                <w:szCs w:val="24"/>
              </w:rPr>
              <w:t>3.14</w:t>
            </w:r>
          </w:p>
        </w:tc>
        <w:tc>
          <w:tcPr>
            <w:tcW w:w="1424" w:type="dxa"/>
            <w:vAlign w:val="center"/>
          </w:tcPr>
          <w:p w:rsidR="006C6535" w:rsidRDefault="00B26381">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3,266,566,829.93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139,588,062.36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634,578,852.60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2,771,576,039.69</w:t>
            </w:r>
          </w:p>
        </w:tc>
      </w:tr>
    </w:tbl>
    <w:p w:rsidR="006C6535" w:rsidRDefault="00B2638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613395">
      <w:pPr>
        <w:pStyle w:val="1"/>
        <w:tabs>
          <w:tab w:val="center" w:pos="4156"/>
          <w:tab w:val="right" w:pos="8312"/>
        </w:tabs>
        <w:spacing w:beforeLines="100" w:afterLines="100"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tblPr>
      <w:tblGrid>
        <w:gridCol w:w="5733"/>
        <w:gridCol w:w="3135"/>
      </w:tblGrid>
      <w:tr w:rsidR="00ED2620" w:rsidRPr="00ED2620" w:rsidTr="00B26381">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7,897,493.58</w:t>
            </w:r>
          </w:p>
        </w:tc>
      </w:tr>
      <w:tr w:rsidR="00ED2620" w:rsidRPr="00ED2620" w:rsidTr="00B26381">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416,754.28</w:t>
            </w:r>
          </w:p>
        </w:tc>
      </w:tr>
      <w:tr w:rsidR="00ED2620" w:rsidRPr="00ED2620" w:rsidTr="00B26381">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8,314,247.86</w:t>
            </w:r>
          </w:p>
        </w:tc>
      </w:tr>
      <w:tr w:rsidR="00ED2620" w:rsidRPr="00ED2620" w:rsidTr="00B26381">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w:t>
            </w:r>
          </w:p>
        </w:tc>
      </w:tr>
      <w:tr w:rsidR="00ED2620" w:rsidRPr="00ED2620" w:rsidTr="00B26381">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bl>
    <w:p w:rsidR="006C6535" w:rsidRDefault="00B2638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410630" w:rsidRPr="00410630" w:rsidRDefault="00410630" w:rsidP="00410630">
      <w:pPr>
        <w:autoSpaceDE w:val="0"/>
        <w:autoSpaceDN w:val="0"/>
        <w:adjustRightInd w:val="0"/>
        <w:spacing w:before="29" w:line="288" w:lineRule="auto"/>
        <w:jc w:val="right"/>
        <w:rPr>
          <w:rFonts w:eastAsiaTheme="minorEastAsia"/>
          <w:b/>
          <w:color w:val="000000"/>
          <w:sz w:val="24"/>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1032"/>
        <w:gridCol w:w="1583"/>
        <w:gridCol w:w="1510"/>
        <w:gridCol w:w="1633"/>
        <w:gridCol w:w="1767"/>
        <w:gridCol w:w="1343"/>
      </w:tblGrid>
      <w:tr w:rsidR="00320300" w:rsidRPr="00414345" w:rsidTr="00B26381">
        <w:trPr>
          <w:trHeight w:val="340"/>
          <w:jc w:val="center"/>
        </w:trPr>
        <w:tc>
          <w:tcPr>
            <w:tcW w:w="1032" w:type="dxa"/>
            <w:vAlign w:val="center"/>
          </w:tcPr>
          <w:p w:rsidR="00320300" w:rsidRPr="00414345" w:rsidRDefault="00320300" w:rsidP="00DA14B0">
            <w:pPr>
              <w:pStyle w:val="ad"/>
              <w:adjustRightInd w:val="0"/>
              <w:snapToGrid w:val="0"/>
              <w:spacing w:before="29" w:line="288" w:lineRule="auto"/>
              <w:jc w:val="center"/>
              <w:rPr>
                <w:color w:val="000000"/>
                <w:kern w:val="0"/>
              </w:rPr>
            </w:pPr>
            <w:r w:rsidRPr="00414345">
              <w:rPr>
                <w:color w:val="000000"/>
                <w:kern w:val="0"/>
              </w:rPr>
              <w:t>序号</w:t>
            </w:r>
          </w:p>
        </w:tc>
        <w:tc>
          <w:tcPr>
            <w:tcW w:w="158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交易方式</w:t>
            </w:r>
          </w:p>
        </w:tc>
        <w:tc>
          <w:tcPr>
            <w:tcW w:w="1510" w:type="dxa"/>
            <w:vAlign w:val="center"/>
          </w:tcPr>
          <w:p w:rsidR="00320300" w:rsidRPr="00414345" w:rsidRDefault="00320300" w:rsidP="00DA14B0">
            <w:pPr>
              <w:adjustRightInd w:val="0"/>
              <w:snapToGrid w:val="0"/>
              <w:spacing w:before="29" w:line="288" w:lineRule="auto"/>
              <w:rPr>
                <w:color w:val="000000"/>
                <w:kern w:val="0"/>
                <w:sz w:val="24"/>
              </w:rPr>
            </w:pPr>
            <w:r w:rsidRPr="00414345">
              <w:rPr>
                <w:color w:val="000000"/>
                <w:kern w:val="0"/>
                <w:sz w:val="24"/>
              </w:rPr>
              <w:t>交易日期</w:t>
            </w:r>
          </w:p>
        </w:tc>
        <w:tc>
          <w:tcPr>
            <w:tcW w:w="163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适用费率</w:t>
            </w:r>
          </w:p>
        </w:tc>
      </w:tr>
      <w:tr w:rsidR="006C6535" w:rsidTr="00B26381">
        <w:trPr>
          <w:jc w:val="center"/>
        </w:trPr>
        <w:tc>
          <w:tcPr>
            <w:tcW w:w="1032" w:type="dxa"/>
            <w:vAlign w:val="center"/>
          </w:tcPr>
          <w:p w:rsidR="006C6535" w:rsidRDefault="00B26381">
            <w:pPr>
              <w:jc w:val="center"/>
            </w:pPr>
            <w:r>
              <w:rPr>
                <w:color w:val="000000"/>
                <w:sz w:val="24"/>
              </w:rPr>
              <w:t>1</w:t>
            </w:r>
          </w:p>
        </w:tc>
        <w:tc>
          <w:tcPr>
            <w:tcW w:w="1583" w:type="dxa"/>
            <w:vAlign w:val="center"/>
          </w:tcPr>
          <w:p w:rsidR="006C6535" w:rsidRDefault="00B26381">
            <w:pPr>
              <w:jc w:val="center"/>
            </w:pPr>
            <w:r>
              <w:rPr>
                <w:color w:val="000000"/>
                <w:sz w:val="24"/>
              </w:rPr>
              <w:t>红利再投</w:t>
            </w:r>
          </w:p>
        </w:tc>
        <w:tc>
          <w:tcPr>
            <w:tcW w:w="1510" w:type="dxa"/>
            <w:vAlign w:val="center"/>
          </w:tcPr>
          <w:p w:rsidR="006C6535" w:rsidRDefault="00B26381">
            <w:pPr>
              <w:jc w:val="center"/>
            </w:pPr>
            <w:r>
              <w:rPr>
                <w:color w:val="000000"/>
                <w:sz w:val="24"/>
              </w:rPr>
              <w:t>2014-01-10</w:t>
            </w:r>
          </w:p>
        </w:tc>
        <w:tc>
          <w:tcPr>
            <w:tcW w:w="1633" w:type="dxa"/>
            <w:vAlign w:val="center"/>
          </w:tcPr>
          <w:p w:rsidR="006C6535" w:rsidRDefault="00B26381">
            <w:pPr>
              <w:jc w:val="right"/>
            </w:pPr>
            <w:r>
              <w:rPr>
                <w:color w:val="000000"/>
                <w:sz w:val="24"/>
              </w:rPr>
              <w:t>416,754.28</w:t>
            </w:r>
          </w:p>
        </w:tc>
        <w:tc>
          <w:tcPr>
            <w:tcW w:w="1767" w:type="dxa"/>
            <w:vAlign w:val="center"/>
          </w:tcPr>
          <w:p w:rsidR="006C6535" w:rsidRDefault="00B26381">
            <w:pPr>
              <w:jc w:val="right"/>
            </w:pPr>
            <w:r>
              <w:rPr>
                <w:color w:val="000000"/>
                <w:sz w:val="24"/>
              </w:rPr>
              <w:t>1,263,598.97</w:t>
            </w:r>
          </w:p>
        </w:tc>
        <w:tc>
          <w:tcPr>
            <w:tcW w:w="1343" w:type="dxa"/>
            <w:vAlign w:val="center"/>
          </w:tcPr>
          <w:p w:rsidR="006C6535" w:rsidRDefault="00B26381">
            <w:pPr>
              <w:jc w:val="center"/>
            </w:pPr>
            <w:r>
              <w:rPr>
                <w:color w:val="000000"/>
                <w:sz w:val="24"/>
              </w:rPr>
              <w:t>0%</w:t>
            </w:r>
          </w:p>
        </w:tc>
      </w:tr>
      <w:tr w:rsidR="006C6535" w:rsidTr="00B26381">
        <w:trPr>
          <w:jc w:val="center"/>
        </w:trPr>
        <w:tc>
          <w:tcPr>
            <w:tcW w:w="1032" w:type="dxa"/>
            <w:vAlign w:val="center"/>
          </w:tcPr>
          <w:p w:rsidR="006C6535" w:rsidRDefault="00B26381">
            <w:pPr>
              <w:jc w:val="center"/>
            </w:pPr>
            <w:r>
              <w:rPr>
                <w:color w:val="000000"/>
                <w:sz w:val="24"/>
              </w:rPr>
              <w:t>2</w:t>
            </w:r>
          </w:p>
        </w:tc>
        <w:tc>
          <w:tcPr>
            <w:tcW w:w="1583" w:type="dxa"/>
            <w:vAlign w:val="center"/>
          </w:tcPr>
          <w:p w:rsidR="006C6535" w:rsidRDefault="00B26381">
            <w:pPr>
              <w:jc w:val="center"/>
            </w:pPr>
            <w:r>
              <w:rPr>
                <w:color w:val="000000"/>
                <w:sz w:val="24"/>
              </w:rPr>
              <w:t>赎回</w:t>
            </w:r>
          </w:p>
        </w:tc>
        <w:tc>
          <w:tcPr>
            <w:tcW w:w="1510" w:type="dxa"/>
            <w:vAlign w:val="center"/>
          </w:tcPr>
          <w:p w:rsidR="006C6535" w:rsidRDefault="00B26381">
            <w:pPr>
              <w:jc w:val="center"/>
            </w:pPr>
            <w:r>
              <w:rPr>
                <w:color w:val="000000"/>
                <w:sz w:val="24"/>
              </w:rPr>
              <w:t>2014-03-19</w:t>
            </w:r>
          </w:p>
        </w:tc>
        <w:tc>
          <w:tcPr>
            <w:tcW w:w="1633" w:type="dxa"/>
            <w:vAlign w:val="center"/>
          </w:tcPr>
          <w:p w:rsidR="006C6535" w:rsidRDefault="00B26381">
            <w:pPr>
              <w:jc w:val="right"/>
            </w:pPr>
            <w:r>
              <w:rPr>
                <w:color w:val="000000"/>
                <w:sz w:val="24"/>
              </w:rPr>
              <w:t>-8,314,247.86</w:t>
            </w:r>
          </w:p>
        </w:tc>
        <w:tc>
          <w:tcPr>
            <w:tcW w:w="1767" w:type="dxa"/>
            <w:vAlign w:val="center"/>
          </w:tcPr>
          <w:p w:rsidR="006C6535" w:rsidRDefault="00B26381">
            <w:pPr>
              <w:jc w:val="right"/>
            </w:pPr>
            <w:r>
              <w:rPr>
                <w:color w:val="000000"/>
                <w:sz w:val="24"/>
              </w:rPr>
              <w:t>-24,582,394.07</w:t>
            </w:r>
          </w:p>
        </w:tc>
        <w:tc>
          <w:tcPr>
            <w:tcW w:w="1343" w:type="dxa"/>
            <w:vAlign w:val="center"/>
          </w:tcPr>
          <w:p w:rsidR="006C6535" w:rsidRDefault="00B26381" w:rsidP="00B26381">
            <w:pPr>
              <w:jc w:val="center"/>
            </w:pPr>
            <w:r>
              <w:rPr>
                <w:color w:val="000000"/>
                <w:sz w:val="24"/>
              </w:rPr>
              <w:t>0%</w:t>
            </w:r>
          </w:p>
        </w:tc>
      </w:tr>
      <w:tr w:rsidR="00320300" w:rsidRPr="00414345" w:rsidTr="00B26381">
        <w:trPr>
          <w:trHeight w:val="340"/>
          <w:jc w:val="center"/>
        </w:trPr>
        <w:tc>
          <w:tcPr>
            <w:tcW w:w="1032" w:type="dxa"/>
            <w:vAlign w:val="center"/>
          </w:tcPr>
          <w:p w:rsidR="00320300" w:rsidRPr="00414345" w:rsidRDefault="00320300" w:rsidP="00DA14B0">
            <w:pPr>
              <w:pStyle w:val="ad"/>
              <w:adjustRightInd w:val="0"/>
              <w:snapToGrid w:val="0"/>
              <w:spacing w:before="29" w:line="288" w:lineRule="auto"/>
              <w:jc w:val="center"/>
              <w:rPr>
                <w:color w:val="000000"/>
                <w:kern w:val="0"/>
              </w:rPr>
            </w:pPr>
            <w:r w:rsidRPr="00414345">
              <w:rPr>
                <w:color w:val="000000"/>
                <w:kern w:val="0"/>
              </w:rPr>
              <w:t>合计</w:t>
            </w:r>
          </w:p>
        </w:tc>
        <w:tc>
          <w:tcPr>
            <w:tcW w:w="1583" w:type="dxa"/>
            <w:vAlign w:val="center"/>
          </w:tcPr>
          <w:p w:rsidR="00320300" w:rsidRPr="00414345" w:rsidRDefault="00320300" w:rsidP="00DA14B0">
            <w:pPr>
              <w:adjustRightInd w:val="0"/>
              <w:snapToGrid w:val="0"/>
              <w:spacing w:before="29" w:line="288" w:lineRule="auto"/>
              <w:jc w:val="right"/>
              <w:rPr>
                <w:color w:val="0000FF"/>
                <w:kern w:val="0"/>
                <w:sz w:val="18"/>
              </w:rPr>
            </w:pPr>
          </w:p>
        </w:tc>
        <w:tc>
          <w:tcPr>
            <w:tcW w:w="1510" w:type="dxa"/>
            <w:vAlign w:val="center"/>
          </w:tcPr>
          <w:p w:rsidR="00320300" w:rsidRPr="00414345" w:rsidRDefault="00320300" w:rsidP="00DA14B0">
            <w:pPr>
              <w:adjustRightInd w:val="0"/>
              <w:snapToGrid w:val="0"/>
              <w:spacing w:before="29" w:line="288" w:lineRule="auto"/>
              <w:jc w:val="right"/>
              <w:rPr>
                <w:color w:val="0000FF"/>
                <w:kern w:val="0"/>
                <w:sz w:val="18"/>
              </w:rPr>
            </w:pPr>
          </w:p>
        </w:tc>
        <w:tc>
          <w:tcPr>
            <w:tcW w:w="1633" w:type="dxa"/>
            <w:vAlign w:val="center"/>
          </w:tcPr>
          <w:p w:rsidR="00320300" w:rsidRPr="00414345" w:rsidRDefault="00320300" w:rsidP="00DA14B0">
            <w:pPr>
              <w:adjustRightInd w:val="0"/>
              <w:snapToGrid w:val="0"/>
              <w:spacing w:before="29" w:line="288" w:lineRule="auto"/>
              <w:jc w:val="right"/>
              <w:rPr>
                <w:color w:val="000000"/>
                <w:sz w:val="24"/>
              </w:rPr>
            </w:pPr>
            <w:r w:rsidRPr="00414345">
              <w:rPr>
                <w:color w:val="000000"/>
                <w:sz w:val="24"/>
              </w:rPr>
              <w:t>-7,897,493.58</w:t>
            </w:r>
          </w:p>
        </w:tc>
        <w:tc>
          <w:tcPr>
            <w:tcW w:w="1767" w:type="dxa"/>
            <w:vAlign w:val="center"/>
          </w:tcPr>
          <w:p w:rsidR="00320300" w:rsidRPr="00414345" w:rsidRDefault="00320300" w:rsidP="00DA14B0">
            <w:pPr>
              <w:adjustRightInd w:val="0"/>
              <w:snapToGrid w:val="0"/>
              <w:spacing w:before="29" w:line="288" w:lineRule="auto"/>
              <w:jc w:val="right"/>
              <w:rPr>
                <w:color w:val="000000"/>
                <w:sz w:val="24"/>
              </w:rPr>
            </w:pPr>
            <w:r w:rsidRPr="00414345">
              <w:rPr>
                <w:color w:val="000000"/>
                <w:sz w:val="24"/>
              </w:rPr>
              <w:t>-23,318,795.09</w:t>
            </w:r>
          </w:p>
        </w:tc>
        <w:tc>
          <w:tcPr>
            <w:tcW w:w="1343" w:type="dxa"/>
            <w:vAlign w:val="center"/>
          </w:tcPr>
          <w:p w:rsidR="00320300" w:rsidRPr="00414345" w:rsidRDefault="00320300" w:rsidP="00DA14B0">
            <w:pPr>
              <w:adjustRightInd w:val="0"/>
              <w:snapToGrid w:val="0"/>
              <w:spacing w:before="29" w:line="288" w:lineRule="auto"/>
              <w:jc w:val="right"/>
              <w:rPr>
                <w:color w:val="0000FF"/>
                <w:kern w:val="0"/>
                <w:sz w:val="18"/>
              </w:rPr>
            </w:pPr>
          </w:p>
        </w:tc>
      </w:tr>
    </w:tbl>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613395">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w:t>
      </w:r>
    </w:p>
    <w:p w:rsidR="00ED6E80" w:rsidRPr="00414345" w:rsidRDefault="00ED6E80" w:rsidP="00DA14B0">
      <w:pPr>
        <w:spacing w:before="29" w:line="288" w:lineRule="auto"/>
        <w:ind w:firstLineChars="200" w:firstLine="480"/>
        <w:rPr>
          <w:color w:val="000000"/>
          <w:sz w:val="24"/>
          <w:szCs w:val="24"/>
        </w:rPr>
      </w:pPr>
    </w:p>
    <w:p w:rsidR="004061AC" w:rsidRPr="00414345" w:rsidRDefault="004061AC" w:rsidP="00613395">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C6535" w:rsidRDefault="00B2638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、中国证监会批准交银施罗德成长股票证券投资基金募集的文件；</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、《交银施罗德成长股票证券投资基金基金合同》；</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、《交银施罗德成长股票证券投资基金招募说明书》；</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、《交银施罗德成长股票证券投资基金托管协议》；</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、关于募集交银施罗德成长股票证券投资基金之法律意见书；</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C6535" w:rsidRDefault="00B2638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、报告期内交银施罗德成长股票证券投资基金在指定报刊上各项公告的原稿。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C6535" w:rsidRDefault="00B2638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4AB" w:rsidRDefault="00BB24AB" w:rsidP="00876D65">
      <w:r>
        <w:separator/>
      </w:r>
    </w:p>
  </w:endnote>
  <w:endnote w:type="continuationSeparator" w:id="1">
    <w:p w:rsidR="00BB24AB" w:rsidRDefault="00BB24AB"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0E7CC5">
      <w:rPr>
        <w:kern w:val="0"/>
        <w:szCs w:val="21"/>
      </w:rPr>
      <w:fldChar w:fldCharType="begin"/>
    </w:r>
    <w:r>
      <w:rPr>
        <w:kern w:val="0"/>
        <w:szCs w:val="21"/>
      </w:rPr>
      <w:instrText xml:space="preserve"> PAGE </w:instrText>
    </w:r>
    <w:r w:rsidR="000E7CC5">
      <w:rPr>
        <w:kern w:val="0"/>
        <w:szCs w:val="21"/>
      </w:rPr>
      <w:fldChar w:fldCharType="separate"/>
    </w:r>
    <w:r w:rsidR="00613395">
      <w:rPr>
        <w:noProof/>
        <w:kern w:val="0"/>
        <w:szCs w:val="21"/>
      </w:rPr>
      <w:t>1</w:t>
    </w:r>
    <w:r w:rsidR="000E7CC5">
      <w:rPr>
        <w:kern w:val="0"/>
        <w:szCs w:val="21"/>
      </w:rPr>
      <w:fldChar w:fldCharType="end"/>
    </w:r>
    <w:r>
      <w:rPr>
        <w:rFonts w:hint="eastAsia"/>
        <w:kern w:val="0"/>
        <w:szCs w:val="21"/>
      </w:rPr>
      <w:t>页共</w:t>
    </w:r>
    <w:r w:rsidR="000E7CC5">
      <w:rPr>
        <w:kern w:val="0"/>
        <w:szCs w:val="21"/>
      </w:rPr>
      <w:fldChar w:fldCharType="begin"/>
    </w:r>
    <w:r>
      <w:rPr>
        <w:kern w:val="0"/>
        <w:szCs w:val="21"/>
      </w:rPr>
      <w:instrText xml:space="preserve"> NUMPAGES </w:instrText>
    </w:r>
    <w:r w:rsidR="000E7CC5">
      <w:rPr>
        <w:kern w:val="0"/>
        <w:szCs w:val="21"/>
      </w:rPr>
      <w:fldChar w:fldCharType="separate"/>
    </w:r>
    <w:r w:rsidR="00613395">
      <w:rPr>
        <w:noProof/>
        <w:kern w:val="0"/>
        <w:szCs w:val="21"/>
      </w:rPr>
      <w:t>12</w:t>
    </w:r>
    <w:r w:rsidR="000E7CC5">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4AB" w:rsidRDefault="00BB24AB" w:rsidP="00876D65">
      <w:r>
        <w:separator/>
      </w:r>
    </w:p>
  </w:footnote>
  <w:footnote w:type="continuationSeparator" w:id="1">
    <w:p w:rsidR="00BB24AB" w:rsidRDefault="00BB24AB"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AD" w15:userId="S-1-5-21-3611496191-2553899486-1547728003-3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CC5"/>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395"/>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2395"/>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6535"/>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1ACE"/>
    <w:rsid w:val="00AC592E"/>
    <w:rsid w:val="00AC6C10"/>
    <w:rsid w:val="00AC7BC6"/>
    <w:rsid w:val="00AD24AA"/>
    <w:rsid w:val="00AE7962"/>
    <w:rsid w:val="00B11BE5"/>
    <w:rsid w:val="00B12B7D"/>
    <w:rsid w:val="00B16985"/>
    <w:rsid w:val="00B22DEE"/>
    <w:rsid w:val="00B26381"/>
    <w:rsid w:val="00B27479"/>
    <w:rsid w:val="00B32AA7"/>
    <w:rsid w:val="00B34678"/>
    <w:rsid w:val="00B35024"/>
    <w:rsid w:val="00B36C98"/>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24AB"/>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33AE2"/>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47CBA"/>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4B0F-343B-4D60-AC80-9FF551AE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王晚婷</dc:creator>
  <cp:lastModifiedBy>王晚婷</cp:lastModifiedBy>
  <cp:revision>2</cp:revision>
  <dcterms:created xsi:type="dcterms:W3CDTF">2014-04-17T22:38:00Z</dcterms:created>
  <dcterms:modified xsi:type="dcterms:W3CDTF">2014-04-17T22:38:00Z</dcterms:modified>
</cp:coreProperties>
</file>