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交银施罗德精选股票证券投资基金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基金托管人：中国农业银行股份有限公司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A065B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043ED" w:rsidRDefault="00A065B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A065B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交银精选股票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bookmarkStart w:id="0" w:name="_GoBack"/>
            <w:r w:rsidRPr="00414345">
              <w:rPr>
                <w:color w:val="000000"/>
                <w:kern w:val="0"/>
                <w:sz w:val="24"/>
                <w:szCs w:val="24"/>
              </w:rPr>
              <w:t>6,272,169,515.28</w:t>
            </w:r>
            <w:bookmarkEnd w:id="0"/>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本基金是一只稳健型的股票基金，属于股票型基金中的中等风险品种，本基金的预期收益和风险都要高于混合型基金。本基金力争在严格控制风险的前提下谋求实现基金资产长期稳定增长。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A065B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065B1" w:rsidRPr="00414345" w:rsidTr="00A065B1">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065B1" w:rsidRPr="00414345" w:rsidTr="00A065B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-55,828,806.12</w:t>
            </w:r>
          </w:p>
        </w:tc>
      </w:tr>
      <w:tr w:rsidR="00A065B1" w:rsidRPr="00414345" w:rsidTr="00A065B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-532,219,966.00</w:t>
            </w:r>
          </w:p>
        </w:tc>
      </w:tr>
      <w:tr w:rsidR="00A065B1" w:rsidRPr="00414345" w:rsidTr="00A065B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-0.0808</w:t>
            </w:r>
          </w:p>
        </w:tc>
      </w:tr>
      <w:tr w:rsidR="00A065B1" w:rsidRPr="00414345" w:rsidTr="00A065B1">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4,100,314,778.39</w:t>
            </w:r>
          </w:p>
        </w:tc>
      </w:tr>
      <w:tr w:rsidR="00A065B1" w:rsidRPr="00414345" w:rsidTr="00A065B1">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0.6537</w:t>
            </w:r>
          </w:p>
        </w:tc>
      </w:tr>
    </w:tbl>
    <w:p w:rsidR="005043ED" w:rsidRDefault="00A065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043ED">
        <w:trPr>
          <w:jc w:val="center"/>
        </w:trPr>
        <w:tc>
          <w:tcPr>
            <w:tcW w:w="1701" w:type="dxa"/>
            <w:vAlign w:val="center"/>
          </w:tcPr>
          <w:p w:rsidR="005043ED" w:rsidRDefault="00A065B1">
            <w:pPr>
              <w:jc w:val="left"/>
            </w:pPr>
            <w:r>
              <w:rPr>
                <w:color w:val="000000"/>
                <w:sz w:val="24"/>
                <w:szCs w:val="24"/>
              </w:rPr>
              <w:t>过去三个月</w:t>
            </w:r>
          </w:p>
        </w:tc>
        <w:tc>
          <w:tcPr>
            <w:tcW w:w="1045" w:type="dxa"/>
            <w:vAlign w:val="center"/>
          </w:tcPr>
          <w:p w:rsidR="005043ED" w:rsidRDefault="00A065B1">
            <w:pPr>
              <w:jc w:val="center"/>
            </w:pPr>
            <w:r>
              <w:rPr>
                <w:color w:val="000000"/>
                <w:sz w:val="24"/>
                <w:szCs w:val="24"/>
              </w:rPr>
              <w:t>-11.36%</w:t>
            </w:r>
          </w:p>
        </w:tc>
        <w:tc>
          <w:tcPr>
            <w:tcW w:w="1344" w:type="dxa"/>
            <w:vAlign w:val="center"/>
          </w:tcPr>
          <w:p w:rsidR="005043ED" w:rsidRDefault="00A065B1">
            <w:pPr>
              <w:jc w:val="center"/>
            </w:pPr>
            <w:r>
              <w:rPr>
                <w:color w:val="000000"/>
                <w:sz w:val="24"/>
                <w:szCs w:val="24"/>
              </w:rPr>
              <w:t>1.32%</w:t>
            </w:r>
          </w:p>
        </w:tc>
        <w:tc>
          <w:tcPr>
            <w:tcW w:w="1194" w:type="dxa"/>
            <w:vAlign w:val="center"/>
          </w:tcPr>
          <w:p w:rsidR="005043ED" w:rsidRDefault="00A065B1">
            <w:pPr>
              <w:jc w:val="center"/>
            </w:pPr>
            <w:r>
              <w:rPr>
                <w:color w:val="000000"/>
                <w:sz w:val="24"/>
                <w:szCs w:val="24"/>
              </w:rPr>
              <w:t>-5.57%</w:t>
            </w:r>
          </w:p>
        </w:tc>
        <w:tc>
          <w:tcPr>
            <w:tcW w:w="1492" w:type="dxa"/>
            <w:vAlign w:val="center"/>
          </w:tcPr>
          <w:p w:rsidR="005043ED" w:rsidRDefault="00A065B1">
            <w:pPr>
              <w:jc w:val="center"/>
            </w:pPr>
            <w:r>
              <w:rPr>
                <w:color w:val="000000"/>
                <w:sz w:val="24"/>
                <w:szCs w:val="24"/>
              </w:rPr>
              <w:t>0.90%</w:t>
            </w:r>
          </w:p>
        </w:tc>
        <w:tc>
          <w:tcPr>
            <w:tcW w:w="1194" w:type="dxa"/>
            <w:vAlign w:val="center"/>
          </w:tcPr>
          <w:p w:rsidR="005043ED" w:rsidRDefault="00A065B1">
            <w:pPr>
              <w:jc w:val="center"/>
            </w:pPr>
            <w:r>
              <w:rPr>
                <w:color w:val="000000"/>
                <w:sz w:val="24"/>
                <w:szCs w:val="24"/>
              </w:rPr>
              <w:t>-5.79%</w:t>
            </w:r>
          </w:p>
        </w:tc>
        <w:tc>
          <w:tcPr>
            <w:tcW w:w="898" w:type="dxa"/>
            <w:vAlign w:val="center"/>
          </w:tcPr>
          <w:p w:rsidR="005043ED" w:rsidRDefault="00A065B1">
            <w:pPr>
              <w:jc w:val="center"/>
            </w:pPr>
            <w:r>
              <w:rPr>
                <w:color w:val="000000"/>
                <w:sz w:val="24"/>
                <w:szCs w:val="24"/>
              </w:rPr>
              <w:t>0.42%</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交银施罗德精选股票证券投资基金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A065B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5043ED">
        <w:trPr>
          <w:jc w:val="center"/>
        </w:trPr>
        <w:tc>
          <w:tcPr>
            <w:tcW w:w="846" w:type="dxa"/>
            <w:vAlign w:val="center"/>
          </w:tcPr>
          <w:p w:rsidR="005043ED" w:rsidRDefault="00A065B1">
            <w:pPr>
              <w:jc w:val="center"/>
            </w:pPr>
            <w:r>
              <w:rPr>
                <w:color w:val="000000"/>
                <w:sz w:val="24"/>
                <w:szCs w:val="24"/>
              </w:rPr>
              <w:t>张鸿羽</w:t>
            </w:r>
          </w:p>
        </w:tc>
        <w:tc>
          <w:tcPr>
            <w:tcW w:w="845" w:type="dxa"/>
            <w:vAlign w:val="center"/>
          </w:tcPr>
          <w:p w:rsidR="005043ED" w:rsidRDefault="00A065B1">
            <w:pPr>
              <w:jc w:val="center"/>
            </w:pPr>
            <w:r>
              <w:rPr>
                <w:color w:val="000000"/>
                <w:sz w:val="24"/>
                <w:szCs w:val="24"/>
              </w:rPr>
              <w:t>本基金的基金经理</w:t>
            </w:r>
          </w:p>
        </w:tc>
        <w:tc>
          <w:tcPr>
            <w:tcW w:w="1549" w:type="dxa"/>
            <w:vAlign w:val="center"/>
          </w:tcPr>
          <w:p w:rsidR="005043ED" w:rsidRDefault="00A065B1">
            <w:pPr>
              <w:jc w:val="center"/>
            </w:pPr>
            <w:r>
              <w:rPr>
                <w:color w:val="000000"/>
                <w:sz w:val="24"/>
                <w:szCs w:val="24"/>
              </w:rPr>
              <w:t>2012-04-20</w:t>
            </w:r>
          </w:p>
        </w:tc>
        <w:tc>
          <w:tcPr>
            <w:tcW w:w="1548" w:type="dxa"/>
            <w:vAlign w:val="center"/>
          </w:tcPr>
          <w:p w:rsidR="005043ED" w:rsidRDefault="00A065B1">
            <w:pPr>
              <w:jc w:val="center"/>
            </w:pPr>
            <w:r>
              <w:rPr>
                <w:color w:val="000000"/>
                <w:sz w:val="24"/>
                <w:szCs w:val="24"/>
              </w:rPr>
              <w:t>-</w:t>
            </w:r>
          </w:p>
        </w:tc>
        <w:tc>
          <w:tcPr>
            <w:tcW w:w="1407" w:type="dxa"/>
            <w:vAlign w:val="center"/>
          </w:tcPr>
          <w:p w:rsidR="005043ED" w:rsidRDefault="00A065B1">
            <w:pPr>
              <w:jc w:val="center"/>
            </w:pPr>
            <w:r>
              <w:rPr>
                <w:color w:val="000000"/>
                <w:sz w:val="24"/>
                <w:szCs w:val="24"/>
              </w:rPr>
              <w:t>14</w:t>
            </w:r>
            <w:r>
              <w:rPr>
                <w:color w:val="000000"/>
                <w:sz w:val="24"/>
                <w:szCs w:val="24"/>
              </w:rPr>
              <w:t>年</w:t>
            </w:r>
          </w:p>
        </w:tc>
        <w:tc>
          <w:tcPr>
            <w:tcW w:w="2673" w:type="dxa"/>
            <w:vAlign w:val="center"/>
          </w:tcPr>
          <w:p w:rsidR="005043ED" w:rsidRDefault="00A065B1">
            <w:r>
              <w:rPr>
                <w:color w:val="000000"/>
                <w:sz w:val="24"/>
                <w:szCs w:val="24"/>
              </w:rPr>
              <w:t>张鸿羽女士，上海财经大学硕士。历任广发证券股份有限公司高级研究员，上投摩根基金管理有限公司高级研究员。</w:t>
            </w:r>
            <w:r>
              <w:rPr>
                <w:color w:val="000000"/>
                <w:sz w:val="24"/>
                <w:szCs w:val="24"/>
              </w:rPr>
              <w:t>2007</w:t>
            </w:r>
            <w:r>
              <w:rPr>
                <w:color w:val="000000"/>
                <w:sz w:val="24"/>
                <w:szCs w:val="24"/>
              </w:rPr>
              <w:t>年加入交银施罗德基金管理有限公司，历任高级研究员、专户投资经理。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043ED" w:rsidRDefault="00A065B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043ED" w:rsidRDefault="00A065B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043ED" w:rsidRDefault="00A065B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043ED" w:rsidRDefault="00A065B1">
      <w:pPr>
        <w:spacing w:before="29" w:line="288" w:lineRule="auto"/>
        <w:ind w:firstLineChars="200" w:firstLine="480"/>
        <w:rPr>
          <w:color w:val="000000"/>
          <w:sz w:val="24"/>
          <w:szCs w:val="24"/>
        </w:rPr>
      </w:pPr>
      <w:r>
        <w:rPr>
          <w:color w:val="000000"/>
          <w:sz w:val="24"/>
          <w:szCs w:val="24"/>
        </w:rPr>
        <w:t>一季度经济和市场走势大致可以分为两个阶段：第一阶段是年初至</w:t>
      </w:r>
      <w:r>
        <w:rPr>
          <w:color w:val="000000"/>
          <w:sz w:val="24"/>
          <w:szCs w:val="24"/>
        </w:rPr>
        <w:t>2</w:t>
      </w:r>
      <w:r>
        <w:rPr>
          <w:color w:val="000000"/>
          <w:sz w:val="24"/>
          <w:szCs w:val="24"/>
        </w:rPr>
        <w:t>月上旬，经济小幅回落，市场延续成长思维，创业板指数远远跑赢上证综合指数；第二阶段是经济快速下行，各项经济指标一致性弱于预期，</w:t>
      </w:r>
      <w:r>
        <w:rPr>
          <w:color w:val="000000"/>
          <w:sz w:val="24"/>
          <w:szCs w:val="24"/>
        </w:rPr>
        <w:t>PMI</w:t>
      </w:r>
      <w:r>
        <w:rPr>
          <w:color w:val="000000"/>
          <w:sz w:val="24"/>
          <w:szCs w:val="24"/>
        </w:rPr>
        <w:t>、制造业投资，包括消费数据都显著下行，市场对国家将出台政策托底经济的底线思维预期强烈，以地产为代表的周期股走强，而以传媒等行业为代表的成长股出现快速下行，市场再次出现翘翘板效应。一季度本基金适当降低了高估值成长股的配置，使组合适当均衡。</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二季度预计经济将旺季不旺，京津冀等地区规划以及地产的适度放松有利于稳定经济预期，而</w:t>
      </w:r>
      <w:r w:rsidRPr="00414345">
        <w:rPr>
          <w:color w:val="000000"/>
          <w:sz w:val="24"/>
          <w:szCs w:val="24"/>
        </w:rPr>
        <w:t>IPO</w:t>
      </w:r>
      <w:r w:rsidRPr="00414345">
        <w:rPr>
          <w:color w:val="000000"/>
          <w:sz w:val="24"/>
          <w:szCs w:val="24"/>
        </w:rPr>
        <w:t>重启以及人民币贬值可能使得流动性预期出现混乱。在经济转型的过程中，市场整体估值体系从传统思维向新思维的转化过程中，成长股的股价波动或将加大，而传统消费股也面临成长阶段的再认识。本基金投资策略以稳健为主，选股从更长时期的角度出发，谨慎选股。</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0.6537</w:t>
      </w:r>
      <w:r w:rsidRPr="00414345">
        <w:rPr>
          <w:color w:val="000000"/>
          <w:sz w:val="24"/>
          <w:szCs w:val="24"/>
        </w:rPr>
        <w:t>元，本报告期份额净值增长率为</w:t>
      </w:r>
      <w:r w:rsidRPr="00414345">
        <w:rPr>
          <w:color w:val="000000"/>
          <w:sz w:val="24"/>
          <w:szCs w:val="24"/>
        </w:rPr>
        <w:t>-11.36%</w:t>
      </w:r>
      <w:r w:rsidRPr="00414345">
        <w:rPr>
          <w:color w:val="000000"/>
          <w:sz w:val="24"/>
          <w:szCs w:val="24"/>
        </w:rPr>
        <w:t>，同期业绩比较基准增长率为</w:t>
      </w:r>
      <w:r w:rsidRPr="00414345">
        <w:rPr>
          <w:color w:val="000000"/>
          <w:sz w:val="24"/>
          <w:szCs w:val="24"/>
        </w:rPr>
        <w:t>-5.57%</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A065B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3,110,623,950.23</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74.87</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3,110,623,950.23</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74.87</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79,432,000.00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1.91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79,432,000.00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1.91</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530,932,316.50</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12.78</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428,015,548.05</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10.30</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5,458,624.27</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0.13</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4,154,462,439.05</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A065B1">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A065B1">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2,271,323,804.23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55.39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63,931,885.29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133,443,409.99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A065B1">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65,271,667.56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63,195,721.40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183,271,323.94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193,550,102.38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22,782,651.56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113,853,383.88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3,110,623,950.23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75.86</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043ED">
        <w:trPr>
          <w:jc w:val="center"/>
        </w:trPr>
        <w:tc>
          <w:tcPr>
            <w:tcW w:w="855" w:type="dxa"/>
            <w:vAlign w:val="center"/>
          </w:tcPr>
          <w:p w:rsidR="005043ED" w:rsidRDefault="00A065B1">
            <w:pPr>
              <w:jc w:val="center"/>
            </w:pPr>
            <w:r>
              <w:rPr>
                <w:color w:val="000000"/>
                <w:sz w:val="24"/>
                <w:szCs w:val="24"/>
              </w:rPr>
              <w:t>1</w:t>
            </w:r>
          </w:p>
        </w:tc>
        <w:tc>
          <w:tcPr>
            <w:tcW w:w="1334" w:type="dxa"/>
            <w:vAlign w:val="center"/>
          </w:tcPr>
          <w:p w:rsidR="005043ED" w:rsidRDefault="00A065B1">
            <w:pPr>
              <w:jc w:val="center"/>
            </w:pPr>
            <w:r>
              <w:rPr>
                <w:color w:val="000000"/>
                <w:sz w:val="24"/>
                <w:szCs w:val="24"/>
              </w:rPr>
              <w:t>600535</w:t>
            </w:r>
          </w:p>
        </w:tc>
        <w:tc>
          <w:tcPr>
            <w:tcW w:w="1777" w:type="dxa"/>
            <w:vAlign w:val="center"/>
          </w:tcPr>
          <w:p w:rsidR="005043ED" w:rsidRDefault="00A065B1">
            <w:pPr>
              <w:jc w:val="center"/>
            </w:pPr>
            <w:r>
              <w:rPr>
                <w:color w:val="000000"/>
                <w:sz w:val="24"/>
                <w:szCs w:val="24"/>
              </w:rPr>
              <w:t>天士力</w:t>
            </w:r>
          </w:p>
        </w:tc>
        <w:tc>
          <w:tcPr>
            <w:tcW w:w="1334" w:type="dxa"/>
            <w:vAlign w:val="center"/>
          </w:tcPr>
          <w:p w:rsidR="005043ED" w:rsidRDefault="00A065B1">
            <w:pPr>
              <w:jc w:val="right"/>
            </w:pPr>
            <w:r>
              <w:rPr>
                <w:color w:val="000000"/>
                <w:sz w:val="24"/>
                <w:szCs w:val="24"/>
              </w:rPr>
              <w:t>5,009,254</w:t>
            </w:r>
          </w:p>
        </w:tc>
        <w:tc>
          <w:tcPr>
            <w:tcW w:w="1924" w:type="dxa"/>
            <w:vAlign w:val="center"/>
          </w:tcPr>
          <w:p w:rsidR="005043ED" w:rsidRDefault="00A065B1">
            <w:pPr>
              <w:jc w:val="right"/>
            </w:pPr>
            <w:r>
              <w:rPr>
                <w:color w:val="000000"/>
                <w:sz w:val="24"/>
                <w:szCs w:val="24"/>
              </w:rPr>
              <w:t>195,310,813.46</w:t>
            </w:r>
          </w:p>
        </w:tc>
        <w:tc>
          <w:tcPr>
            <w:tcW w:w="1644" w:type="dxa"/>
            <w:vAlign w:val="center"/>
          </w:tcPr>
          <w:p w:rsidR="005043ED" w:rsidRDefault="00A065B1">
            <w:pPr>
              <w:jc w:val="right"/>
            </w:pPr>
            <w:r>
              <w:rPr>
                <w:color w:val="000000"/>
                <w:sz w:val="24"/>
                <w:szCs w:val="24"/>
              </w:rPr>
              <w:t>4.76</w:t>
            </w:r>
          </w:p>
        </w:tc>
      </w:tr>
      <w:tr w:rsidR="005043ED">
        <w:trPr>
          <w:jc w:val="center"/>
        </w:trPr>
        <w:tc>
          <w:tcPr>
            <w:tcW w:w="855" w:type="dxa"/>
            <w:vAlign w:val="center"/>
          </w:tcPr>
          <w:p w:rsidR="005043ED" w:rsidRDefault="00A065B1">
            <w:pPr>
              <w:jc w:val="center"/>
            </w:pPr>
            <w:r>
              <w:rPr>
                <w:color w:val="000000"/>
                <w:sz w:val="24"/>
                <w:szCs w:val="24"/>
              </w:rPr>
              <w:t>2</w:t>
            </w:r>
          </w:p>
        </w:tc>
        <w:tc>
          <w:tcPr>
            <w:tcW w:w="1334" w:type="dxa"/>
            <w:vAlign w:val="center"/>
          </w:tcPr>
          <w:p w:rsidR="005043ED" w:rsidRDefault="00A065B1">
            <w:pPr>
              <w:jc w:val="center"/>
            </w:pPr>
            <w:r>
              <w:rPr>
                <w:color w:val="000000"/>
                <w:sz w:val="24"/>
                <w:szCs w:val="24"/>
              </w:rPr>
              <w:t>300005</w:t>
            </w:r>
          </w:p>
        </w:tc>
        <w:tc>
          <w:tcPr>
            <w:tcW w:w="1777" w:type="dxa"/>
            <w:vAlign w:val="center"/>
          </w:tcPr>
          <w:p w:rsidR="005043ED" w:rsidRDefault="00A065B1">
            <w:pPr>
              <w:jc w:val="center"/>
            </w:pPr>
            <w:r>
              <w:rPr>
                <w:color w:val="000000"/>
                <w:sz w:val="24"/>
                <w:szCs w:val="24"/>
              </w:rPr>
              <w:t>探路者</w:t>
            </w:r>
          </w:p>
        </w:tc>
        <w:tc>
          <w:tcPr>
            <w:tcW w:w="1334" w:type="dxa"/>
            <w:vAlign w:val="center"/>
          </w:tcPr>
          <w:p w:rsidR="005043ED" w:rsidRDefault="00A065B1">
            <w:pPr>
              <w:jc w:val="right"/>
            </w:pPr>
            <w:r>
              <w:rPr>
                <w:color w:val="000000"/>
                <w:sz w:val="24"/>
                <w:szCs w:val="24"/>
              </w:rPr>
              <w:t>9,926,168</w:t>
            </w:r>
          </w:p>
        </w:tc>
        <w:tc>
          <w:tcPr>
            <w:tcW w:w="1924" w:type="dxa"/>
            <w:vAlign w:val="center"/>
          </w:tcPr>
          <w:p w:rsidR="005043ED" w:rsidRDefault="00A065B1">
            <w:pPr>
              <w:jc w:val="right"/>
            </w:pPr>
            <w:r>
              <w:rPr>
                <w:color w:val="000000"/>
                <w:sz w:val="24"/>
                <w:szCs w:val="24"/>
              </w:rPr>
              <w:t>187,703,836.88</w:t>
            </w:r>
          </w:p>
        </w:tc>
        <w:tc>
          <w:tcPr>
            <w:tcW w:w="1644" w:type="dxa"/>
            <w:vAlign w:val="center"/>
          </w:tcPr>
          <w:p w:rsidR="005043ED" w:rsidRDefault="00A065B1">
            <w:pPr>
              <w:jc w:val="right"/>
            </w:pPr>
            <w:r>
              <w:rPr>
                <w:color w:val="000000"/>
                <w:sz w:val="24"/>
                <w:szCs w:val="24"/>
              </w:rPr>
              <w:t>4.58</w:t>
            </w:r>
          </w:p>
        </w:tc>
      </w:tr>
      <w:tr w:rsidR="005043ED">
        <w:trPr>
          <w:jc w:val="center"/>
        </w:trPr>
        <w:tc>
          <w:tcPr>
            <w:tcW w:w="855" w:type="dxa"/>
            <w:vAlign w:val="center"/>
          </w:tcPr>
          <w:p w:rsidR="005043ED" w:rsidRDefault="00A065B1">
            <w:pPr>
              <w:jc w:val="center"/>
            </w:pPr>
            <w:r>
              <w:rPr>
                <w:color w:val="000000"/>
                <w:sz w:val="24"/>
                <w:szCs w:val="24"/>
              </w:rPr>
              <w:t>3</w:t>
            </w:r>
          </w:p>
        </w:tc>
        <w:tc>
          <w:tcPr>
            <w:tcW w:w="1334" w:type="dxa"/>
            <w:vAlign w:val="center"/>
          </w:tcPr>
          <w:p w:rsidR="005043ED" w:rsidRDefault="00A065B1">
            <w:pPr>
              <w:jc w:val="center"/>
            </w:pPr>
            <w:r>
              <w:rPr>
                <w:color w:val="000000"/>
                <w:sz w:val="24"/>
                <w:szCs w:val="24"/>
              </w:rPr>
              <w:t>600196</w:t>
            </w:r>
          </w:p>
        </w:tc>
        <w:tc>
          <w:tcPr>
            <w:tcW w:w="1777" w:type="dxa"/>
            <w:vAlign w:val="center"/>
          </w:tcPr>
          <w:p w:rsidR="005043ED" w:rsidRDefault="00A065B1">
            <w:pPr>
              <w:jc w:val="center"/>
            </w:pPr>
            <w:r>
              <w:rPr>
                <w:color w:val="000000"/>
                <w:sz w:val="24"/>
                <w:szCs w:val="24"/>
              </w:rPr>
              <w:t>复星医药</w:t>
            </w:r>
          </w:p>
        </w:tc>
        <w:tc>
          <w:tcPr>
            <w:tcW w:w="1334" w:type="dxa"/>
            <w:vAlign w:val="center"/>
          </w:tcPr>
          <w:p w:rsidR="005043ED" w:rsidRDefault="00A065B1">
            <w:pPr>
              <w:jc w:val="right"/>
            </w:pPr>
            <w:r>
              <w:rPr>
                <w:color w:val="000000"/>
                <w:sz w:val="24"/>
                <w:szCs w:val="24"/>
              </w:rPr>
              <w:t>7,845,867</w:t>
            </w:r>
          </w:p>
        </w:tc>
        <w:tc>
          <w:tcPr>
            <w:tcW w:w="1924" w:type="dxa"/>
            <w:vAlign w:val="center"/>
          </w:tcPr>
          <w:p w:rsidR="005043ED" w:rsidRDefault="00A065B1">
            <w:pPr>
              <w:jc w:val="right"/>
            </w:pPr>
            <w:r>
              <w:rPr>
                <w:color w:val="000000"/>
                <w:sz w:val="24"/>
                <w:szCs w:val="24"/>
              </w:rPr>
              <w:t>157,152,716.01</w:t>
            </w:r>
          </w:p>
        </w:tc>
        <w:tc>
          <w:tcPr>
            <w:tcW w:w="1644" w:type="dxa"/>
            <w:vAlign w:val="center"/>
          </w:tcPr>
          <w:p w:rsidR="005043ED" w:rsidRDefault="00A065B1">
            <w:pPr>
              <w:jc w:val="right"/>
            </w:pPr>
            <w:r>
              <w:rPr>
                <w:color w:val="000000"/>
                <w:sz w:val="24"/>
                <w:szCs w:val="24"/>
              </w:rPr>
              <w:t>3.83</w:t>
            </w:r>
          </w:p>
        </w:tc>
      </w:tr>
      <w:tr w:rsidR="005043ED">
        <w:trPr>
          <w:jc w:val="center"/>
        </w:trPr>
        <w:tc>
          <w:tcPr>
            <w:tcW w:w="855" w:type="dxa"/>
            <w:vAlign w:val="center"/>
          </w:tcPr>
          <w:p w:rsidR="005043ED" w:rsidRDefault="00A065B1">
            <w:pPr>
              <w:jc w:val="center"/>
            </w:pPr>
            <w:r>
              <w:rPr>
                <w:color w:val="000000"/>
                <w:sz w:val="24"/>
                <w:szCs w:val="24"/>
              </w:rPr>
              <w:t>4</w:t>
            </w:r>
          </w:p>
        </w:tc>
        <w:tc>
          <w:tcPr>
            <w:tcW w:w="1334" w:type="dxa"/>
            <w:vAlign w:val="center"/>
          </w:tcPr>
          <w:p w:rsidR="005043ED" w:rsidRDefault="00A065B1">
            <w:pPr>
              <w:jc w:val="center"/>
            </w:pPr>
            <w:r>
              <w:rPr>
                <w:color w:val="000000"/>
                <w:sz w:val="24"/>
                <w:szCs w:val="24"/>
              </w:rPr>
              <w:t>600967</w:t>
            </w:r>
          </w:p>
        </w:tc>
        <w:tc>
          <w:tcPr>
            <w:tcW w:w="1777" w:type="dxa"/>
            <w:vAlign w:val="center"/>
          </w:tcPr>
          <w:p w:rsidR="005043ED" w:rsidRDefault="00A065B1">
            <w:pPr>
              <w:jc w:val="center"/>
            </w:pPr>
            <w:r>
              <w:rPr>
                <w:color w:val="000000"/>
                <w:sz w:val="24"/>
                <w:szCs w:val="24"/>
              </w:rPr>
              <w:t>北方创业</w:t>
            </w:r>
          </w:p>
        </w:tc>
        <w:tc>
          <w:tcPr>
            <w:tcW w:w="1334" w:type="dxa"/>
            <w:vAlign w:val="center"/>
          </w:tcPr>
          <w:p w:rsidR="005043ED" w:rsidRDefault="00A065B1">
            <w:pPr>
              <w:jc w:val="right"/>
            </w:pPr>
            <w:r>
              <w:rPr>
                <w:color w:val="000000"/>
                <w:sz w:val="24"/>
                <w:szCs w:val="24"/>
              </w:rPr>
              <w:t>7,636,321</w:t>
            </w:r>
          </w:p>
        </w:tc>
        <w:tc>
          <w:tcPr>
            <w:tcW w:w="1924" w:type="dxa"/>
            <w:vAlign w:val="center"/>
          </w:tcPr>
          <w:p w:rsidR="005043ED" w:rsidRDefault="00A065B1">
            <w:pPr>
              <w:jc w:val="right"/>
            </w:pPr>
            <w:r>
              <w:rPr>
                <w:color w:val="000000"/>
                <w:sz w:val="24"/>
                <w:szCs w:val="24"/>
              </w:rPr>
              <w:t>134,170,159.97</w:t>
            </w:r>
          </w:p>
        </w:tc>
        <w:tc>
          <w:tcPr>
            <w:tcW w:w="1644" w:type="dxa"/>
            <w:vAlign w:val="center"/>
          </w:tcPr>
          <w:p w:rsidR="005043ED" w:rsidRDefault="00A065B1">
            <w:pPr>
              <w:jc w:val="right"/>
            </w:pPr>
            <w:r>
              <w:rPr>
                <w:color w:val="000000"/>
                <w:sz w:val="24"/>
                <w:szCs w:val="24"/>
              </w:rPr>
              <w:t>3.27</w:t>
            </w:r>
          </w:p>
        </w:tc>
      </w:tr>
      <w:tr w:rsidR="005043ED">
        <w:trPr>
          <w:jc w:val="center"/>
        </w:trPr>
        <w:tc>
          <w:tcPr>
            <w:tcW w:w="855" w:type="dxa"/>
            <w:vAlign w:val="center"/>
          </w:tcPr>
          <w:p w:rsidR="005043ED" w:rsidRDefault="00A065B1">
            <w:pPr>
              <w:jc w:val="center"/>
            </w:pPr>
            <w:r>
              <w:rPr>
                <w:color w:val="000000"/>
                <w:sz w:val="24"/>
                <w:szCs w:val="24"/>
              </w:rPr>
              <w:t>5</w:t>
            </w:r>
          </w:p>
        </w:tc>
        <w:tc>
          <w:tcPr>
            <w:tcW w:w="1334" w:type="dxa"/>
            <w:vAlign w:val="center"/>
          </w:tcPr>
          <w:p w:rsidR="005043ED" w:rsidRDefault="00A065B1">
            <w:pPr>
              <w:jc w:val="center"/>
            </w:pPr>
            <w:r>
              <w:rPr>
                <w:color w:val="000000"/>
                <w:sz w:val="24"/>
                <w:szCs w:val="24"/>
              </w:rPr>
              <w:t>002400</w:t>
            </w:r>
          </w:p>
        </w:tc>
        <w:tc>
          <w:tcPr>
            <w:tcW w:w="1777" w:type="dxa"/>
            <w:vAlign w:val="center"/>
          </w:tcPr>
          <w:p w:rsidR="005043ED" w:rsidRDefault="00A065B1">
            <w:pPr>
              <w:jc w:val="center"/>
            </w:pPr>
            <w:r>
              <w:rPr>
                <w:color w:val="000000"/>
                <w:sz w:val="24"/>
                <w:szCs w:val="24"/>
              </w:rPr>
              <w:t>省广股份</w:t>
            </w:r>
          </w:p>
        </w:tc>
        <w:tc>
          <w:tcPr>
            <w:tcW w:w="1334" w:type="dxa"/>
            <w:vAlign w:val="center"/>
          </w:tcPr>
          <w:p w:rsidR="005043ED" w:rsidRDefault="00A065B1">
            <w:pPr>
              <w:jc w:val="right"/>
            </w:pPr>
            <w:r>
              <w:rPr>
                <w:color w:val="000000"/>
                <w:sz w:val="24"/>
                <w:szCs w:val="24"/>
              </w:rPr>
              <w:t>3,954,495</w:t>
            </w:r>
          </w:p>
        </w:tc>
        <w:tc>
          <w:tcPr>
            <w:tcW w:w="1924" w:type="dxa"/>
            <w:vAlign w:val="center"/>
          </w:tcPr>
          <w:p w:rsidR="005043ED" w:rsidRDefault="00A065B1">
            <w:pPr>
              <w:jc w:val="right"/>
            </w:pPr>
            <w:r>
              <w:rPr>
                <w:color w:val="000000"/>
                <w:sz w:val="24"/>
                <w:szCs w:val="24"/>
              </w:rPr>
              <w:t>126,543,840.00</w:t>
            </w:r>
          </w:p>
        </w:tc>
        <w:tc>
          <w:tcPr>
            <w:tcW w:w="1644" w:type="dxa"/>
            <w:vAlign w:val="center"/>
          </w:tcPr>
          <w:p w:rsidR="005043ED" w:rsidRDefault="00A065B1">
            <w:pPr>
              <w:jc w:val="right"/>
            </w:pPr>
            <w:r>
              <w:rPr>
                <w:color w:val="000000"/>
                <w:sz w:val="24"/>
                <w:szCs w:val="24"/>
              </w:rPr>
              <w:t>3.09</w:t>
            </w:r>
          </w:p>
        </w:tc>
      </w:tr>
      <w:tr w:rsidR="005043ED">
        <w:trPr>
          <w:jc w:val="center"/>
        </w:trPr>
        <w:tc>
          <w:tcPr>
            <w:tcW w:w="855" w:type="dxa"/>
            <w:vAlign w:val="center"/>
          </w:tcPr>
          <w:p w:rsidR="005043ED" w:rsidRDefault="00A065B1">
            <w:pPr>
              <w:jc w:val="center"/>
            </w:pPr>
            <w:r>
              <w:rPr>
                <w:color w:val="000000"/>
                <w:sz w:val="24"/>
                <w:szCs w:val="24"/>
              </w:rPr>
              <w:t>6</w:t>
            </w:r>
          </w:p>
        </w:tc>
        <w:tc>
          <w:tcPr>
            <w:tcW w:w="1334" w:type="dxa"/>
            <w:vAlign w:val="center"/>
          </w:tcPr>
          <w:p w:rsidR="005043ED" w:rsidRDefault="00A065B1">
            <w:pPr>
              <w:jc w:val="center"/>
            </w:pPr>
            <w:r>
              <w:rPr>
                <w:color w:val="000000"/>
                <w:sz w:val="24"/>
                <w:szCs w:val="24"/>
              </w:rPr>
              <w:t>002454</w:t>
            </w:r>
          </w:p>
        </w:tc>
        <w:tc>
          <w:tcPr>
            <w:tcW w:w="1777" w:type="dxa"/>
            <w:vAlign w:val="center"/>
          </w:tcPr>
          <w:p w:rsidR="005043ED" w:rsidRDefault="00A065B1">
            <w:pPr>
              <w:jc w:val="center"/>
            </w:pPr>
            <w:r>
              <w:rPr>
                <w:color w:val="000000"/>
                <w:sz w:val="24"/>
                <w:szCs w:val="24"/>
              </w:rPr>
              <w:t>松芝股份</w:t>
            </w:r>
          </w:p>
        </w:tc>
        <w:tc>
          <w:tcPr>
            <w:tcW w:w="1334" w:type="dxa"/>
            <w:vAlign w:val="center"/>
          </w:tcPr>
          <w:p w:rsidR="005043ED" w:rsidRDefault="00A065B1">
            <w:pPr>
              <w:jc w:val="right"/>
            </w:pPr>
            <w:r>
              <w:rPr>
                <w:color w:val="000000"/>
                <w:sz w:val="24"/>
                <w:szCs w:val="24"/>
              </w:rPr>
              <w:t>7,908,884</w:t>
            </w:r>
          </w:p>
        </w:tc>
        <w:tc>
          <w:tcPr>
            <w:tcW w:w="1924" w:type="dxa"/>
            <w:vAlign w:val="center"/>
          </w:tcPr>
          <w:p w:rsidR="005043ED" w:rsidRDefault="00A065B1">
            <w:pPr>
              <w:jc w:val="right"/>
            </w:pPr>
            <w:r>
              <w:rPr>
                <w:color w:val="000000"/>
                <w:sz w:val="24"/>
                <w:szCs w:val="24"/>
              </w:rPr>
              <w:t>117,051,483.20</w:t>
            </w:r>
          </w:p>
        </w:tc>
        <w:tc>
          <w:tcPr>
            <w:tcW w:w="1644" w:type="dxa"/>
            <w:vAlign w:val="center"/>
          </w:tcPr>
          <w:p w:rsidR="005043ED" w:rsidRDefault="00A065B1">
            <w:pPr>
              <w:jc w:val="right"/>
            </w:pPr>
            <w:r>
              <w:rPr>
                <w:color w:val="000000"/>
                <w:sz w:val="24"/>
                <w:szCs w:val="24"/>
              </w:rPr>
              <w:t>2.85</w:t>
            </w:r>
          </w:p>
        </w:tc>
      </w:tr>
      <w:tr w:rsidR="005043ED">
        <w:trPr>
          <w:jc w:val="center"/>
        </w:trPr>
        <w:tc>
          <w:tcPr>
            <w:tcW w:w="855" w:type="dxa"/>
            <w:vAlign w:val="center"/>
          </w:tcPr>
          <w:p w:rsidR="005043ED" w:rsidRDefault="00A065B1">
            <w:pPr>
              <w:jc w:val="center"/>
            </w:pPr>
            <w:r>
              <w:rPr>
                <w:color w:val="000000"/>
                <w:sz w:val="24"/>
                <w:szCs w:val="24"/>
              </w:rPr>
              <w:t>7</w:t>
            </w:r>
          </w:p>
        </w:tc>
        <w:tc>
          <w:tcPr>
            <w:tcW w:w="1334" w:type="dxa"/>
            <w:vAlign w:val="center"/>
          </w:tcPr>
          <w:p w:rsidR="005043ED" w:rsidRDefault="00A065B1">
            <w:pPr>
              <w:jc w:val="center"/>
            </w:pPr>
            <w:r>
              <w:rPr>
                <w:color w:val="000000"/>
                <w:sz w:val="24"/>
                <w:szCs w:val="24"/>
              </w:rPr>
              <w:t>600887</w:t>
            </w:r>
          </w:p>
        </w:tc>
        <w:tc>
          <w:tcPr>
            <w:tcW w:w="1777" w:type="dxa"/>
            <w:vAlign w:val="center"/>
          </w:tcPr>
          <w:p w:rsidR="005043ED" w:rsidRDefault="00A065B1">
            <w:pPr>
              <w:jc w:val="center"/>
            </w:pPr>
            <w:r>
              <w:rPr>
                <w:color w:val="000000"/>
                <w:sz w:val="24"/>
                <w:szCs w:val="24"/>
              </w:rPr>
              <w:t>伊利股份</w:t>
            </w:r>
          </w:p>
        </w:tc>
        <w:tc>
          <w:tcPr>
            <w:tcW w:w="1334" w:type="dxa"/>
            <w:vAlign w:val="center"/>
          </w:tcPr>
          <w:p w:rsidR="005043ED" w:rsidRDefault="00A065B1">
            <w:pPr>
              <w:jc w:val="right"/>
            </w:pPr>
            <w:r>
              <w:rPr>
                <w:color w:val="000000"/>
                <w:sz w:val="24"/>
                <w:szCs w:val="24"/>
              </w:rPr>
              <w:t>3,194,891</w:t>
            </w:r>
          </w:p>
        </w:tc>
        <w:tc>
          <w:tcPr>
            <w:tcW w:w="1924" w:type="dxa"/>
            <w:vAlign w:val="center"/>
          </w:tcPr>
          <w:p w:rsidR="005043ED" w:rsidRDefault="00A065B1">
            <w:pPr>
              <w:jc w:val="right"/>
            </w:pPr>
            <w:r>
              <w:rPr>
                <w:color w:val="000000"/>
                <w:sz w:val="24"/>
                <w:szCs w:val="24"/>
              </w:rPr>
              <w:t>114,472,944.53</w:t>
            </w:r>
          </w:p>
        </w:tc>
        <w:tc>
          <w:tcPr>
            <w:tcW w:w="1644" w:type="dxa"/>
            <w:vAlign w:val="center"/>
          </w:tcPr>
          <w:p w:rsidR="005043ED" w:rsidRDefault="00A065B1">
            <w:pPr>
              <w:jc w:val="right"/>
            </w:pPr>
            <w:r>
              <w:rPr>
                <w:color w:val="000000"/>
                <w:sz w:val="24"/>
                <w:szCs w:val="24"/>
              </w:rPr>
              <w:t>2.79</w:t>
            </w:r>
          </w:p>
        </w:tc>
      </w:tr>
      <w:tr w:rsidR="005043ED">
        <w:trPr>
          <w:jc w:val="center"/>
        </w:trPr>
        <w:tc>
          <w:tcPr>
            <w:tcW w:w="855" w:type="dxa"/>
            <w:vAlign w:val="center"/>
          </w:tcPr>
          <w:p w:rsidR="005043ED" w:rsidRDefault="00A065B1">
            <w:pPr>
              <w:jc w:val="center"/>
            </w:pPr>
            <w:r>
              <w:rPr>
                <w:color w:val="000000"/>
                <w:sz w:val="24"/>
                <w:szCs w:val="24"/>
              </w:rPr>
              <w:t>8</w:t>
            </w:r>
          </w:p>
        </w:tc>
        <w:tc>
          <w:tcPr>
            <w:tcW w:w="1334" w:type="dxa"/>
            <w:vAlign w:val="center"/>
          </w:tcPr>
          <w:p w:rsidR="005043ED" w:rsidRDefault="00A065B1">
            <w:pPr>
              <w:jc w:val="center"/>
            </w:pPr>
            <w:r>
              <w:rPr>
                <w:color w:val="000000"/>
                <w:sz w:val="24"/>
                <w:szCs w:val="24"/>
              </w:rPr>
              <w:t>600763</w:t>
            </w:r>
          </w:p>
        </w:tc>
        <w:tc>
          <w:tcPr>
            <w:tcW w:w="1777" w:type="dxa"/>
            <w:vAlign w:val="center"/>
          </w:tcPr>
          <w:p w:rsidR="005043ED" w:rsidRDefault="00A065B1">
            <w:pPr>
              <w:jc w:val="center"/>
            </w:pPr>
            <w:r>
              <w:rPr>
                <w:color w:val="000000"/>
                <w:sz w:val="24"/>
                <w:szCs w:val="24"/>
              </w:rPr>
              <w:t>通策医疗</w:t>
            </w:r>
          </w:p>
        </w:tc>
        <w:tc>
          <w:tcPr>
            <w:tcW w:w="1334" w:type="dxa"/>
            <w:vAlign w:val="center"/>
          </w:tcPr>
          <w:p w:rsidR="005043ED" w:rsidRDefault="00A065B1">
            <w:pPr>
              <w:jc w:val="right"/>
            </w:pPr>
            <w:r>
              <w:rPr>
                <w:color w:val="000000"/>
                <w:sz w:val="24"/>
                <w:szCs w:val="24"/>
              </w:rPr>
              <w:t>2,543,124</w:t>
            </w:r>
          </w:p>
        </w:tc>
        <w:tc>
          <w:tcPr>
            <w:tcW w:w="1924" w:type="dxa"/>
            <w:vAlign w:val="center"/>
          </w:tcPr>
          <w:p w:rsidR="005043ED" w:rsidRDefault="00A065B1">
            <w:pPr>
              <w:jc w:val="right"/>
            </w:pPr>
            <w:r>
              <w:rPr>
                <w:color w:val="000000"/>
                <w:sz w:val="24"/>
                <w:szCs w:val="24"/>
              </w:rPr>
              <w:t>104,191,790.28</w:t>
            </w:r>
          </w:p>
        </w:tc>
        <w:tc>
          <w:tcPr>
            <w:tcW w:w="1644" w:type="dxa"/>
            <w:vAlign w:val="center"/>
          </w:tcPr>
          <w:p w:rsidR="005043ED" w:rsidRDefault="00A065B1">
            <w:pPr>
              <w:jc w:val="right"/>
            </w:pPr>
            <w:r>
              <w:rPr>
                <w:color w:val="000000"/>
                <w:sz w:val="24"/>
                <w:szCs w:val="24"/>
              </w:rPr>
              <w:t>2.54</w:t>
            </w:r>
          </w:p>
        </w:tc>
      </w:tr>
      <w:tr w:rsidR="005043ED">
        <w:trPr>
          <w:jc w:val="center"/>
        </w:trPr>
        <w:tc>
          <w:tcPr>
            <w:tcW w:w="855" w:type="dxa"/>
            <w:vAlign w:val="center"/>
          </w:tcPr>
          <w:p w:rsidR="005043ED" w:rsidRDefault="00A065B1">
            <w:pPr>
              <w:jc w:val="center"/>
            </w:pPr>
            <w:r>
              <w:rPr>
                <w:color w:val="000000"/>
                <w:sz w:val="24"/>
                <w:szCs w:val="24"/>
              </w:rPr>
              <w:t>9</w:t>
            </w:r>
          </w:p>
        </w:tc>
        <w:tc>
          <w:tcPr>
            <w:tcW w:w="1334" w:type="dxa"/>
            <w:vAlign w:val="center"/>
          </w:tcPr>
          <w:p w:rsidR="005043ED" w:rsidRDefault="00A065B1">
            <w:pPr>
              <w:jc w:val="center"/>
            </w:pPr>
            <w:r>
              <w:rPr>
                <w:color w:val="000000"/>
                <w:sz w:val="24"/>
                <w:szCs w:val="24"/>
              </w:rPr>
              <w:t>600389</w:t>
            </w:r>
          </w:p>
        </w:tc>
        <w:tc>
          <w:tcPr>
            <w:tcW w:w="1777" w:type="dxa"/>
            <w:vAlign w:val="center"/>
          </w:tcPr>
          <w:p w:rsidR="005043ED" w:rsidRDefault="00A065B1">
            <w:pPr>
              <w:jc w:val="center"/>
            </w:pPr>
            <w:r>
              <w:rPr>
                <w:color w:val="000000"/>
                <w:sz w:val="24"/>
                <w:szCs w:val="24"/>
              </w:rPr>
              <w:t>江山股份</w:t>
            </w:r>
          </w:p>
        </w:tc>
        <w:tc>
          <w:tcPr>
            <w:tcW w:w="1334" w:type="dxa"/>
            <w:vAlign w:val="center"/>
          </w:tcPr>
          <w:p w:rsidR="005043ED" w:rsidRDefault="00A065B1">
            <w:pPr>
              <w:jc w:val="right"/>
            </w:pPr>
            <w:r>
              <w:rPr>
                <w:color w:val="000000"/>
                <w:sz w:val="24"/>
                <w:szCs w:val="24"/>
              </w:rPr>
              <w:t>2,555,357</w:t>
            </w:r>
          </w:p>
        </w:tc>
        <w:tc>
          <w:tcPr>
            <w:tcW w:w="1924" w:type="dxa"/>
            <w:vAlign w:val="center"/>
          </w:tcPr>
          <w:p w:rsidR="005043ED" w:rsidRDefault="00A065B1">
            <w:pPr>
              <w:jc w:val="right"/>
            </w:pPr>
            <w:r>
              <w:rPr>
                <w:color w:val="000000"/>
                <w:sz w:val="24"/>
                <w:szCs w:val="24"/>
              </w:rPr>
              <w:t>96,132,530.34</w:t>
            </w:r>
          </w:p>
        </w:tc>
        <w:tc>
          <w:tcPr>
            <w:tcW w:w="1644" w:type="dxa"/>
            <w:vAlign w:val="center"/>
          </w:tcPr>
          <w:p w:rsidR="005043ED" w:rsidRDefault="00A065B1">
            <w:pPr>
              <w:jc w:val="right"/>
            </w:pPr>
            <w:r>
              <w:rPr>
                <w:color w:val="000000"/>
                <w:sz w:val="24"/>
                <w:szCs w:val="24"/>
              </w:rPr>
              <w:t>2.34</w:t>
            </w:r>
          </w:p>
        </w:tc>
      </w:tr>
      <w:tr w:rsidR="005043ED">
        <w:trPr>
          <w:jc w:val="center"/>
        </w:trPr>
        <w:tc>
          <w:tcPr>
            <w:tcW w:w="855" w:type="dxa"/>
            <w:vAlign w:val="center"/>
          </w:tcPr>
          <w:p w:rsidR="005043ED" w:rsidRDefault="00A065B1">
            <w:pPr>
              <w:jc w:val="center"/>
            </w:pPr>
            <w:r>
              <w:rPr>
                <w:color w:val="000000"/>
                <w:sz w:val="24"/>
                <w:szCs w:val="24"/>
              </w:rPr>
              <w:t>10</w:t>
            </w:r>
          </w:p>
        </w:tc>
        <w:tc>
          <w:tcPr>
            <w:tcW w:w="1334" w:type="dxa"/>
            <w:vAlign w:val="center"/>
          </w:tcPr>
          <w:p w:rsidR="005043ED" w:rsidRDefault="00A065B1">
            <w:pPr>
              <w:jc w:val="center"/>
            </w:pPr>
            <w:r>
              <w:rPr>
                <w:color w:val="000000"/>
                <w:sz w:val="24"/>
                <w:szCs w:val="24"/>
              </w:rPr>
              <w:t>000541</w:t>
            </w:r>
          </w:p>
        </w:tc>
        <w:tc>
          <w:tcPr>
            <w:tcW w:w="1777" w:type="dxa"/>
            <w:vAlign w:val="center"/>
          </w:tcPr>
          <w:p w:rsidR="005043ED" w:rsidRDefault="00A065B1">
            <w:pPr>
              <w:jc w:val="center"/>
            </w:pPr>
            <w:r>
              <w:rPr>
                <w:color w:val="000000"/>
                <w:sz w:val="24"/>
                <w:szCs w:val="24"/>
              </w:rPr>
              <w:t>佛山照明</w:t>
            </w:r>
          </w:p>
        </w:tc>
        <w:tc>
          <w:tcPr>
            <w:tcW w:w="1334" w:type="dxa"/>
            <w:vAlign w:val="center"/>
          </w:tcPr>
          <w:p w:rsidR="005043ED" w:rsidRDefault="00A065B1">
            <w:pPr>
              <w:jc w:val="right"/>
            </w:pPr>
            <w:r>
              <w:rPr>
                <w:color w:val="000000"/>
                <w:sz w:val="24"/>
                <w:szCs w:val="24"/>
              </w:rPr>
              <w:t>8,415,639</w:t>
            </w:r>
          </w:p>
        </w:tc>
        <w:tc>
          <w:tcPr>
            <w:tcW w:w="1924" w:type="dxa"/>
            <w:vAlign w:val="center"/>
          </w:tcPr>
          <w:p w:rsidR="005043ED" w:rsidRDefault="00A065B1">
            <w:pPr>
              <w:jc w:val="right"/>
            </w:pPr>
            <w:r>
              <w:rPr>
                <w:color w:val="000000"/>
                <w:sz w:val="24"/>
                <w:szCs w:val="24"/>
              </w:rPr>
              <w:t>87,017,707.26</w:t>
            </w:r>
          </w:p>
        </w:tc>
        <w:tc>
          <w:tcPr>
            <w:tcW w:w="1644" w:type="dxa"/>
            <w:vAlign w:val="center"/>
          </w:tcPr>
          <w:p w:rsidR="005043ED" w:rsidRDefault="00A065B1">
            <w:pPr>
              <w:jc w:val="right"/>
            </w:pPr>
            <w:r>
              <w:rPr>
                <w:color w:val="000000"/>
                <w:sz w:val="24"/>
                <w:szCs w:val="24"/>
              </w:rPr>
              <w:t>2.12</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79,432,000.00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1.94</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79,432,000.00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1.94</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79,432,000.00</w:t>
            </w:r>
          </w:p>
        </w:tc>
        <w:tc>
          <w:tcPr>
            <w:tcW w:w="1729"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1.94</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043ED">
        <w:trPr>
          <w:jc w:val="center"/>
        </w:trPr>
        <w:tc>
          <w:tcPr>
            <w:tcW w:w="850" w:type="dxa"/>
            <w:vAlign w:val="center"/>
          </w:tcPr>
          <w:p w:rsidR="005043ED" w:rsidRDefault="00A065B1">
            <w:pPr>
              <w:jc w:val="center"/>
            </w:pPr>
            <w:r>
              <w:rPr>
                <w:color w:val="000000"/>
                <w:sz w:val="24"/>
                <w:szCs w:val="24"/>
              </w:rPr>
              <w:t>1</w:t>
            </w:r>
          </w:p>
        </w:tc>
        <w:tc>
          <w:tcPr>
            <w:tcW w:w="1475" w:type="dxa"/>
            <w:vAlign w:val="center"/>
          </w:tcPr>
          <w:p w:rsidR="005043ED" w:rsidRDefault="00A065B1">
            <w:pPr>
              <w:jc w:val="center"/>
            </w:pPr>
            <w:r>
              <w:rPr>
                <w:color w:val="000000"/>
                <w:sz w:val="24"/>
                <w:szCs w:val="24"/>
              </w:rPr>
              <w:t>130236</w:t>
            </w:r>
          </w:p>
        </w:tc>
        <w:tc>
          <w:tcPr>
            <w:tcW w:w="1769" w:type="dxa"/>
            <w:vAlign w:val="center"/>
          </w:tcPr>
          <w:p w:rsidR="005043ED" w:rsidRDefault="00A065B1">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5043ED" w:rsidRDefault="00A065B1">
            <w:pPr>
              <w:jc w:val="right"/>
            </w:pPr>
            <w:r>
              <w:rPr>
                <w:color w:val="000000"/>
                <w:sz w:val="24"/>
                <w:szCs w:val="24"/>
              </w:rPr>
              <w:t>500,000</w:t>
            </w:r>
          </w:p>
        </w:tc>
        <w:tc>
          <w:tcPr>
            <w:tcW w:w="2150" w:type="dxa"/>
            <w:vAlign w:val="center"/>
          </w:tcPr>
          <w:p w:rsidR="005043ED" w:rsidRDefault="00A065B1">
            <w:pPr>
              <w:jc w:val="right"/>
            </w:pPr>
            <w:r>
              <w:rPr>
                <w:color w:val="000000"/>
                <w:sz w:val="24"/>
                <w:szCs w:val="24"/>
              </w:rPr>
              <w:t>49,945,000.00</w:t>
            </w:r>
          </w:p>
        </w:tc>
        <w:tc>
          <w:tcPr>
            <w:tcW w:w="1237" w:type="dxa"/>
            <w:vAlign w:val="center"/>
          </w:tcPr>
          <w:p w:rsidR="005043ED" w:rsidRDefault="00A065B1">
            <w:pPr>
              <w:jc w:val="right"/>
            </w:pPr>
            <w:r>
              <w:rPr>
                <w:color w:val="000000"/>
                <w:sz w:val="24"/>
                <w:szCs w:val="24"/>
              </w:rPr>
              <w:t>1.22</w:t>
            </w:r>
          </w:p>
        </w:tc>
      </w:tr>
      <w:tr w:rsidR="005043ED">
        <w:trPr>
          <w:jc w:val="center"/>
        </w:trPr>
        <w:tc>
          <w:tcPr>
            <w:tcW w:w="850" w:type="dxa"/>
            <w:vAlign w:val="center"/>
          </w:tcPr>
          <w:p w:rsidR="005043ED" w:rsidRDefault="00A065B1">
            <w:pPr>
              <w:jc w:val="center"/>
            </w:pPr>
            <w:r>
              <w:rPr>
                <w:color w:val="000000"/>
                <w:sz w:val="24"/>
                <w:szCs w:val="24"/>
              </w:rPr>
              <w:t>2</w:t>
            </w:r>
          </w:p>
        </w:tc>
        <w:tc>
          <w:tcPr>
            <w:tcW w:w="1475" w:type="dxa"/>
            <w:vAlign w:val="center"/>
          </w:tcPr>
          <w:p w:rsidR="005043ED" w:rsidRDefault="00A065B1">
            <w:pPr>
              <w:jc w:val="center"/>
            </w:pPr>
            <w:r>
              <w:rPr>
                <w:color w:val="000000"/>
                <w:sz w:val="24"/>
                <w:szCs w:val="24"/>
              </w:rPr>
              <w:t>110412</w:t>
            </w:r>
          </w:p>
        </w:tc>
        <w:tc>
          <w:tcPr>
            <w:tcW w:w="1769" w:type="dxa"/>
            <w:vAlign w:val="center"/>
          </w:tcPr>
          <w:p w:rsidR="005043ED" w:rsidRDefault="00A065B1">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5043ED" w:rsidRDefault="00A065B1">
            <w:pPr>
              <w:jc w:val="right"/>
            </w:pPr>
            <w:r>
              <w:rPr>
                <w:color w:val="000000"/>
                <w:sz w:val="24"/>
                <w:szCs w:val="24"/>
              </w:rPr>
              <w:t>300,000</w:t>
            </w:r>
          </w:p>
        </w:tc>
        <w:tc>
          <w:tcPr>
            <w:tcW w:w="2150" w:type="dxa"/>
            <w:vAlign w:val="center"/>
          </w:tcPr>
          <w:p w:rsidR="005043ED" w:rsidRDefault="00A065B1">
            <w:pPr>
              <w:jc w:val="right"/>
            </w:pPr>
            <w:r>
              <w:rPr>
                <w:color w:val="000000"/>
                <w:sz w:val="24"/>
                <w:szCs w:val="24"/>
              </w:rPr>
              <w:t>29,487,000.00</w:t>
            </w:r>
          </w:p>
        </w:tc>
        <w:tc>
          <w:tcPr>
            <w:tcW w:w="1237" w:type="dxa"/>
            <w:vAlign w:val="center"/>
          </w:tcPr>
          <w:p w:rsidR="005043ED" w:rsidRDefault="00A065B1">
            <w:pPr>
              <w:jc w:val="right"/>
            </w:pPr>
            <w:r>
              <w:rPr>
                <w:color w:val="000000"/>
                <w:sz w:val="24"/>
                <w:szCs w:val="24"/>
              </w:rPr>
              <w:t>0.72</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2,502,876.47</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2,576,647.51</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379,100.29</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5,458,624.27</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6,543,135,938.03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250,176,134.07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521,142,556.82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6,272,169,515.28</w:t>
            </w:r>
          </w:p>
        </w:tc>
      </w:tr>
    </w:tbl>
    <w:p w:rsidR="005043ED" w:rsidRDefault="00A065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A065B1">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86,529,422.37</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5,466,767.52</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91,996,189.89</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1.47</w:t>
            </w:r>
          </w:p>
        </w:tc>
      </w:tr>
    </w:tbl>
    <w:p w:rsidR="005043ED" w:rsidRDefault="00A065B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A065B1">
      <w:pPr>
        <w:autoSpaceDE w:val="0"/>
        <w:autoSpaceDN w:val="0"/>
        <w:adjustRightInd w:val="0"/>
        <w:spacing w:before="29" w:line="288" w:lineRule="auto"/>
        <w:ind w:firstLineChars="200" w:firstLine="480"/>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410630" w:rsidRPr="00410630" w:rsidRDefault="00410630" w:rsidP="00410630">
      <w:pPr>
        <w:autoSpaceDE w:val="0"/>
        <w:autoSpaceDN w:val="0"/>
        <w:adjustRightInd w:val="0"/>
        <w:spacing w:before="29" w:line="288" w:lineRule="auto"/>
        <w:jc w:val="right"/>
        <w:rPr>
          <w:rFonts w:eastAsiaTheme="minorEastAsia"/>
          <w:b/>
          <w:color w:val="000000"/>
          <w:sz w:val="24"/>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583"/>
        <w:gridCol w:w="1510"/>
        <w:gridCol w:w="1633"/>
        <w:gridCol w:w="1767"/>
        <w:gridCol w:w="1343"/>
      </w:tblGrid>
      <w:tr w:rsidR="00320300" w:rsidRPr="00414345" w:rsidTr="00A065B1">
        <w:trPr>
          <w:trHeight w:val="340"/>
          <w:jc w:val="center"/>
        </w:trPr>
        <w:tc>
          <w:tcPr>
            <w:tcW w:w="1032" w:type="dxa"/>
            <w:vAlign w:val="center"/>
          </w:tcPr>
          <w:p w:rsidR="00320300" w:rsidRPr="00414345" w:rsidRDefault="00320300" w:rsidP="00DA14B0">
            <w:pPr>
              <w:pStyle w:val="ad"/>
              <w:adjustRightInd w:val="0"/>
              <w:snapToGrid w:val="0"/>
              <w:spacing w:before="29" w:line="288" w:lineRule="auto"/>
              <w:jc w:val="center"/>
              <w:rPr>
                <w:color w:val="000000"/>
                <w:kern w:val="0"/>
              </w:rPr>
            </w:pPr>
            <w:r w:rsidRPr="00414345">
              <w:rPr>
                <w:color w:val="000000"/>
                <w:kern w:val="0"/>
              </w:rPr>
              <w:t>序号</w:t>
            </w:r>
          </w:p>
        </w:tc>
        <w:tc>
          <w:tcPr>
            <w:tcW w:w="158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交易方式</w:t>
            </w:r>
          </w:p>
        </w:tc>
        <w:tc>
          <w:tcPr>
            <w:tcW w:w="1510" w:type="dxa"/>
            <w:vAlign w:val="center"/>
          </w:tcPr>
          <w:p w:rsidR="00320300" w:rsidRPr="00414345" w:rsidRDefault="00320300" w:rsidP="00A065B1">
            <w:pPr>
              <w:adjustRightInd w:val="0"/>
              <w:snapToGrid w:val="0"/>
              <w:spacing w:before="29" w:line="288" w:lineRule="auto"/>
              <w:jc w:val="center"/>
              <w:rPr>
                <w:color w:val="000000"/>
                <w:kern w:val="0"/>
                <w:sz w:val="24"/>
              </w:rPr>
            </w:pPr>
            <w:r w:rsidRPr="00414345">
              <w:rPr>
                <w:color w:val="000000"/>
                <w:kern w:val="0"/>
                <w:sz w:val="24"/>
              </w:rPr>
              <w:t>交易日期</w:t>
            </w:r>
          </w:p>
        </w:tc>
        <w:tc>
          <w:tcPr>
            <w:tcW w:w="163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DA14B0">
            <w:pPr>
              <w:adjustRightInd w:val="0"/>
              <w:snapToGrid w:val="0"/>
              <w:spacing w:before="29" w:line="288" w:lineRule="auto"/>
              <w:jc w:val="center"/>
              <w:rPr>
                <w:color w:val="000000"/>
                <w:kern w:val="0"/>
                <w:sz w:val="24"/>
              </w:rPr>
            </w:pPr>
            <w:r w:rsidRPr="00414345">
              <w:rPr>
                <w:color w:val="000000"/>
                <w:kern w:val="0"/>
                <w:sz w:val="24"/>
              </w:rPr>
              <w:t>适用费率</w:t>
            </w:r>
          </w:p>
        </w:tc>
      </w:tr>
      <w:tr w:rsidR="005043ED" w:rsidTr="00A065B1">
        <w:trPr>
          <w:jc w:val="center"/>
        </w:trPr>
        <w:tc>
          <w:tcPr>
            <w:tcW w:w="1032" w:type="dxa"/>
            <w:vAlign w:val="center"/>
          </w:tcPr>
          <w:p w:rsidR="005043ED" w:rsidRDefault="00A065B1">
            <w:pPr>
              <w:jc w:val="center"/>
            </w:pPr>
            <w:r>
              <w:rPr>
                <w:rFonts w:hint="eastAsia"/>
                <w:color w:val="000000"/>
                <w:sz w:val="24"/>
              </w:rPr>
              <w:t>1</w:t>
            </w:r>
          </w:p>
        </w:tc>
        <w:tc>
          <w:tcPr>
            <w:tcW w:w="1583" w:type="dxa"/>
            <w:vAlign w:val="center"/>
          </w:tcPr>
          <w:p w:rsidR="005043ED" w:rsidRDefault="00A065B1">
            <w:pPr>
              <w:jc w:val="center"/>
            </w:pPr>
            <w:r>
              <w:rPr>
                <w:color w:val="000000"/>
                <w:sz w:val="24"/>
              </w:rPr>
              <w:t>红利再投</w:t>
            </w:r>
          </w:p>
        </w:tc>
        <w:tc>
          <w:tcPr>
            <w:tcW w:w="1510" w:type="dxa"/>
            <w:vAlign w:val="center"/>
          </w:tcPr>
          <w:p w:rsidR="005043ED" w:rsidRDefault="00A065B1">
            <w:pPr>
              <w:jc w:val="center"/>
            </w:pPr>
            <w:r>
              <w:rPr>
                <w:color w:val="000000"/>
                <w:sz w:val="24"/>
              </w:rPr>
              <w:t>2014-01-10</w:t>
            </w:r>
          </w:p>
        </w:tc>
        <w:tc>
          <w:tcPr>
            <w:tcW w:w="1633" w:type="dxa"/>
            <w:vAlign w:val="center"/>
          </w:tcPr>
          <w:p w:rsidR="005043ED" w:rsidRDefault="00A065B1">
            <w:pPr>
              <w:jc w:val="right"/>
            </w:pPr>
            <w:r>
              <w:rPr>
                <w:color w:val="000000"/>
                <w:sz w:val="24"/>
              </w:rPr>
              <w:t>5,466,767.52</w:t>
            </w:r>
          </w:p>
        </w:tc>
        <w:tc>
          <w:tcPr>
            <w:tcW w:w="1767" w:type="dxa"/>
            <w:vAlign w:val="center"/>
          </w:tcPr>
          <w:p w:rsidR="005043ED" w:rsidRDefault="00A065B1">
            <w:pPr>
              <w:jc w:val="right"/>
            </w:pPr>
            <w:r>
              <w:rPr>
                <w:color w:val="000000"/>
                <w:sz w:val="24"/>
              </w:rPr>
              <w:t>3,980,353.43</w:t>
            </w:r>
          </w:p>
        </w:tc>
        <w:tc>
          <w:tcPr>
            <w:tcW w:w="1343" w:type="dxa"/>
            <w:vAlign w:val="center"/>
          </w:tcPr>
          <w:p w:rsidR="005043ED" w:rsidRDefault="00A065B1">
            <w:pPr>
              <w:jc w:val="center"/>
            </w:pPr>
            <w:r>
              <w:rPr>
                <w:color w:val="000000"/>
                <w:sz w:val="24"/>
              </w:rPr>
              <w:t>0.00%</w:t>
            </w:r>
          </w:p>
        </w:tc>
      </w:tr>
      <w:tr w:rsidR="00320300" w:rsidRPr="00414345" w:rsidTr="00A065B1">
        <w:trPr>
          <w:trHeight w:val="340"/>
          <w:jc w:val="center"/>
        </w:trPr>
        <w:tc>
          <w:tcPr>
            <w:tcW w:w="1032" w:type="dxa"/>
            <w:vAlign w:val="center"/>
          </w:tcPr>
          <w:p w:rsidR="00320300" w:rsidRPr="00414345" w:rsidRDefault="00320300" w:rsidP="00DA14B0">
            <w:pPr>
              <w:pStyle w:val="ad"/>
              <w:adjustRightInd w:val="0"/>
              <w:snapToGrid w:val="0"/>
              <w:spacing w:before="29" w:line="288" w:lineRule="auto"/>
              <w:jc w:val="center"/>
              <w:rPr>
                <w:color w:val="000000"/>
                <w:kern w:val="0"/>
              </w:rPr>
            </w:pPr>
            <w:r w:rsidRPr="00414345">
              <w:rPr>
                <w:color w:val="000000"/>
                <w:kern w:val="0"/>
              </w:rPr>
              <w:t>合计</w:t>
            </w:r>
          </w:p>
        </w:tc>
        <w:tc>
          <w:tcPr>
            <w:tcW w:w="1583" w:type="dxa"/>
            <w:vAlign w:val="center"/>
          </w:tcPr>
          <w:p w:rsidR="00320300" w:rsidRPr="00414345" w:rsidRDefault="00320300" w:rsidP="00DA14B0">
            <w:pPr>
              <w:adjustRightInd w:val="0"/>
              <w:snapToGrid w:val="0"/>
              <w:spacing w:before="29" w:line="288" w:lineRule="auto"/>
              <w:jc w:val="right"/>
              <w:rPr>
                <w:color w:val="0000FF"/>
                <w:kern w:val="0"/>
                <w:sz w:val="18"/>
              </w:rPr>
            </w:pPr>
          </w:p>
        </w:tc>
        <w:tc>
          <w:tcPr>
            <w:tcW w:w="1510" w:type="dxa"/>
            <w:vAlign w:val="center"/>
          </w:tcPr>
          <w:p w:rsidR="00320300" w:rsidRPr="00414345" w:rsidRDefault="00320300" w:rsidP="00DA14B0">
            <w:pPr>
              <w:adjustRightInd w:val="0"/>
              <w:snapToGrid w:val="0"/>
              <w:spacing w:before="29" w:line="288" w:lineRule="auto"/>
              <w:jc w:val="right"/>
              <w:rPr>
                <w:color w:val="0000FF"/>
                <w:kern w:val="0"/>
                <w:sz w:val="18"/>
              </w:rPr>
            </w:pPr>
          </w:p>
        </w:tc>
        <w:tc>
          <w:tcPr>
            <w:tcW w:w="1633" w:type="dxa"/>
            <w:vAlign w:val="center"/>
          </w:tcPr>
          <w:p w:rsidR="00320300" w:rsidRPr="00414345" w:rsidRDefault="00320300" w:rsidP="00DA14B0">
            <w:pPr>
              <w:adjustRightInd w:val="0"/>
              <w:snapToGrid w:val="0"/>
              <w:spacing w:before="29" w:line="288" w:lineRule="auto"/>
              <w:jc w:val="right"/>
              <w:rPr>
                <w:color w:val="000000"/>
                <w:sz w:val="24"/>
              </w:rPr>
            </w:pPr>
            <w:r w:rsidRPr="00414345">
              <w:rPr>
                <w:color w:val="000000"/>
                <w:sz w:val="24"/>
              </w:rPr>
              <w:t>5,466,767.52</w:t>
            </w:r>
          </w:p>
        </w:tc>
        <w:tc>
          <w:tcPr>
            <w:tcW w:w="1767" w:type="dxa"/>
            <w:vAlign w:val="center"/>
          </w:tcPr>
          <w:p w:rsidR="00320300" w:rsidRPr="00414345" w:rsidRDefault="00320300" w:rsidP="00DA14B0">
            <w:pPr>
              <w:adjustRightInd w:val="0"/>
              <w:snapToGrid w:val="0"/>
              <w:spacing w:before="29" w:line="288" w:lineRule="auto"/>
              <w:jc w:val="right"/>
              <w:rPr>
                <w:color w:val="000000"/>
                <w:sz w:val="24"/>
              </w:rPr>
            </w:pPr>
            <w:r w:rsidRPr="00414345">
              <w:rPr>
                <w:color w:val="000000"/>
                <w:sz w:val="24"/>
              </w:rPr>
              <w:t>3,980,353.43</w:t>
            </w:r>
          </w:p>
        </w:tc>
        <w:tc>
          <w:tcPr>
            <w:tcW w:w="1343" w:type="dxa"/>
            <w:vAlign w:val="center"/>
          </w:tcPr>
          <w:p w:rsidR="00320300" w:rsidRPr="00414345" w:rsidRDefault="00320300" w:rsidP="00DA14B0">
            <w:pPr>
              <w:adjustRightInd w:val="0"/>
              <w:snapToGrid w:val="0"/>
              <w:spacing w:before="29" w:line="288" w:lineRule="auto"/>
              <w:jc w:val="right"/>
              <w:rPr>
                <w:color w:val="0000FF"/>
                <w:kern w:val="0"/>
                <w:sz w:val="18"/>
              </w:rPr>
            </w:pPr>
          </w:p>
        </w:tc>
      </w:tr>
    </w:tbl>
    <w:p w:rsidR="00480B35" w:rsidRPr="00414345" w:rsidRDefault="00480B35" w:rsidP="00DA14B0">
      <w:pPr>
        <w:autoSpaceDE w:val="0"/>
        <w:autoSpaceDN w:val="0"/>
        <w:adjustRightInd w:val="0"/>
        <w:spacing w:before="29" w:line="288" w:lineRule="auto"/>
        <w:jc w:val="left"/>
        <w:rPr>
          <w:color w:val="000000"/>
          <w:sz w:val="24"/>
        </w:rPr>
      </w:pPr>
    </w:p>
    <w:p w:rsidR="004061AC" w:rsidRPr="00414345" w:rsidRDefault="004061AC" w:rsidP="00A065B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043ED" w:rsidRDefault="00A065B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、《交银施罗德精选股票证券投资基金基金合同》；</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、《交银施罗德精选股票证券投资基金招募说明书》；</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、《交银施罗德精选股票证券投资基金托管协议》；</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043ED" w:rsidRDefault="00A065B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、报告期内交银施罗德精选股票证券投资基金在指定报刊上各项公告的原稿。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D02347"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043ED" w:rsidRDefault="00A065B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E05" w:rsidRDefault="00671E05" w:rsidP="00876D65">
      <w:r>
        <w:separator/>
      </w:r>
    </w:p>
  </w:endnote>
  <w:endnote w:type="continuationSeparator" w:id="0">
    <w:p w:rsidR="00671E05" w:rsidRDefault="00671E0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043ED">
      <w:rPr>
        <w:kern w:val="0"/>
        <w:szCs w:val="21"/>
      </w:rPr>
      <w:fldChar w:fldCharType="begin"/>
    </w:r>
    <w:r>
      <w:rPr>
        <w:kern w:val="0"/>
        <w:szCs w:val="21"/>
      </w:rPr>
      <w:instrText xml:space="preserve"> PAGE </w:instrText>
    </w:r>
    <w:r w:rsidR="005043ED">
      <w:rPr>
        <w:kern w:val="0"/>
        <w:szCs w:val="21"/>
      </w:rPr>
      <w:fldChar w:fldCharType="separate"/>
    </w:r>
    <w:r w:rsidR="000D577A">
      <w:rPr>
        <w:noProof/>
        <w:kern w:val="0"/>
        <w:szCs w:val="21"/>
      </w:rPr>
      <w:t>1</w:t>
    </w:r>
    <w:r w:rsidR="005043ED">
      <w:rPr>
        <w:kern w:val="0"/>
        <w:szCs w:val="21"/>
      </w:rPr>
      <w:fldChar w:fldCharType="end"/>
    </w:r>
    <w:r>
      <w:rPr>
        <w:rFonts w:hint="eastAsia"/>
        <w:kern w:val="0"/>
        <w:szCs w:val="21"/>
      </w:rPr>
      <w:t>页共</w:t>
    </w:r>
    <w:r w:rsidR="005043ED">
      <w:rPr>
        <w:kern w:val="0"/>
        <w:szCs w:val="21"/>
      </w:rPr>
      <w:fldChar w:fldCharType="begin"/>
    </w:r>
    <w:r>
      <w:rPr>
        <w:kern w:val="0"/>
        <w:szCs w:val="21"/>
      </w:rPr>
      <w:instrText xml:space="preserve"> NUMPAGES </w:instrText>
    </w:r>
    <w:r w:rsidR="005043ED">
      <w:rPr>
        <w:kern w:val="0"/>
        <w:szCs w:val="21"/>
      </w:rPr>
      <w:fldChar w:fldCharType="separate"/>
    </w:r>
    <w:r w:rsidR="000D577A">
      <w:rPr>
        <w:noProof/>
        <w:kern w:val="0"/>
        <w:szCs w:val="21"/>
      </w:rPr>
      <w:t>11</w:t>
    </w:r>
    <w:r w:rsidR="005043E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E05" w:rsidRDefault="00671E05" w:rsidP="00876D65">
      <w:r>
        <w:separator/>
      </w:r>
    </w:p>
  </w:footnote>
  <w:footnote w:type="continuationSeparator" w:id="0">
    <w:p w:rsidR="00671E05" w:rsidRDefault="00671E0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D577A"/>
    <w:rsid w:val="000E75E8"/>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0BA"/>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043ED"/>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1E05"/>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65B1"/>
    <w:rsid w:val="00A21300"/>
    <w:rsid w:val="00A22AD0"/>
    <w:rsid w:val="00A22DA8"/>
    <w:rsid w:val="00A3030E"/>
    <w:rsid w:val="00A31574"/>
    <w:rsid w:val="00A31671"/>
    <w:rsid w:val="00A324F4"/>
    <w:rsid w:val="00A36930"/>
    <w:rsid w:val="00A42AA5"/>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D08CF"/>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14355F-9529-49AC-92C4-3C546BB1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90C8-531B-40AD-8D49-85937BE9D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982</Words>
  <Characters>5601</Characters>
  <Application>Microsoft Office Word</Application>
  <DocSecurity>0</DocSecurity>
  <Lines>46</Lines>
  <Paragraphs>13</Paragraphs>
  <ScaleCrop>false</ScaleCrop>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王晚婷</cp:lastModifiedBy>
  <cp:revision>3</cp:revision>
  <dcterms:created xsi:type="dcterms:W3CDTF">2014-04-16T12:28:00Z</dcterms:created>
  <dcterms:modified xsi:type="dcterms:W3CDTF">2014-04-21T10:53:00Z</dcterms:modified>
</cp:coreProperties>
</file>