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707A5E">
      <w:pPr>
        <w:autoSpaceDE w:val="0"/>
        <w:autoSpaceDN w:val="0"/>
        <w:adjustRightInd w:val="0"/>
        <w:spacing w:before="29" w:line="288" w:lineRule="auto"/>
        <w:jc w:val="left"/>
        <w:rPr>
          <w:color w:val="000000"/>
          <w:kern w:val="0"/>
          <w:sz w:val="24"/>
        </w:rPr>
      </w:pPr>
    </w:p>
    <w:p w:rsidR="00397616" w:rsidRPr="008640AE" w:rsidRDefault="00397616" w:rsidP="00707A5E">
      <w:pPr>
        <w:autoSpaceDE w:val="0"/>
        <w:autoSpaceDN w:val="0"/>
        <w:adjustRightInd w:val="0"/>
        <w:spacing w:before="29" w:line="288" w:lineRule="auto"/>
        <w:jc w:val="left"/>
        <w:rPr>
          <w:color w:val="000000"/>
          <w:kern w:val="0"/>
          <w:sz w:val="24"/>
        </w:rPr>
      </w:pPr>
    </w:p>
    <w:p w:rsidR="00397616" w:rsidRPr="008640AE" w:rsidRDefault="00397616" w:rsidP="00707A5E">
      <w:pPr>
        <w:autoSpaceDE w:val="0"/>
        <w:autoSpaceDN w:val="0"/>
        <w:adjustRightInd w:val="0"/>
        <w:spacing w:before="29" w:line="288" w:lineRule="auto"/>
        <w:jc w:val="left"/>
        <w:rPr>
          <w:color w:val="000000"/>
          <w:kern w:val="0"/>
          <w:sz w:val="24"/>
        </w:rPr>
      </w:pPr>
    </w:p>
    <w:p w:rsidR="00F22F00" w:rsidRPr="008640AE" w:rsidRDefault="00F22F00" w:rsidP="00707A5E">
      <w:pPr>
        <w:autoSpaceDE w:val="0"/>
        <w:autoSpaceDN w:val="0"/>
        <w:adjustRightInd w:val="0"/>
        <w:spacing w:before="29" w:line="288" w:lineRule="auto"/>
        <w:jc w:val="left"/>
        <w:rPr>
          <w:color w:val="000000"/>
          <w:kern w:val="0"/>
          <w:sz w:val="24"/>
        </w:rPr>
      </w:pPr>
    </w:p>
    <w:p w:rsidR="00F22F00" w:rsidRPr="008640AE" w:rsidRDefault="00F22F00" w:rsidP="00707A5E">
      <w:pPr>
        <w:spacing w:before="29" w:line="288" w:lineRule="auto"/>
        <w:jc w:val="center"/>
        <w:rPr>
          <w:b/>
          <w:sz w:val="24"/>
        </w:rPr>
      </w:pPr>
      <w:r w:rsidRPr="008640AE">
        <w:rPr>
          <w:b/>
          <w:sz w:val="24"/>
        </w:rPr>
        <w:t>交银施罗德全球自然资源证券投资基金</w:t>
      </w:r>
    </w:p>
    <w:p w:rsidR="00F22F00" w:rsidRPr="008640AE" w:rsidRDefault="00F22F00" w:rsidP="00707A5E">
      <w:pPr>
        <w:spacing w:before="29" w:line="288" w:lineRule="auto"/>
        <w:jc w:val="center"/>
        <w:rPr>
          <w:b/>
          <w:sz w:val="24"/>
        </w:rPr>
      </w:pPr>
      <w:r w:rsidRPr="008640AE">
        <w:rPr>
          <w:b/>
          <w:sz w:val="24"/>
        </w:rPr>
        <w:t>2014</w:t>
      </w:r>
      <w:r w:rsidRPr="008640AE">
        <w:rPr>
          <w:b/>
          <w:sz w:val="24"/>
        </w:rPr>
        <w:t>年第</w:t>
      </w:r>
      <w:r w:rsidRPr="008640AE">
        <w:rPr>
          <w:b/>
          <w:sz w:val="24"/>
        </w:rPr>
        <w:t>1</w:t>
      </w:r>
      <w:r w:rsidRPr="008640AE">
        <w:rPr>
          <w:b/>
          <w:sz w:val="24"/>
        </w:rPr>
        <w:t>季度报告</w:t>
      </w:r>
    </w:p>
    <w:p w:rsidR="00397616" w:rsidRPr="008640AE" w:rsidRDefault="00623556" w:rsidP="00707A5E">
      <w:pPr>
        <w:spacing w:before="29" w:line="288" w:lineRule="auto"/>
        <w:jc w:val="center"/>
        <w:rPr>
          <w:sz w:val="24"/>
        </w:rPr>
      </w:pPr>
      <w:r w:rsidRPr="008640AE">
        <w:rPr>
          <w:sz w:val="24"/>
        </w:rPr>
        <w:t>2014</w:t>
      </w:r>
      <w:r w:rsidRPr="008640AE">
        <w:rPr>
          <w:sz w:val="24"/>
        </w:rPr>
        <w:t>年</w:t>
      </w:r>
      <w:r w:rsidRPr="008640AE">
        <w:rPr>
          <w:sz w:val="24"/>
        </w:rPr>
        <w:t>3</w:t>
      </w:r>
      <w:r w:rsidRPr="008640AE">
        <w:rPr>
          <w:sz w:val="24"/>
        </w:rPr>
        <w:t>月</w:t>
      </w:r>
      <w:r w:rsidRPr="008640AE">
        <w:rPr>
          <w:sz w:val="24"/>
        </w:rPr>
        <w:t>31</w:t>
      </w:r>
      <w:r w:rsidRPr="008640AE">
        <w:rPr>
          <w:sz w:val="24"/>
        </w:rPr>
        <w:t>日</w:t>
      </w: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jc w:val="center"/>
        <w:rPr>
          <w:b/>
          <w:color w:val="000000"/>
          <w:sz w:val="24"/>
        </w:rPr>
      </w:pPr>
    </w:p>
    <w:p w:rsidR="00397616" w:rsidRPr="008640AE" w:rsidRDefault="00397616" w:rsidP="00707A5E">
      <w:pPr>
        <w:spacing w:before="29" w:line="288" w:lineRule="auto"/>
        <w:ind w:firstLineChars="900" w:firstLine="2168"/>
        <w:rPr>
          <w:b/>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基金管理人：交银施罗德基金管理有限公司</w:t>
      </w:r>
    </w:p>
    <w:p w:rsidR="003063E8" w:rsidRPr="008640AE" w:rsidRDefault="003063E8" w:rsidP="00707A5E">
      <w:pPr>
        <w:spacing w:before="29" w:line="288" w:lineRule="auto"/>
        <w:ind w:firstLineChars="900" w:firstLine="2160"/>
        <w:rPr>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基金托管人：中国建设银行股份有限公司</w:t>
      </w:r>
    </w:p>
    <w:p w:rsidR="003063E8" w:rsidRPr="008640AE" w:rsidRDefault="003063E8" w:rsidP="00707A5E">
      <w:pPr>
        <w:spacing w:before="29" w:line="288" w:lineRule="auto"/>
        <w:ind w:firstLineChars="900" w:firstLine="2160"/>
        <w:rPr>
          <w:color w:val="000000"/>
          <w:sz w:val="24"/>
        </w:rPr>
      </w:pPr>
    </w:p>
    <w:p w:rsidR="007D1292" w:rsidRPr="008640AE" w:rsidRDefault="007D1292" w:rsidP="00707A5E">
      <w:pPr>
        <w:spacing w:before="29" w:line="288" w:lineRule="auto"/>
        <w:ind w:firstLineChars="900" w:firstLine="2160"/>
        <w:rPr>
          <w:color w:val="000000"/>
          <w:sz w:val="24"/>
        </w:rPr>
      </w:pPr>
      <w:r w:rsidRPr="008640AE">
        <w:rPr>
          <w:color w:val="000000"/>
          <w:sz w:val="24"/>
        </w:rPr>
        <w:t>报告送出日期：</w:t>
      </w:r>
      <w:r w:rsidR="00CB44DE" w:rsidRPr="008640AE">
        <w:rPr>
          <w:color w:val="000000"/>
          <w:sz w:val="24"/>
        </w:rPr>
        <w:t>二〇一四年四月二十二日</w:t>
      </w:r>
    </w:p>
    <w:p w:rsidR="00CC4CB4" w:rsidRPr="008640AE" w:rsidRDefault="00CC4CB4" w:rsidP="00707A5E">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5F68FD">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891D1C" w:rsidRDefault="000128F8">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2014</w:t>
      </w:r>
      <w:r>
        <w:rPr>
          <w:color w:val="000000"/>
          <w:sz w:val="24"/>
        </w:rPr>
        <w:t>年</w:t>
      </w:r>
      <w:r>
        <w:rPr>
          <w:color w:val="000000"/>
          <w:sz w:val="24"/>
        </w:rPr>
        <w:t>4</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707A5E">
      <w:pPr>
        <w:spacing w:before="29" w:line="288" w:lineRule="auto"/>
        <w:ind w:firstLineChars="200" w:firstLine="480"/>
        <w:rPr>
          <w:color w:val="000000"/>
          <w:sz w:val="24"/>
        </w:rPr>
      </w:pPr>
      <w:r w:rsidRPr="008640AE">
        <w:rPr>
          <w:color w:val="000000"/>
          <w:sz w:val="24"/>
        </w:rPr>
        <w:t>本报告期自</w:t>
      </w:r>
      <w:r w:rsidRPr="008640AE">
        <w:rPr>
          <w:color w:val="000000"/>
          <w:sz w:val="24"/>
        </w:rPr>
        <w:t>2014</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707A5E">
      <w:pPr>
        <w:spacing w:before="29" w:line="288" w:lineRule="auto"/>
        <w:ind w:firstLineChars="200" w:firstLine="480"/>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D6766B">
        <w:trPr>
          <w:jc w:val="center"/>
        </w:trPr>
        <w:tc>
          <w:tcPr>
            <w:tcW w:w="2977" w:type="dxa"/>
            <w:vAlign w:val="center"/>
          </w:tcPr>
          <w:p w:rsidR="00363E15" w:rsidRPr="008640AE" w:rsidRDefault="00363E15" w:rsidP="00707A5E">
            <w:pPr>
              <w:adjustRightInd w:val="0"/>
              <w:spacing w:before="29" w:line="288" w:lineRule="auto"/>
              <w:ind w:left="17"/>
              <w:jc w:val="left"/>
              <w:rPr>
                <w:kern w:val="0"/>
                <w:sz w:val="24"/>
              </w:rPr>
            </w:pPr>
            <w:r w:rsidRPr="008640AE">
              <w:rPr>
                <w:kern w:val="0"/>
                <w:sz w:val="24"/>
              </w:rPr>
              <w:t>基金简称</w:t>
            </w:r>
          </w:p>
        </w:tc>
        <w:tc>
          <w:tcPr>
            <w:tcW w:w="5443" w:type="dxa"/>
            <w:vAlign w:val="center"/>
          </w:tcPr>
          <w:p w:rsidR="00363E15" w:rsidRPr="008640AE" w:rsidRDefault="00363E15" w:rsidP="00707A5E">
            <w:pPr>
              <w:adjustRightInd w:val="0"/>
              <w:spacing w:before="29" w:line="288" w:lineRule="auto"/>
              <w:ind w:left="17"/>
              <w:jc w:val="left"/>
              <w:rPr>
                <w:color w:val="000000"/>
                <w:kern w:val="0"/>
                <w:sz w:val="24"/>
              </w:rPr>
            </w:pPr>
            <w:r w:rsidRPr="008640AE">
              <w:rPr>
                <w:color w:val="000000"/>
                <w:kern w:val="0"/>
                <w:sz w:val="24"/>
              </w:rPr>
              <w:t>交银全球资源股票</w:t>
            </w:r>
            <w:r w:rsidRPr="008640AE">
              <w:rPr>
                <w:color w:val="000000"/>
                <w:kern w:val="0"/>
                <w:sz w:val="24"/>
              </w:rPr>
              <w:t>(QDII)</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基金主代码</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D6766B">
        <w:trPr>
          <w:jc w:val="center"/>
        </w:trPr>
        <w:tc>
          <w:tcPr>
            <w:tcW w:w="2977" w:type="dxa"/>
            <w:vAlign w:val="center"/>
          </w:tcPr>
          <w:p w:rsidR="005837E4" w:rsidRPr="008640AE" w:rsidRDefault="005837E4" w:rsidP="00707A5E">
            <w:pPr>
              <w:adjustRightInd w:val="0"/>
              <w:spacing w:before="29" w:line="288" w:lineRule="auto"/>
              <w:ind w:left="17"/>
              <w:jc w:val="left"/>
              <w:rPr>
                <w:kern w:val="0"/>
                <w:sz w:val="24"/>
              </w:rPr>
            </w:pPr>
            <w:r w:rsidRPr="008640AE">
              <w:rPr>
                <w:kern w:val="0"/>
                <w:sz w:val="24"/>
              </w:rPr>
              <w:t>交易代码</w:t>
            </w:r>
          </w:p>
        </w:tc>
        <w:tc>
          <w:tcPr>
            <w:tcW w:w="5443" w:type="dxa"/>
            <w:vAlign w:val="center"/>
          </w:tcPr>
          <w:p w:rsidR="005837E4" w:rsidRPr="008640AE" w:rsidRDefault="005837E4" w:rsidP="00707A5E">
            <w:pPr>
              <w:adjustRightInd w:val="0"/>
              <w:spacing w:before="29" w:line="288" w:lineRule="auto"/>
              <w:ind w:left="17"/>
              <w:jc w:val="left"/>
              <w:rPr>
                <w:color w:val="000000"/>
                <w:kern w:val="0"/>
                <w:sz w:val="24"/>
              </w:rPr>
            </w:pPr>
            <w:r w:rsidRPr="008640AE">
              <w:rPr>
                <w:kern w:val="0"/>
                <w:sz w:val="24"/>
              </w:rPr>
              <w:t>519709</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基金运作方式</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基金合同生效日</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报告期末基金份额总额</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8,652,859.34</w:t>
            </w:r>
            <w:r w:rsidRPr="008640AE">
              <w:rPr>
                <w:color w:val="000000"/>
                <w:kern w:val="0"/>
                <w:sz w:val="24"/>
              </w:rPr>
              <w:t>份</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投资目标</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投资策略</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lastRenderedPageBreak/>
              <w:t>业绩比较基准</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风险收益特征</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股票型基金，基金所投之标的与全球经济景气度、大宗商品市场表现及各相关产业联动性相对较高，波动性较大，风险与预期收益高于混合基金和债券基金，在股票基金中亦属于承担较高风险、预期收益较高的证券投资基金品种。</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基金管理人</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sz w:val="24"/>
              </w:rPr>
            </w:pPr>
            <w:r w:rsidRPr="008640AE">
              <w:rPr>
                <w:kern w:val="0"/>
                <w:sz w:val="24"/>
              </w:rPr>
              <w:t>基金托管人</w:t>
            </w:r>
          </w:p>
        </w:tc>
        <w:tc>
          <w:tcPr>
            <w:tcW w:w="5443" w:type="dxa"/>
            <w:vAlign w:val="center"/>
          </w:tcPr>
          <w:p w:rsidR="0066726C" w:rsidRPr="008640AE" w:rsidRDefault="0066726C" w:rsidP="00707A5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境外投资顾问英文名称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境外投资顾问中文名称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境外资产托管人英文名称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D6766B">
        <w:trPr>
          <w:jc w:val="center"/>
        </w:trPr>
        <w:tc>
          <w:tcPr>
            <w:tcW w:w="2977" w:type="dxa"/>
            <w:vAlign w:val="center"/>
          </w:tcPr>
          <w:p w:rsidR="0066726C" w:rsidRPr="008640AE" w:rsidRDefault="0066726C" w:rsidP="00707A5E">
            <w:pPr>
              <w:adjustRightInd w:val="0"/>
              <w:spacing w:before="29" w:line="288" w:lineRule="auto"/>
              <w:ind w:left="17"/>
              <w:jc w:val="left"/>
              <w:rPr>
                <w:kern w:val="0"/>
                <w:sz w:val="24"/>
              </w:rPr>
            </w:pPr>
            <w:r w:rsidRPr="008640AE">
              <w:rPr>
                <w:kern w:val="0"/>
                <w:sz w:val="24"/>
              </w:rPr>
              <w:t>境外资产托管人中文名称</w:t>
            </w:r>
          </w:p>
        </w:tc>
        <w:tc>
          <w:tcPr>
            <w:tcW w:w="5443" w:type="dxa"/>
            <w:vAlign w:val="center"/>
          </w:tcPr>
          <w:p w:rsidR="0066726C" w:rsidRPr="008640AE" w:rsidRDefault="0066726C" w:rsidP="00707A5E">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707A5E">
      <w:pPr>
        <w:autoSpaceDE w:val="0"/>
        <w:autoSpaceDN w:val="0"/>
        <w:adjustRightInd w:val="0"/>
        <w:spacing w:before="29" w:line="288" w:lineRule="auto"/>
        <w:jc w:val="left"/>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28F8" w:rsidRPr="008640AE" w:rsidTr="000128F8">
        <w:trPr>
          <w:jc w:val="center"/>
        </w:trPr>
        <w:tc>
          <w:tcPr>
            <w:tcW w:w="3402" w:type="dxa"/>
            <w:vAlign w:val="center"/>
          </w:tcPr>
          <w:p w:rsidR="007D1292" w:rsidRPr="008640AE" w:rsidRDefault="007D1292" w:rsidP="00707A5E">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707A5E">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707A5E">
            <w:pPr>
              <w:adjustRightInd w:val="0"/>
              <w:spacing w:before="29" w:line="288" w:lineRule="auto"/>
              <w:ind w:left="17"/>
              <w:jc w:val="center"/>
              <w:rPr>
                <w:color w:val="000000"/>
                <w:sz w:val="24"/>
              </w:rPr>
            </w:pPr>
            <w:r w:rsidRPr="008640AE">
              <w:rPr>
                <w:color w:val="000000"/>
                <w:sz w:val="24"/>
              </w:rPr>
              <w:t>(2014</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-2014</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0128F8" w:rsidRPr="008640AE" w:rsidTr="000128F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35,730.67</w:t>
            </w:r>
          </w:p>
        </w:tc>
      </w:tr>
      <w:tr w:rsidR="000128F8" w:rsidRPr="008640AE" w:rsidTr="000128F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-796,756.21</w:t>
            </w:r>
          </w:p>
        </w:tc>
      </w:tr>
      <w:tr w:rsidR="000128F8" w:rsidRPr="008640AE" w:rsidTr="000128F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-0.0779</w:t>
            </w:r>
          </w:p>
        </w:tc>
      </w:tr>
      <w:tr w:rsidR="000128F8" w:rsidRPr="008640AE" w:rsidTr="000128F8">
        <w:trPr>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9,997,983.80</w:t>
            </w:r>
          </w:p>
        </w:tc>
      </w:tr>
      <w:tr w:rsidR="000128F8" w:rsidRPr="008640AE" w:rsidTr="000128F8">
        <w:trPr>
          <w:trHeight w:val="158"/>
          <w:jc w:val="center"/>
        </w:trPr>
        <w:tc>
          <w:tcPr>
            <w:tcW w:w="3402" w:type="dxa"/>
            <w:vAlign w:val="center"/>
          </w:tcPr>
          <w:p w:rsidR="007D1292" w:rsidRPr="008640AE" w:rsidRDefault="007D1292" w:rsidP="00707A5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707A5E">
            <w:pPr>
              <w:adjustRightInd w:val="0"/>
              <w:spacing w:before="29" w:line="288" w:lineRule="auto"/>
              <w:ind w:left="17"/>
              <w:jc w:val="right"/>
              <w:rPr>
                <w:color w:val="000000"/>
                <w:sz w:val="24"/>
              </w:rPr>
            </w:pPr>
            <w:r w:rsidRPr="008640AE">
              <w:rPr>
                <w:color w:val="000000"/>
                <w:sz w:val="24"/>
              </w:rPr>
              <w:t>1.155</w:t>
            </w:r>
          </w:p>
        </w:tc>
      </w:tr>
    </w:tbl>
    <w:p w:rsidR="00891D1C" w:rsidRDefault="000128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707A5E">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9A02A0">
        <w:trPr>
          <w:jc w:val="center"/>
        </w:trPr>
        <w:tc>
          <w:tcPr>
            <w:tcW w:w="1701"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阶段</w:t>
            </w:r>
          </w:p>
        </w:tc>
        <w:tc>
          <w:tcPr>
            <w:tcW w:w="1194" w:type="dxa"/>
            <w:shd w:val="clear" w:color="auto" w:fill="auto"/>
            <w:vAlign w:val="center"/>
          </w:tcPr>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707A5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94" w:type="dxa"/>
            <w:shd w:val="clear" w:color="auto" w:fill="auto"/>
            <w:vAlign w:val="center"/>
          </w:tcPr>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707A5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94"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343"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94"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1048" w:type="dxa"/>
            <w:shd w:val="clear" w:color="auto" w:fill="auto"/>
            <w:vAlign w:val="center"/>
          </w:tcPr>
          <w:p w:rsidR="007D1292" w:rsidRPr="008640AE" w:rsidRDefault="007D1292" w:rsidP="00707A5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9A02A0">
        <w:trPr>
          <w:jc w:val="center"/>
        </w:trPr>
        <w:tc>
          <w:tcPr>
            <w:tcW w:w="1701" w:type="dxa"/>
            <w:vAlign w:val="center"/>
          </w:tcPr>
          <w:p w:rsidR="009A02A0" w:rsidRDefault="009A02A0">
            <w:pPr>
              <w:jc w:val="left"/>
            </w:pPr>
            <w:r>
              <w:rPr>
                <w:color w:val="000000"/>
                <w:sz w:val="24"/>
              </w:rPr>
              <w:t>过去三个月</w:t>
            </w:r>
          </w:p>
        </w:tc>
        <w:tc>
          <w:tcPr>
            <w:tcW w:w="1194" w:type="dxa"/>
            <w:vAlign w:val="center"/>
          </w:tcPr>
          <w:p w:rsidR="009A02A0" w:rsidRDefault="009A02A0">
            <w:pPr>
              <w:jc w:val="right"/>
            </w:pPr>
            <w:r>
              <w:rPr>
                <w:color w:val="000000"/>
                <w:sz w:val="24"/>
              </w:rPr>
              <w:t>-6.69%</w:t>
            </w:r>
          </w:p>
        </w:tc>
        <w:tc>
          <w:tcPr>
            <w:tcW w:w="1194" w:type="dxa"/>
            <w:vAlign w:val="center"/>
          </w:tcPr>
          <w:p w:rsidR="009A02A0" w:rsidRDefault="009A02A0">
            <w:pPr>
              <w:jc w:val="right"/>
            </w:pPr>
            <w:r>
              <w:rPr>
                <w:color w:val="000000"/>
                <w:sz w:val="24"/>
              </w:rPr>
              <w:t>0.71%</w:t>
            </w:r>
          </w:p>
        </w:tc>
        <w:tc>
          <w:tcPr>
            <w:tcW w:w="1194" w:type="dxa"/>
            <w:vAlign w:val="center"/>
          </w:tcPr>
          <w:p w:rsidR="009A02A0" w:rsidRDefault="009A02A0">
            <w:pPr>
              <w:jc w:val="right"/>
            </w:pPr>
            <w:r>
              <w:rPr>
                <w:color w:val="000000"/>
                <w:sz w:val="24"/>
              </w:rPr>
              <w:t>1.19%</w:t>
            </w:r>
          </w:p>
        </w:tc>
        <w:tc>
          <w:tcPr>
            <w:tcW w:w="1343" w:type="dxa"/>
            <w:vAlign w:val="center"/>
          </w:tcPr>
          <w:p w:rsidR="009A02A0" w:rsidRDefault="009A02A0">
            <w:pPr>
              <w:jc w:val="right"/>
            </w:pPr>
            <w:r>
              <w:rPr>
                <w:color w:val="000000"/>
                <w:sz w:val="24"/>
              </w:rPr>
              <w:t>0.62%</w:t>
            </w:r>
          </w:p>
        </w:tc>
        <w:tc>
          <w:tcPr>
            <w:tcW w:w="1194" w:type="dxa"/>
            <w:vAlign w:val="center"/>
          </w:tcPr>
          <w:p w:rsidR="009A02A0" w:rsidRPr="009A02A0" w:rsidRDefault="002D0DE5">
            <w:pPr>
              <w:jc w:val="right"/>
            </w:pPr>
            <w:r w:rsidRPr="002D0DE5">
              <w:rPr>
                <w:color w:val="000000"/>
                <w:sz w:val="24"/>
              </w:rPr>
              <w:t>-7.88%</w:t>
            </w:r>
          </w:p>
        </w:tc>
        <w:tc>
          <w:tcPr>
            <w:tcW w:w="1048" w:type="dxa"/>
            <w:vAlign w:val="center"/>
          </w:tcPr>
          <w:p w:rsidR="009A02A0" w:rsidRPr="009A02A0" w:rsidRDefault="002D0DE5">
            <w:pPr>
              <w:jc w:val="right"/>
            </w:pPr>
            <w:r w:rsidRPr="002D0DE5">
              <w:rPr>
                <w:color w:val="000000"/>
                <w:sz w:val="24"/>
              </w:rPr>
              <w:t>0.09%</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3.2.2</w:t>
      </w:r>
      <w:r w:rsidRPr="008640AE">
        <w:rPr>
          <w:b/>
          <w:color w:val="000000"/>
          <w:kern w:val="0"/>
          <w:sz w:val="24"/>
        </w:rPr>
        <w:t xml:space="preserve">　</w:t>
      </w:r>
      <w:r w:rsidR="006A3F7F" w:rsidRPr="008640AE">
        <w:rPr>
          <w:b/>
          <w:color w:val="000000"/>
          <w:kern w:val="0"/>
          <w:sz w:val="24"/>
        </w:rPr>
        <w:t>自基金合同生效以来基金份额累计净值增长率变动及其与同期业绩比较基准收益率变动的比较</w:t>
      </w:r>
    </w:p>
    <w:p w:rsidR="00A96FD9" w:rsidRPr="008640AE" w:rsidRDefault="00A96FD9" w:rsidP="00707A5E">
      <w:pPr>
        <w:spacing w:before="29" w:line="288" w:lineRule="auto"/>
        <w:jc w:val="center"/>
        <w:rPr>
          <w:sz w:val="24"/>
        </w:rPr>
      </w:pPr>
      <w:r w:rsidRPr="008640AE">
        <w:rPr>
          <w:sz w:val="24"/>
        </w:rPr>
        <w:t>交银施罗德全球自然资源证券投资基金</w:t>
      </w:r>
    </w:p>
    <w:p w:rsidR="00FB39F7" w:rsidRPr="008640AE" w:rsidRDefault="00F94B4D" w:rsidP="00707A5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707A5E">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2014</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707A5E">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707A5E">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707A5E">
      <w:pPr>
        <w:autoSpaceDE w:val="0"/>
        <w:autoSpaceDN w:val="0"/>
        <w:adjustRightInd w:val="0"/>
        <w:spacing w:before="29" w:line="288" w:lineRule="auto"/>
        <w:jc w:val="left"/>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707A5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707A5E">
            <w:pPr>
              <w:widowControl/>
              <w:spacing w:before="29" w:line="288" w:lineRule="auto"/>
              <w:jc w:val="left"/>
              <w:rPr>
                <w:color w:val="000000"/>
                <w:kern w:val="0"/>
                <w:sz w:val="24"/>
              </w:rPr>
            </w:pPr>
          </w:p>
        </w:tc>
        <w:tc>
          <w:tcPr>
            <w:tcW w:w="850" w:type="dxa"/>
            <w:vMerge/>
            <w:vAlign w:val="center"/>
          </w:tcPr>
          <w:p w:rsidR="007D1292" w:rsidRPr="008640AE" w:rsidRDefault="007D1292" w:rsidP="00707A5E">
            <w:pPr>
              <w:widowControl/>
              <w:spacing w:before="29" w:line="288" w:lineRule="auto"/>
              <w:jc w:val="left"/>
              <w:rPr>
                <w:color w:val="000000"/>
                <w:kern w:val="0"/>
                <w:sz w:val="24"/>
              </w:rPr>
            </w:pPr>
          </w:p>
        </w:tc>
        <w:tc>
          <w:tcPr>
            <w:tcW w:w="1560" w:type="dxa"/>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707A5E">
            <w:pPr>
              <w:widowControl/>
              <w:spacing w:before="29" w:line="288" w:lineRule="auto"/>
              <w:jc w:val="left"/>
              <w:rPr>
                <w:color w:val="000000"/>
                <w:kern w:val="0"/>
                <w:sz w:val="24"/>
              </w:rPr>
            </w:pPr>
          </w:p>
        </w:tc>
        <w:tc>
          <w:tcPr>
            <w:tcW w:w="2694" w:type="dxa"/>
            <w:vMerge/>
            <w:vAlign w:val="center"/>
          </w:tcPr>
          <w:p w:rsidR="007D1292" w:rsidRPr="008640AE" w:rsidRDefault="007D1292" w:rsidP="00707A5E">
            <w:pPr>
              <w:widowControl/>
              <w:spacing w:before="29" w:line="288" w:lineRule="auto"/>
              <w:jc w:val="left"/>
              <w:rPr>
                <w:color w:val="000000"/>
                <w:kern w:val="0"/>
                <w:sz w:val="24"/>
              </w:rPr>
            </w:pPr>
          </w:p>
        </w:tc>
      </w:tr>
      <w:tr w:rsidR="00891D1C">
        <w:trPr>
          <w:jc w:val="center"/>
        </w:trPr>
        <w:tc>
          <w:tcPr>
            <w:tcW w:w="846" w:type="dxa"/>
            <w:vAlign w:val="center"/>
          </w:tcPr>
          <w:p w:rsidR="00891D1C" w:rsidRDefault="000128F8">
            <w:pPr>
              <w:jc w:val="center"/>
            </w:pPr>
            <w:r>
              <w:rPr>
                <w:color w:val="000000"/>
                <w:sz w:val="24"/>
              </w:rPr>
              <w:t>饶超</w:t>
            </w:r>
          </w:p>
        </w:tc>
        <w:tc>
          <w:tcPr>
            <w:tcW w:w="845" w:type="dxa"/>
            <w:vAlign w:val="center"/>
          </w:tcPr>
          <w:p w:rsidR="00891D1C" w:rsidRDefault="000128F8">
            <w:pPr>
              <w:jc w:val="center"/>
            </w:pPr>
            <w:r>
              <w:rPr>
                <w:color w:val="000000"/>
                <w:sz w:val="24"/>
              </w:rPr>
              <w:t>本基金、交银施罗德环球精选价值证券投资基金的基金经理</w:t>
            </w:r>
          </w:p>
        </w:tc>
        <w:tc>
          <w:tcPr>
            <w:tcW w:w="1549" w:type="dxa"/>
            <w:vAlign w:val="center"/>
          </w:tcPr>
          <w:p w:rsidR="00891D1C" w:rsidRDefault="000128F8">
            <w:pPr>
              <w:jc w:val="center"/>
            </w:pPr>
            <w:r>
              <w:rPr>
                <w:color w:val="000000"/>
                <w:sz w:val="24"/>
              </w:rPr>
              <w:t>2012-07-27</w:t>
            </w:r>
          </w:p>
        </w:tc>
        <w:tc>
          <w:tcPr>
            <w:tcW w:w="1548" w:type="dxa"/>
            <w:vAlign w:val="center"/>
          </w:tcPr>
          <w:p w:rsidR="00891D1C" w:rsidRDefault="000128F8">
            <w:pPr>
              <w:jc w:val="center"/>
            </w:pPr>
            <w:r>
              <w:rPr>
                <w:color w:val="000000"/>
                <w:sz w:val="24"/>
              </w:rPr>
              <w:t>2014-01-24</w:t>
            </w:r>
          </w:p>
        </w:tc>
        <w:tc>
          <w:tcPr>
            <w:tcW w:w="1407" w:type="dxa"/>
            <w:vAlign w:val="center"/>
          </w:tcPr>
          <w:p w:rsidR="00891D1C" w:rsidRDefault="000128F8">
            <w:pPr>
              <w:jc w:val="center"/>
            </w:pPr>
            <w:r>
              <w:rPr>
                <w:color w:val="000000"/>
                <w:sz w:val="24"/>
              </w:rPr>
              <w:t>7</w:t>
            </w:r>
            <w:r>
              <w:rPr>
                <w:color w:val="000000"/>
                <w:sz w:val="24"/>
              </w:rPr>
              <w:t>年</w:t>
            </w:r>
          </w:p>
        </w:tc>
        <w:tc>
          <w:tcPr>
            <w:tcW w:w="2673" w:type="dxa"/>
            <w:vAlign w:val="center"/>
          </w:tcPr>
          <w:p w:rsidR="00891D1C" w:rsidRDefault="000128F8">
            <w:pPr>
              <w:jc w:val="left"/>
            </w:pPr>
            <w:r>
              <w:rPr>
                <w:color w:val="000000"/>
                <w:sz w:val="24"/>
              </w:rPr>
              <w:t>饶超先生，中国国籍。北京邮电大学硕士，美国马里兰大学</w:t>
            </w:r>
            <w:r>
              <w:rPr>
                <w:color w:val="000000"/>
                <w:sz w:val="24"/>
              </w:rPr>
              <w:t>MBA</w:t>
            </w:r>
            <w:r>
              <w:rPr>
                <w:color w:val="000000"/>
                <w:sz w:val="24"/>
              </w:rPr>
              <w:t>。历任美国</w:t>
            </w:r>
            <w:r>
              <w:rPr>
                <w:color w:val="000000"/>
                <w:sz w:val="24"/>
              </w:rPr>
              <w:t>Truffle Hound Capital,LLC</w:t>
            </w:r>
            <w:r>
              <w:rPr>
                <w:color w:val="000000"/>
                <w:sz w:val="24"/>
              </w:rPr>
              <w:t>高级研究员，</w:t>
            </w:r>
            <w:r>
              <w:rPr>
                <w:color w:val="000000"/>
                <w:sz w:val="24"/>
              </w:rPr>
              <w:t>2009</w:t>
            </w:r>
            <w:r>
              <w:rPr>
                <w:color w:val="000000"/>
                <w:sz w:val="24"/>
              </w:rPr>
              <w:t>年加入交银施罗德基金管理有限公司，历任行业分析师、</w:t>
            </w:r>
            <w:r>
              <w:rPr>
                <w:color w:val="000000"/>
                <w:sz w:val="24"/>
              </w:rPr>
              <w:t>QDII</w:t>
            </w:r>
            <w:r>
              <w:rPr>
                <w:color w:val="000000"/>
                <w:sz w:val="24"/>
              </w:rPr>
              <w:t>高级分析师，</w:t>
            </w:r>
            <w:r>
              <w:rPr>
                <w:color w:val="000000"/>
                <w:sz w:val="24"/>
              </w:rPr>
              <w:t>2012</w:t>
            </w:r>
            <w:r>
              <w:rPr>
                <w:color w:val="000000"/>
                <w:sz w:val="24"/>
              </w:rPr>
              <w:t>年</w:t>
            </w:r>
            <w:r>
              <w:rPr>
                <w:color w:val="000000"/>
                <w:sz w:val="24"/>
              </w:rPr>
              <w:t>4</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w:t>
            </w:r>
            <w:r>
              <w:rPr>
                <w:color w:val="000000"/>
                <w:sz w:val="24"/>
              </w:rPr>
              <w:t>月</w:t>
            </w:r>
            <w:r>
              <w:rPr>
                <w:color w:val="000000"/>
                <w:sz w:val="24"/>
              </w:rPr>
              <w:t>23</w:t>
            </w:r>
            <w:r>
              <w:rPr>
                <w:color w:val="000000"/>
                <w:sz w:val="24"/>
              </w:rPr>
              <w:t>日担任交银施罗德环球精选价值证券投资基金基金经理。</w:t>
            </w:r>
          </w:p>
        </w:tc>
      </w:tr>
      <w:tr w:rsidR="00891D1C">
        <w:trPr>
          <w:jc w:val="center"/>
        </w:trPr>
        <w:tc>
          <w:tcPr>
            <w:tcW w:w="846" w:type="dxa"/>
            <w:vAlign w:val="center"/>
          </w:tcPr>
          <w:p w:rsidR="00891D1C" w:rsidRDefault="000128F8">
            <w:pPr>
              <w:jc w:val="center"/>
            </w:pPr>
            <w:r>
              <w:rPr>
                <w:color w:val="000000"/>
                <w:sz w:val="24"/>
              </w:rPr>
              <w:t>晏青</w:t>
            </w:r>
          </w:p>
        </w:tc>
        <w:tc>
          <w:tcPr>
            <w:tcW w:w="845" w:type="dxa"/>
            <w:vAlign w:val="center"/>
          </w:tcPr>
          <w:p w:rsidR="00891D1C" w:rsidRDefault="000128F8">
            <w:pPr>
              <w:jc w:val="center"/>
            </w:pPr>
            <w:r>
              <w:rPr>
                <w:color w:val="000000"/>
                <w:sz w:val="24"/>
              </w:rPr>
              <w:t>本基金、交银施罗德环球精选价值证券投资基金的基金经理</w:t>
            </w:r>
          </w:p>
        </w:tc>
        <w:tc>
          <w:tcPr>
            <w:tcW w:w="1549" w:type="dxa"/>
            <w:vAlign w:val="center"/>
          </w:tcPr>
          <w:p w:rsidR="00891D1C" w:rsidRDefault="000128F8">
            <w:pPr>
              <w:jc w:val="center"/>
            </w:pPr>
            <w:r>
              <w:rPr>
                <w:color w:val="000000"/>
                <w:sz w:val="24"/>
              </w:rPr>
              <w:t>2014-01-10</w:t>
            </w:r>
          </w:p>
        </w:tc>
        <w:tc>
          <w:tcPr>
            <w:tcW w:w="1548" w:type="dxa"/>
            <w:vAlign w:val="center"/>
          </w:tcPr>
          <w:p w:rsidR="00891D1C" w:rsidRDefault="000128F8">
            <w:pPr>
              <w:jc w:val="center"/>
            </w:pPr>
            <w:r>
              <w:rPr>
                <w:color w:val="000000"/>
                <w:sz w:val="24"/>
              </w:rPr>
              <w:t>-</w:t>
            </w:r>
          </w:p>
        </w:tc>
        <w:tc>
          <w:tcPr>
            <w:tcW w:w="1407" w:type="dxa"/>
            <w:vAlign w:val="center"/>
          </w:tcPr>
          <w:p w:rsidR="00891D1C" w:rsidRDefault="000128F8">
            <w:pPr>
              <w:jc w:val="center"/>
            </w:pPr>
            <w:r>
              <w:rPr>
                <w:color w:val="000000"/>
                <w:sz w:val="24"/>
              </w:rPr>
              <w:t>8</w:t>
            </w:r>
            <w:r>
              <w:rPr>
                <w:color w:val="000000"/>
                <w:sz w:val="24"/>
              </w:rPr>
              <w:t>年</w:t>
            </w:r>
          </w:p>
        </w:tc>
        <w:tc>
          <w:tcPr>
            <w:tcW w:w="2673" w:type="dxa"/>
            <w:vAlign w:val="center"/>
          </w:tcPr>
          <w:p w:rsidR="00891D1C" w:rsidRDefault="000128F8">
            <w:pPr>
              <w:jc w:val="left"/>
            </w:pPr>
            <w:r>
              <w:rPr>
                <w:color w:val="000000"/>
                <w:sz w:val="24"/>
              </w:rPr>
              <w:t>晏青先生，中国国籍。上海交通大学硕士。</w:t>
            </w:r>
            <w:r>
              <w:rPr>
                <w:color w:val="000000"/>
                <w:sz w:val="24"/>
              </w:rPr>
              <w:t>2006</w:t>
            </w:r>
            <w:r>
              <w:rPr>
                <w:color w:val="000000"/>
                <w:sz w:val="24"/>
              </w:rPr>
              <w:t>年加入交银施罗德基金管理有限公司，历任行业分析师、</w:t>
            </w:r>
            <w:r>
              <w:rPr>
                <w:color w:val="000000"/>
                <w:sz w:val="24"/>
              </w:rPr>
              <w:t>QDII</w:t>
            </w:r>
            <w:r>
              <w:rPr>
                <w:color w:val="000000"/>
                <w:sz w:val="24"/>
              </w:rPr>
              <w:t>高级分析师。</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891D1C">
        <w:trPr>
          <w:jc w:val="center"/>
        </w:trPr>
        <w:tc>
          <w:tcPr>
            <w:tcW w:w="2070" w:type="dxa"/>
            <w:vAlign w:val="center"/>
          </w:tcPr>
          <w:p w:rsidR="00891D1C" w:rsidRDefault="000128F8">
            <w:pPr>
              <w:jc w:val="center"/>
            </w:pPr>
            <w:r>
              <w:rPr>
                <w:color w:val="000000"/>
                <w:sz w:val="24"/>
              </w:rPr>
              <w:t>Simon Webber</w:t>
            </w:r>
          </w:p>
        </w:tc>
        <w:tc>
          <w:tcPr>
            <w:tcW w:w="2465" w:type="dxa"/>
            <w:vAlign w:val="center"/>
          </w:tcPr>
          <w:p w:rsidR="00891D1C" w:rsidRDefault="000128F8">
            <w:pPr>
              <w:jc w:val="center"/>
            </w:pPr>
            <w:r>
              <w:rPr>
                <w:color w:val="000000"/>
                <w:sz w:val="24"/>
              </w:rPr>
              <w:t>施罗德集团多区域（全球及国际）股票投资主管、全球和国际股票基金经理、全球气候变化股票基金经理</w:t>
            </w:r>
          </w:p>
        </w:tc>
        <w:tc>
          <w:tcPr>
            <w:tcW w:w="2116" w:type="dxa"/>
            <w:vAlign w:val="center"/>
          </w:tcPr>
          <w:p w:rsidR="00891D1C" w:rsidRDefault="000128F8">
            <w:pPr>
              <w:jc w:val="center"/>
            </w:pPr>
            <w:r>
              <w:rPr>
                <w:color w:val="000000"/>
                <w:sz w:val="24"/>
              </w:rPr>
              <w:t>15</w:t>
            </w:r>
            <w:r>
              <w:rPr>
                <w:color w:val="000000"/>
                <w:sz w:val="24"/>
              </w:rPr>
              <w:t>年</w:t>
            </w:r>
          </w:p>
        </w:tc>
        <w:tc>
          <w:tcPr>
            <w:tcW w:w="2217" w:type="dxa"/>
            <w:vAlign w:val="center"/>
          </w:tcPr>
          <w:p w:rsidR="00891D1C" w:rsidRDefault="000128F8">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707A5E">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707A5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891D1C" w:rsidRDefault="000128F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1D1C" w:rsidRDefault="000128F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1D1C" w:rsidRDefault="000128F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707A5E">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707A5E">
      <w:pPr>
        <w:spacing w:before="29" w:line="288" w:lineRule="auto"/>
        <w:ind w:firstLineChars="200" w:firstLine="480"/>
        <w:rPr>
          <w:color w:val="000000"/>
          <w:sz w:val="24"/>
        </w:rPr>
      </w:pPr>
    </w:p>
    <w:p w:rsidR="00AB42E2" w:rsidRPr="008640AE" w:rsidRDefault="00AB42E2" w:rsidP="00707A5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707A5E">
      <w:pPr>
        <w:spacing w:before="29" w:line="288" w:lineRule="auto"/>
        <w:ind w:firstLineChars="200" w:firstLine="480"/>
        <w:rPr>
          <w:color w:val="000000"/>
          <w:sz w:val="24"/>
        </w:rPr>
      </w:pPr>
      <w:r w:rsidRPr="008640AE">
        <w:rPr>
          <w:color w:val="000000"/>
          <w:sz w:val="24"/>
        </w:rPr>
        <w:t>本报告期内，本公司管理的所有投资组合未发生参与的交易所公开竞价同日反向交易成交较少的单边交易量超过该证券当日总成交量</w:t>
      </w:r>
      <w:r w:rsidRPr="008640AE">
        <w:rPr>
          <w:color w:val="000000"/>
          <w:sz w:val="24"/>
        </w:rPr>
        <w:t>5%</w:t>
      </w:r>
      <w:r w:rsidRPr="008640AE">
        <w:rPr>
          <w:color w:val="000000"/>
          <w:sz w:val="24"/>
        </w:rPr>
        <w:t>的情形。本基金于本报告期内未出现异常交易行为。</w:t>
      </w:r>
    </w:p>
    <w:p w:rsidR="0076518F" w:rsidRPr="008640AE" w:rsidRDefault="0076518F" w:rsidP="00707A5E">
      <w:pPr>
        <w:autoSpaceDE w:val="0"/>
        <w:autoSpaceDN w:val="0"/>
        <w:adjustRightInd w:val="0"/>
        <w:spacing w:before="29" w:line="288" w:lineRule="auto"/>
        <w:jc w:val="left"/>
        <w:rPr>
          <w:b/>
          <w:color w:val="000000"/>
          <w:kern w:val="0"/>
          <w:sz w:val="24"/>
        </w:rPr>
      </w:pPr>
    </w:p>
    <w:p w:rsidR="00462B61" w:rsidRPr="008640AE" w:rsidRDefault="009D0169" w:rsidP="00707A5E">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891D1C" w:rsidRDefault="000128F8">
      <w:pPr>
        <w:spacing w:before="29" w:line="288" w:lineRule="auto"/>
        <w:ind w:firstLineChars="200" w:firstLine="480"/>
        <w:rPr>
          <w:color w:val="000000"/>
          <w:sz w:val="24"/>
        </w:rPr>
      </w:pPr>
      <w:r>
        <w:rPr>
          <w:color w:val="000000"/>
          <w:sz w:val="24"/>
        </w:rPr>
        <w:t>2014</w:t>
      </w:r>
      <w:r>
        <w:rPr>
          <w:color w:val="000000"/>
          <w:sz w:val="24"/>
        </w:rPr>
        <w:t>年一季度本基金净值下跌</w:t>
      </w:r>
      <w:r>
        <w:rPr>
          <w:color w:val="000000"/>
          <w:sz w:val="24"/>
        </w:rPr>
        <w:t>6.69%</w:t>
      </w:r>
      <w:r>
        <w:rPr>
          <w:color w:val="000000"/>
          <w:sz w:val="24"/>
        </w:rPr>
        <w:t>。海外市场在第一季度波动加剧，各个国家和指数涨跌互现，美国和欧洲等发达市场微幅上涨，日本、香港和俄罗斯等新兴市场股市表现较差。去年表现不佳的商品呈现出相当强劲的表现，贵金属和农产品价格涨幅巨大，天然气也表现良好，只有工业金属录得跌幅，</w:t>
      </w:r>
      <w:r>
        <w:rPr>
          <w:color w:val="000000"/>
          <w:sz w:val="24"/>
        </w:rPr>
        <w:t>MSCI</w:t>
      </w:r>
      <w:r>
        <w:rPr>
          <w:color w:val="000000"/>
          <w:sz w:val="24"/>
        </w:rPr>
        <w:t>全球材料分类指数和</w:t>
      </w:r>
      <w:r>
        <w:rPr>
          <w:color w:val="000000"/>
          <w:sz w:val="24"/>
        </w:rPr>
        <w:t>MSCI</w:t>
      </w:r>
      <w:r>
        <w:rPr>
          <w:color w:val="000000"/>
          <w:sz w:val="24"/>
        </w:rPr>
        <w:t>全球能源分类指数均上涨。本基金重点配置了相对防御的北美和香港能源服务和环保行业，未能有效参与大类资产价格反弹的机会。</w:t>
      </w:r>
    </w:p>
    <w:p w:rsidR="00B0116D" w:rsidRPr="008640AE" w:rsidRDefault="00B0116D" w:rsidP="00707A5E">
      <w:pPr>
        <w:spacing w:before="29" w:line="288" w:lineRule="auto"/>
        <w:ind w:firstLineChars="200" w:firstLine="480"/>
        <w:rPr>
          <w:color w:val="000000"/>
          <w:sz w:val="24"/>
        </w:rPr>
      </w:pPr>
      <w:r w:rsidRPr="008640AE">
        <w:rPr>
          <w:color w:val="000000"/>
          <w:sz w:val="24"/>
        </w:rPr>
        <w:t>展望未来一个季度，影响资源类股票的主要因素依然是全球宏观经济基本面和货币政策，我们将持续关注这两大因素的变化。考虑到全球发达经济体普遍开始复苏，但由于复苏进程的不一导致货币政策节奏的差异，市场波动将继续加剧。我们将坚持一贯的精选个股原则，努力为投资人带来持续的回报。</w:t>
      </w:r>
    </w:p>
    <w:p w:rsidR="00FD7298" w:rsidRPr="008640AE" w:rsidRDefault="00B0116D" w:rsidP="00707A5E">
      <w:pPr>
        <w:spacing w:before="29" w:line="288" w:lineRule="auto"/>
        <w:ind w:firstLineChars="200" w:firstLine="480"/>
        <w:rPr>
          <w:color w:val="000000"/>
          <w:sz w:val="24"/>
        </w:rPr>
      </w:pPr>
      <w:r w:rsidRPr="008640AE">
        <w:rPr>
          <w:color w:val="000000"/>
          <w:sz w:val="24"/>
        </w:rPr>
        <w:t>截至</w:t>
      </w:r>
      <w:r w:rsidRPr="008640AE">
        <w:rPr>
          <w:color w:val="000000"/>
          <w:sz w:val="24"/>
        </w:rPr>
        <w:t>2014</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1.155</w:t>
      </w:r>
      <w:r w:rsidRPr="008640AE">
        <w:rPr>
          <w:color w:val="000000"/>
          <w:sz w:val="24"/>
        </w:rPr>
        <w:t>元，本报告期份额净值增长率为</w:t>
      </w:r>
      <w:r w:rsidRPr="008640AE">
        <w:rPr>
          <w:color w:val="000000"/>
          <w:sz w:val="24"/>
        </w:rPr>
        <w:t>-6.69%</w:t>
      </w:r>
      <w:r w:rsidRPr="008640AE">
        <w:rPr>
          <w:color w:val="000000"/>
          <w:sz w:val="24"/>
        </w:rPr>
        <w:t>，同期业绩比较基准增长率为</w:t>
      </w:r>
      <w:r w:rsidRPr="008640AE">
        <w:rPr>
          <w:color w:val="000000"/>
          <w:sz w:val="24"/>
        </w:rPr>
        <w:t>1.19%</w:t>
      </w:r>
      <w:r w:rsidRPr="008640AE">
        <w:rPr>
          <w:color w:val="000000"/>
          <w:sz w:val="24"/>
        </w:rPr>
        <w:t>。</w:t>
      </w:r>
    </w:p>
    <w:p w:rsidR="00C736BB" w:rsidRPr="008640AE" w:rsidRDefault="00C736BB" w:rsidP="00707A5E">
      <w:pPr>
        <w:spacing w:before="29" w:line="288" w:lineRule="auto"/>
        <w:ind w:firstLineChars="200" w:firstLine="480"/>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707A5E">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9,589,624.92</w:t>
            </w:r>
          </w:p>
        </w:tc>
        <w:tc>
          <w:tcPr>
            <w:tcW w:w="1559"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82.75</w:t>
            </w:r>
          </w:p>
        </w:tc>
      </w:tr>
      <w:tr w:rsidR="00363E15" w:rsidRPr="008640AE" w:rsidTr="00844DF5">
        <w:trPr>
          <w:jc w:val="center"/>
        </w:trPr>
        <w:tc>
          <w:tcPr>
            <w:tcW w:w="851" w:type="dxa"/>
            <w:shd w:val="clear" w:color="auto" w:fill="auto"/>
            <w:vAlign w:val="center"/>
          </w:tcPr>
          <w:p w:rsidR="00363E15" w:rsidRPr="008640AE" w:rsidRDefault="00363E15" w:rsidP="00707A5E">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707A5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9,589,624.92</w:t>
            </w:r>
          </w:p>
        </w:tc>
        <w:tc>
          <w:tcPr>
            <w:tcW w:w="1559" w:type="dxa"/>
            <w:shd w:val="clear" w:color="auto" w:fill="auto"/>
            <w:vAlign w:val="center"/>
          </w:tcPr>
          <w:p w:rsidR="00363E15" w:rsidRPr="008640AE" w:rsidRDefault="00363E15" w:rsidP="00707A5E">
            <w:pPr>
              <w:spacing w:before="29" w:line="288" w:lineRule="auto"/>
              <w:ind w:left="17"/>
              <w:jc w:val="right"/>
              <w:rPr>
                <w:color w:val="000000"/>
                <w:sz w:val="24"/>
              </w:rPr>
            </w:pPr>
            <w:r w:rsidRPr="008640AE">
              <w:rPr>
                <w:color w:val="000000"/>
                <w:sz w:val="24"/>
              </w:rPr>
              <w:t>82.75</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707A5E">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707A5E">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707A5E">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707A5E">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707A5E">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707A5E">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707A5E">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707A5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707A5E">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1,811,927.74</w:t>
            </w:r>
          </w:p>
        </w:tc>
        <w:tc>
          <w:tcPr>
            <w:tcW w:w="1559" w:type="dxa"/>
            <w:shd w:val="clear" w:color="auto" w:fill="auto"/>
            <w:vAlign w:val="center"/>
          </w:tcPr>
          <w:p w:rsidR="00E462F4" w:rsidRPr="008640AE" w:rsidRDefault="00E462F4" w:rsidP="00707A5E">
            <w:pPr>
              <w:spacing w:before="29" w:line="288" w:lineRule="auto"/>
              <w:ind w:left="17"/>
              <w:jc w:val="right"/>
              <w:rPr>
                <w:color w:val="000000"/>
                <w:sz w:val="24"/>
              </w:rPr>
            </w:pPr>
            <w:r w:rsidRPr="008640AE">
              <w:rPr>
                <w:color w:val="000000"/>
                <w:sz w:val="24"/>
              </w:rPr>
              <w:t>15.64</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707A5E">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187,022.87</w:t>
            </w:r>
          </w:p>
        </w:tc>
        <w:tc>
          <w:tcPr>
            <w:tcW w:w="1559"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1.61</w:t>
            </w:r>
          </w:p>
        </w:tc>
      </w:tr>
      <w:tr w:rsidR="00E462F4" w:rsidRPr="008640AE" w:rsidTr="00844DF5">
        <w:trPr>
          <w:jc w:val="center"/>
        </w:trPr>
        <w:tc>
          <w:tcPr>
            <w:tcW w:w="851" w:type="dxa"/>
            <w:shd w:val="clear" w:color="auto" w:fill="auto"/>
            <w:vAlign w:val="center"/>
          </w:tcPr>
          <w:p w:rsidR="00E462F4" w:rsidRPr="008640AE" w:rsidRDefault="00E462F4" w:rsidP="00707A5E">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707A5E">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11,588,575.53</w:t>
            </w:r>
          </w:p>
        </w:tc>
        <w:tc>
          <w:tcPr>
            <w:tcW w:w="1559" w:type="dxa"/>
            <w:shd w:val="clear" w:color="auto" w:fill="auto"/>
            <w:vAlign w:val="center"/>
          </w:tcPr>
          <w:p w:rsidR="00E462F4" w:rsidRPr="008640AE" w:rsidRDefault="00E462F4" w:rsidP="00707A5E">
            <w:pPr>
              <w:spacing w:before="29" w:line="288" w:lineRule="auto"/>
              <w:jc w:val="right"/>
              <w:rPr>
                <w:color w:val="000000"/>
                <w:sz w:val="24"/>
              </w:rPr>
            </w:pPr>
            <w:r w:rsidRPr="008640AE">
              <w:rPr>
                <w:color w:val="000000"/>
                <w:sz w:val="24"/>
              </w:rPr>
              <w:t>100.00</w:t>
            </w:r>
          </w:p>
        </w:tc>
      </w:tr>
    </w:tbl>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891D1C">
        <w:trPr>
          <w:jc w:val="center"/>
        </w:trPr>
        <w:tc>
          <w:tcPr>
            <w:tcW w:w="2484" w:type="dxa"/>
            <w:vAlign w:val="center"/>
          </w:tcPr>
          <w:p w:rsidR="00891D1C" w:rsidRDefault="000128F8">
            <w:pPr>
              <w:jc w:val="left"/>
            </w:pPr>
            <w:r>
              <w:rPr>
                <w:color w:val="000000"/>
                <w:sz w:val="24"/>
              </w:rPr>
              <w:t>香港</w:t>
            </w:r>
          </w:p>
        </w:tc>
        <w:tc>
          <w:tcPr>
            <w:tcW w:w="3214" w:type="dxa"/>
            <w:vAlign w:val="center"/>
          </w:tcPr>
          <w:p w:rsidR="00891D1C" w:rsidRDefault="000128F8">
            <w:pPr>
              <w:jc w:val="right"/>
            </w:pPr>
            <w:r>
              <w:rPr>
                <w:color w:val="000000"/>
                <w:sz w:val="24"/>
              </w:rPr>
              <w:t>5,647,114.39</w:t>
            </w:r>
          </w:p>
        </w:tc>
        <w:tc>
          <w:tcPr>
            <w:tcW w:w="3170" w:type="dxa"/>
            <w:vAlign w:val="center"/>
          </w:tcPr>
          <w:p w:rsidR="00891D1C" w:rsidRDefault="000128F8">
            <w:pPr>
              <w:jc w:val="right"/>
            </w:pPr>
            <w:r>
              <w:rPr>
                <w:color w:val="000000"/>
                <w:sz w:val="24"/>
              </w:rPr>
              <w:t>56.48</w:t>
            </w:r>
          </w:p>
        </w:tc>
      </w:tr>
      <w:tr w:rsidR="00891D1C">
        <w:trPr>
          <w:jc w:val="center"/>
        </w:trPr>
        <w:tc>
          <w:tcPr>
            <w:tcW w:w="2484" w:type="dxa"/>
            <w:vAlign w:val="center"/>
          </w:tcPr>
          <w:p w:rsidR="00891D1C" w:rsidRDefault="000128F8">
            <w:pPr>
              <w:jc w:val="left"/>
            </w:pPr>
            <w:r>
              <w:rPr>
                <w:color w:val="000000"/>
                <w:sz w:val="24"/>
              </w:rPr>
              <w:t>美国</w:t>
            </w:r>
          </w:p>
        </w:tc>
        <w:tc>
          <w:tcPr>
            <w:tcW w:w="3214" w:type="dxa"/>
            <w:vAlign w:val="center"/>
          </w:tcPr>
          <w:p w:rsidR="00891D1C" w:rsidRDefault="000128F8">
            <w:pPr>
              <w:jc w:val="right"/>
            </w:pPr>
            <w:r>
              <w:rPr>
                <w:color w:val="000000"/>
                <w:sz w:val="24"/>
              </w:rPr>
              <w:t>3,942,510.53</w:t>
            </w:r>
          </w:p>
        </w:tc>
        <w:tc>
          <w:tcPr>
            <w:tcW w:w="3170" w:type="dxa"/>
            <w:vAlign w:val="center"/>
          </w:tcPr>
          <w:p w:rsidR="00891D1C" w:rsidRDefault="000128F8">
            <w:pPr>
              <w:jc w:val="right"/>
            </w:pPr>
            <w:r>
              <w:rPr>
                <w:color w:val="000000"/>
                <w:sz w:val="24"/>
              </w:rPr>
              <w:t>39.43</w:t>
            </w:r>
          </w:p>
        </w:tc>
      </w:tr>
      <w:tr w:rsidR="002C042C" w:rsidRPr="008640AE" w:rsidTr="00811B44">
        <w:trPr>
          <w:jc w:val="center"/>
        </w:trPr>
        <w:tc>
          <w:tcPr>
            <w:tcW w:w="2410" w:type="dxa"/>
            <w:vAlign w:val="center"/>
          </w:tcPr>
          <w:p w:rsidR="002C042C" w:rsidRPr="008640AE" w:rsidRDefault="002C042C" w:rsidP="00997813">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707A5E">
            <w:pPr>
              <w:autoSpaceDE w:val="0"/>
              <w:autoSpaceDN w:val="0"/>
              <w:adjustRightInd w:val="0"/>
              <w:spacing w:before="29" w:line="288" w:lineRule="auto"/>
              <w:jc w:val="right"/>
              <w:rPr>
                <w:color w:val="000000"/>
                <w:sz w:val="24"/>
              </w:rPr>
            </w:pPr>
            <w:r w:rsidRPr="008640AE">
              <w:rPr>
                <w:color w:val="000000"/>
                <w:sz w:val="24"/>
              </w:rPr>
              <w:t>9,589,624.92</w:t>
            </w:r>
          </w:p>
        </w:tc>
        <w:tc>
          <w:tcPr>
            <w:tcW w:w="3076" w:type="dxa"/>
            <w:vAlign w:val="center"/>
          </w:tcPr>
          <w:p w:rsidR="002C042C" w:rsidRPr="008640AE" w:rsidRDefault="002C042C" w:rsidP="00707A5E">
            <w:pPr>
              <w:autoSpaceDE w:val="0"/>
              <w:autoSpaceDN w:val="0"/>
              <w:adjustRightInd w:val="0"/>
              <w:spacing w:before="29" w:line="288" w:lineRule="auto"/>
              <w:jc w:val="right"/>
              <w:rPr>
                <w:color w:val="000000"/>
                <w:sz w:val="24"/>
              </w:rPr>
            </w:pPr>
            <w:r w:rsidRPr="008640AE">
              <w:rPr>
                <w:color w:val="000000"/>
                <w:sz w:val="24"/>
              </w:rPr>
              <w:t>95.92</w:t>
            </w:r>
          </w:p>
        </w:tc>
      </w:tr>
    </w:tbl>
    <w:p w:rsidR="00891D1C" w:rsidRDefault="000128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707A5E">
      <w:pPr>
        <w:autoSpaceDE w:val="0"/>
        <w:autoSpaceDN w:val="0"/>
        <w:adjustRightInd w:val="0"/>
        <w:spacing w:before="29" w:line="288" w:lineRule="auto"/>
        <w:jc w:val="left"/>
        <w:rPr>
          <w:color w:val="000000"/>
          <w:kern w:val="0"/>
          <w:sz w:val="24"/>
        </w:rPr>
      </w:pPr>
    </w:p>
    <w:p w:rsidR="00C37E98"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707A5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891D1C">
        <w:trPr>
          <w:jc w:val="center"/>
        </w:trPr>
        <w:tc>
          <w:tcPr>
            <w:tcW w:w="2904" w:type="dxa"/>
            <w:vAlign w:val="center"/>
          </w:tcPr>
          <w:p w:rsidR="00891D1C" w:rsidRDefault="000128F8">
            <w:pPr>
              <w:jc w:val="left"/>
            </w:pPr>
            <w:r>
              <w:rPr>
                <w:color w:val="000000"/>
                <w:sz w:val="24"/>
              </w:rPr>
              <w:t>能源</w:t>
            </w:r>
          </w:p>
        </w:tc>
        <w:tc>
          <w:tcPr>
            <w:tcW w:w="2657" w:type="dxa"/>
            <w:vAlign w:val="center"/>
          </w:tcPr>
          <w:p w:rsidR="00891D1C" w:rsidRDefault="000128F8">
            <w:pPr>
              <w:jc w:val="right"/>
            </w:pPr>
            <w:r>
              <w:rPr>
                <w:color w:val="000000"/>
                <w:sz w:val="24"/>
              </w:rPr>
              <w:t>3,213,679.71</w:t>
            </w:r>
          </w:p>
        </w:tc>
        <w:tc>
          <w:tcPr>
            <w:tcW w:w="3307" w:type="dxa"/>
            <w:vAlign w:val="center"/>
          </w:tcPr>
          <w:p w:rsidR="00891D1C" w:rsidRDefault="000128F8">
            <w:pPr>
              <w:jc w:val="right"/>
            </w:pPr>
            <w:r>
              <w:rPr>
                <w:color w:val="000000"/>
                <w:sz w:val="24"/>
              </w:rPr>
              <w:t>32.14</w:t>
            </w:r>
          </w:p>
        </w:tc>
      </w:tr>
      <w:tr w:rsidR="00891D1C">
        <w:trPr>
          <w:jc w:val="center"/>
        </w:trPr>
        <w:tc>
          <w:tcPr>
            <w:tcW w:w="2904" w:type="dxa"/>
            <w:vAlign w:val="center"/>
          </w:tcPr>
          <w:p w:rsidR="00891D1C" w:rsidRDefault="000128F8">
            <w:pPr>
              <w:jc w:val="left"/>
            </w:pPr>
            <w:r>
              <w:rPr>
                <w:color w:val="000000"/>
                <w:sz w:val="24"/>
              </w:rPr>
              <w:t>公共事业</w:t>
            </w:r>
          </w:p>
        </w:tc>
        <w:tc>
          <w:tcPr>
            <w:tcW w:w="2657" w:type="dxa"/>
            <w:vAlign w:val="center"/>
          </w:tcPr>
          <w:p w:rsidR="00891D1C" w:rsidRDefault="000128F8">
            <w:pPr>
              <w:jc w:val="right"/>
            </w:pPr>
            <w:r>
              <w:rPr>
                <w:color w:val="000000"/>
                <w:sz w:val="24"/>
              </w:rPr>
              <w:t>1,412,769.94</w:t>
            </w:r>
          </w:p>
        </w:tc>
        <w:tc>
          <w:tcPr>
            <w:tcW w:w="3307" w:type="dxa"/>
            <w:vAlign w:val="center"/>
          </w:tcPr>
          <w:p w:rsidR="00891D1C" w:rsidRDefault="000128F8">
            <w:pPr>
              <w:jc w:val="right"/>
            </w:pPr>
            <w:r>
              <w:rPr>
                <w:color w:val="000000"/>
                <w:sz w:val="24"/>
              </w:rPr>
              <w:t>14.13</w:t>
            </w:r>
          </w:p>
        </w:tc>
      </w:tr>
      <w:tr w:rsidR="00891D1C">
        <w:trPr>
          <w:jc w:val="center"/>
        </w:trPr>
        <w:tc>
          <w:tcPr>
            <w:tcW w:w="2904" w:type="dxa"/>
            <w:vAlign w:val="center"/>
          </w:tcPr>
          <w:p w:rsidR="00891D1C" w:rsidRDefault="000128F8">
            <w:pPr>
              <w:jc w:val="left"/>
            </w:pPr>
            <w:r>
              <w:rPr>
                <w:color w:val="000000"/>
                <w:sz w:val="24"/>
              </w:rPr>
              <w:t>材料</w:t>
            </w:r>
          </w:p>
        </w:tc>
        <w:tc>
          <w:tcPr>
            <w:tcW w:w="2657" w:type="dxa"/>
            <w:vAlign w:val="center"/>
          </w:tcPr>
          <w:p w:rsidR="00891D1C" w:rsidRDefault="000128F8">
            <w:pPr>
              <w:jc w:val="right"/>
            </w:pPr>
            <w:r>
              <w:rPr>
                <w:color w:val="000000"/>
                <w:sz w:val="24"/>
              </w:rPr>
              <w:t>1,263,894.87</w:t>
            </w:r>
          </w:p>
        </w:tc>
        <w:tc>
          <w:tcPr>
            <w:tcW w:w="3307" w:type="dxa"/>
            <w:vAlign w:val="center"/>
          </w:tcPr>
          <w:p w:rsidR="00891D1C" w:rsidRDefault="000128F8">
            <w:pPr>
              <w:jc w:val="right"/>
            </w:pPr>
            <w:r>
              <w:rPr>
                <w:color w:val="000000"/>
                <w:sz w:val="24"/>
              </w:rPr>
              <w:t>12.64</w:t>
            </w:r>
          </w:p>
        </w:tc>
      </w:tr>
      <w:tr w:rsidR="00891D1C">
        <w:trPr>
          <w:jc w:val="center"/>
        </w:trPr>
        <w:tc>
          <w:tcPr>
            <w:tcW w:w="2904" w:type="dxa"/>
            <w:vAlign w:val="center"/>
          </w:tcPr>
          <w:p w:rsidR="00891D1C" w:rsidRDefault="000128F8">
            <w:pPr>
              <w:jc w:val="left"/>
            </w:pPr>
            <w:r>
              <w:rPr>
                <w:color w:val="000000"/>
                <w:sz w:val="24"/>
              </w:rPr>
              <w:t>工业</w:t>
            </w:r>
          </w:p>
        </w:tc>
        <w:tc>
          <w:tcPr>
            <w:tcW w:w="2657" w:type="dxa"/>
            <w:vAlign w:val="center"/>
          </w:tcPr>
          <w:p w:rsidR="00891D1C" w:rsidRDefault="000128F8">
            <w:pPr>
              <w:jc w:val="right"/>
            </w:pPr>
            <w:r>
              <w:rPr>
                <w:color w:val="000000"/>
                <w:sz w:val="24"/>
              </w:rPr>
              <w:t>1,079,205.86</w:t>
            </w:r>
          </w:p>
        </w:tc>
        <w:tc>
          <w:tcPr>
            <w:tcW w:w="3307" w:type="dxa"/>
            <w:vAlign w:val="center"/>
          </w:tcPr>
          <w:p w:rsidR="00891D1C" w:rsidRDefault="000128F8">
            <w:pPr>
              <w:jc w:val="right"/>
            </w:pPr>
            <w:r>
              <w:rPr>
                <w:color w:val="000000"/>
                <w:sz w:val="24"/>
              </w:rPr>
              <w:t>10.79</w:t>
            </w:r>
          </w:p>
        </w:tc>
      </w:tr>
      <w:tr w:rsidR="00891D1C">
        <w:trPr>
          <w:jc w:val="center"/>
        </w:trPr>
        <w:tc>
          <w:tcPr>
            <w:tcW w:w="2904" w:type="dxa"/>
            <w:vAlign w:val="center"/>
          </w:tcPr>
          <w:p w:rsidR="00891D1C" w:rsidRDefault="000128F8">
            <w:pPr>
              <w:jc w:val="left"/>
            </w:pPr>
            <w:r>
              <w:rPr>
                <w:color w:val="000000"/>
                <w:sz w:val="24"/>
              </w:rPr>
              <w:t>信息技术</w:t>
            </w:r>
          </w:p>
        </w:tc>
        <w:tc>
          <w:tcPr>
            <w:tcW w:w="2657" w:type="dxa"/>
            <w:vAlign w:val="center"/>
          </w:tcPr>
          <w:p w:rsidR="00891D1C" w:rsidRDefault="000128F8">
            <w:pPr>
              <w:jc w:val="right"/>
            </w:pPr>
            <w:r>
              <w:rPr>
                <w:color w:val="000000"/>
                <w:sz w:val="24"/>
              </w:rPr>
              <w:t>1,021,026.33</w:t>
            </w:r>
          </w:p>
        </w:tc>
        <w:tc>
          <w:tcPr>
            <w:tcW w:w="3307" w:type="dxa"/>
            <w:vAlign w:val="center"/>
          </w:tcPr>
          <w:p w:rsidR="00891D1C" w:rsidRDefault="000128F8">
            <w:pPr>
              <w:jc w:val="right"/>
            </w:pPr>
            <w:r>
              <w:rPr>
                <w:color w:val="000000"/>
                <w:sz w:val="24"/>
              </w:rPr>
              <w:t>10.21</w:t>
            </w:r>
          </w:p>
        </w:tc>
      </w:tr>
      <w:tr w:rsidR="00891D1C">
        <w:trPr>
          <w:jc w:val="center"/>
        </w:trPr>
        <w:tc>
          <w:tcPr>
            <w:tcW w:w="2904" w:type="dxa"/>
            <w:vAlign w:val="center"/>
          </w:tcPr>
          <w:p w:rsidR="00891D1C" w:rsidRDefault="000128F8">
            <w:pPr>
              <w:jc w:val="left"/>
            </w:pPr>
            <w:r>
              <w:rPr>
                <w:color w:val="000000"/>
                <w:sz w:val="24"/>
              </w:rPr>
              <w:t>必需消费品</w:t>
            </w:r>
          </w:p>
        </w:tc>
        <w:tc>
          <w:tcPr>
            <w:tcW w:w="2657" w:type="dxa"/>
            <w:vAlign w:val="center"/>
          </w:tcPr>
          <w:p w:rsidR="00891D1C" w:rsidRDefault="000128F8">
            <w:pPr>
              <w:jc w:val="right"/>
            </w:pPr>
            <w:r>
              <w:rPr>
                <w:color w:val="000000"/>
                <w:sz w:val="24"/>
              </w:rPr>
              <w:t>799,953.69</w:t>
            </w:r>
          </w:p>
        </w:tc>
        <w:tc>
          <w:tcPr>
            <w:tcW w:w="3307" w:type="dxa"/>
            <w:vAlign w:val="center"/>
          </w:tcPr>
          <w:p w:rsidR="00891D1C" w:rsidRDefault="000128F8">
            <w:pPr>
              <w:jc w:val="right"/>
            </w:pPr>
            <w:r>
              <w:rPr>
                <w:color w:val="000000"/>
                <w:sz w:val="24"/>
              </w:rPr>
              <w:t>8.00</w:t>
            </w:r>
          </w:p>
        </w:tc>
      </w:tr>
      <w:tr w:rsidR="00891D1C">
        <w:trPr>
          <w:jc w:val="center"/>
        </w:trPr>
        <w:tc>
          <w:tcPr>
            <w:tcW w:w="2904" w:type="dxa"/>
            <w:vAlign w:val="center"/>
          </w:tcPr>
          <w:p w:rsidR="00891D1C" w:rsidRDefault="000128F8">
            <w:pPr>
              <w:jc w:val="left"/>
            </w:pPr>
            <w:r>
              <w:rPr>
                <w:color w:val="000000"/>
                <w:sz w:val="24"/>
              </w:rPr>
              <w:t>保健</w:t>
            </w:r>
          </w:p>
        </w:tc>
        <w:tc>
          <w:tcPr>
            <w:tcW w:w="2657" w:type="dxa"/>
            <w:vAlign w:val="center"/>
          </w:tcPr>
          <w:p w:rsidR="00891D1C" w:rsidRDefault="000128F8">
            <w:pPr>
              <w:jc w:val="right"/>
            </w:pPr>
            <w:r>
              <w:rPr>
                <w:color w:val="000000"/>
                <w:sz w:val="24"/>
              </w:rPr>
              <w:t>548,485.28</w:t>
            </w:r>
          </w:p>
        </w:tc>
        <w:tc>
          <w:tcPr>
            <w:tcW w:w="3307" w:type="dxa"/>
            <w:vAlign w:val="center"/>
          </w:tcPr>
          <w:p w:rsidR="00891D1C" w:rsidRDefault="000128F8">
            <w:pPr>
              <w:jc w:val="right"/>
            </w:pPr>
            <w:r>
              <w:rPr>
                <w:color w:val="000000"/>
                <w:sz w:val="24"/>
              </w:rPr>
              <w:t>5.49</w:t>
            </w:r>
          </w:p>
        </w:tc>
      </w:tr>
      <w:tr w:rsidR="00891D1C">
        <w:trPr>
          <w:jc w:val="center"/>
        </w:trPr>
        <w:tc>
          <w:tcPr>
            <w:tcW w:w="2904" w:type="dxa"/>
            <w:vAlign w:val="center"/>
          </w:tcPr>
          <w:p w:rsidR="00891D1C" w:rsidRDefault="000128F8">
            <w:pPr>
              <w:jc w:val="left"/>
            </w:pPr>
            <w:r>
              <w:rPr>
                <w:color w:val="000000"/>
                <w:sz w:val="24"/>
              </w:rPr>
              <w:t>非必需消费品</w:t>
            </w:r>
          </w:p>
        </w:tc>
        <w:tc>
          <w:tcPr>
            <w:tcW w:w="2657" w:type="dxa"/>
            <w:vAlign w:val="center"/>
          </w:tcPr>
          <w:p w:rsidR="00891D1C" w:rsidRDefault="000128F8">
            <w:pPr>
              <w:jc w:val="right"/>
            </w:pPr>
            <w:r>
              <w:rPr>
                <w:color w:val="000000"/>
                <w:sz w:val="24"/>
              </w:rPr>
              <w:t>250,609.24</w:t>
            </w:r>
          </w:p>
        </w:tc>
        <w:tc>
          <w:tcPr>
            <w:tcW w:w="3307" w:type="dxa"/>
            <w:vAlign w:val="center"/>
          </w:tcPr>
          <w:p w:rsidR="00891D1C" w:rsidRDefault="000128F8">
            <w:pPr>
              <w:jc w:val="right"/>
            </w:pPr>
            <w:r>
              <w:rPr>
                <w:color w:val="000000"/>
                <w:sz w:val="24"/>
              </w:rPr>
              <w:t>2.51</w:t>
            </w:r>
          </w:p>
        </w:tc>
      </w:tr>
      <w:tr w:rsidR="00C37E98" w:rsidRPr="008640AE" w:rsidTr="002E4075">
        <w:trPr>
          <w:jc w:val="center"/>
        </w:trPr>
        <w:tc>
          <w:tcPr>
            <w:tcW w:w="2787" w:type="dxa"/>
            <w:vAlign w:val="center"/>
          </w:tcPr>
          <w:p w:rsidR="00C37E98" w:rsidRPr="008640AE" w:rsidRDefault="00C37E98" w:rsidP="00997813">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707A5E">
            <w:pPr>
              <w:autoSpaceDE w:val="0"/>
              <w:autoSpaceDN w:val="0"/>
              <w:adjustRightInd w:val="0"/>
              <w:spacing w:before="29" w:line="288" w:lineRule="auto"/>
              <w:ind w:left="15"/>
              <w:jc w:val="right"/>
              <w:rPr>
                <w:color w:val="000000"/>
                <w:sz w:val="24"/>
              </w:rPr>
            </w:pPr>
            <w:r w:rsidRPr="008640AE">
              <w:rPr>
                <w:color w:val="000000"/>
                <w:sz w:val="24"/>
              </w:rPr>
              <w:t>9,589,624.92</w:t>
            </w:r>
          </w:p>
        </w:tc>
        <w:tc>
          <w:tcPr>
            <w:tcW w:w="3175" w:type="dxa"/>
            <w:vAlign w:val="center"/>
          </w:tcPr>
          <w:p w:rsidR="00C37E98" w:rsidRPr="008640AE" w:rsidRDefault="00C37E98" w:rsidP="00707A5E">
            <w:pPr>
              <w:autoSpaceDE w:val="0"/>
              <w:autoSpaceDN w:val="0"/>
              <w:adjustRightInd w:val="0"/>
              <w:spacing w:before="29" w:line="288" w:lineRule="auto"/>
              <w:ind w:left="15"/>
              <w:jc w:val="right"/>
              <w:rPr>
                <w:color w:val="000000"/>
                <w:sz w:val="24"/>
              </w:rPr>
            </w:pPr>
            <w:r w:rsidRPr="008640AE">
              <w:rPr>
                <w:color w:val="000000"/>
                <w:sz w:val="24"/>
              </w:rPr>
              <w:t>95.92</w:t>
            </w:r>
          </w:p>
        </w:tc>
      </w:tr>
    </w:tbl>
    <w:p w:rsidR="005B6AC7" w:rsidRPr="008640AE" w:rsidRDefault="000A521D" w:rsidP="00707A5E">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707A5E">
      <w:pPr>
        <w:autoSpaceDE w:val="0"/>
        <w:autoSpaceDN w:val="0"/>
        <w:adjustRightInd w:val="0"/>
        <w:spacing w:before="29" w:line="288" w:lineRule="auto"/>
        <w:jc w:val="left"/>
        <w:rPr>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5000" w:type="pct"/>
        <w:jc w:val="center"/>
        <w:tblLayout w:type="fixed"/>
        <w:tblCellMar>
          <w:top w:w="57" w:type="dxa"/>
          <w:bottom w:w="57" w:type="dxa"/>
        </w:tblCellMar>
        <w:tblLook w:val="04A0" w:firstRow="1" w:lastRow="0" w:firstColumn="1" w:lastColumn="0" w:noHBand="0" w:noVBand="1"/>
      </w:tblPr>
      <w:tblGrid>
        <w:gridCol w:w="1160"/>
        <w:gridCol w:w="1952"/>
        <w:gridCol w:w="904"/>
        <w:gridCol w:w="628"/>
        <w:gridCol w:w="651"/>
        <w:gridCol w:w="885"/>
        <w:gridCol w:w="1091"/>
        <w:gridCol w:w="1026"/>
        <w:gridCol w:w="945"/>
      </w:tblGrid>
      <w:tr w:rsidR="001C7D5D" w:rsidRPr="008640AE" w:rsidTr="00B57C0C">
        <w:trPr>
          <w:jc w:val="center"/>
        </w:trPr>
        <w:tc>
          <w:tcPr>
            <w:tcW w:w="628" w:type="pct"/>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序号</w:t>
            </w:r>
          </w:p>
        </w:tc>
        <w:tc>
          <w:tcPr>
            <w:tcW w:w="1056" w:type="pct"/>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公司名称（英文）</w:t>
            </w:r>
          </w:p>
        </w:tc>
        <w:tc>
          <w:tcPr>
            <w:tcW w:w="489" w:type="pct"/>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公司名称（中文）</w:t>
            </w:r>
          </w:p>
        </w:tc>
        <w:tc>
          <w:tcPr>
            <w:tcW w:w="340" w:type="pct"/>
            <w:vAlign w:val="center"/>
          </w:tcPr>
          <w:p w:rsidR="001C7D5D" w:rsidRPr="008640AE" w:rsidRDefault="001C7D5D" w:rsidP="00707A5E">
            <w:pPr>
              <w:adjustRightInd w:val="0"/>
              <w:snapToGrid w:val="0"/>
              <w:spacing w:before="29" w:line="288" w:lineRule="auto"/>
              <w:jc w:val="center"/>
              <w:rPr>
                <w:color w:val="000000"/>
                <w:kern w:val="0"/>
                <w:sz w:val="18"/>
                <w:szCs w:val="18"/>
              </w:rPr>
            </w:pPr>
            <w:r w:rsidRPr="008640AE">
              <w:rPr>
                <w:color w:val="000000"/>
                <w:kern w:val="0"/>
                <w:sz w:val="18"/>
                <w:szCs w:val="18"/>
              </w:rPr>
              <w:t>证券代码</w:t>
            </w:r>
          </w:p>
        </w:tc>
        <w:tc>
          <w:tcPr>
            <w:tcW w:w="352" w:type="pct"/>
            <w:vAlign w:val="center"/>
          </w:tcPr>
          <w:p w:rsidR="001C7D5D" w:rsidRPr="008640AE" w:rsidRDefault="009B6E8F"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所在证券市场</w:t>
            </w:r>
          </w:p>
        </w:tc>
        <w:tc>
          <w:tcPr>
            <w:tcW w:w="479" w:type="pct"/>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所属国家</w:t>
            </w:r>
          </w:p>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（地区</w:t>
            </w:r>
            <w:r w:rsidR="009B6E8F" w:rsidRPr="008640AE">
              <w:rPr>
                <w:color w:val="000000"/>
                <w:kern w:val="0"/>
                <w:sz w:val="18"/>
                <w:szCs w:val="18"/>
              </w:rPr>
              <w:t>）</w:t>
            </w:r>
          </w:p>
        </w:tc>
        <w:tc>
          <w:tcPr>
            <w:tcW w:w="590" w:type="pct"/>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数量</w:t>
            </w:r>
          </w:p>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（股）</w:t>
            </w:r>
          </w:p>
        </w:tc>
        <w:tc>
          <w:tcPr>
            <w:tcW w:w="555" w:type="pct"/>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公允价值（人民币元）</w:t>
            </w:r>
          </w:p>
        </w:tc>
        <w:tc>
          <w:tcPr>
            <w:tcW w:w="511" w:type="pct"/>
            <w:vAlign w:val="center"/>
          </w:tcPr>
          <w:p w:rsidR="001C7D5D" w:rsidRPr="008640AE" w:rsidRDefault="001C7D5D" w:rsidP="00707A5E">
            <w:pPr>
              <w:autoSpaceDE w:val="0"/>
              <w:autoSpaceDN w:val="0"/>
              <w:adjustRightInd w:val="0"/>
              <w:spacing w:before="29" w:line="288" w:lineRule="auto"/>
              <w:ind w:left="15"/>
              <w:jc w:val="center"/>
              <w:rPr>
                <w:color w:val="000000"/>
                <w:kern w:val="0"/>
                <w:sz w:val="18"/>
                <w:szCs w:val="18"/>
              </w:rPr>
            </w:pPr>
            <w:r w:rsidRPr="008640AE">
              <w:rPr>
                <w:color w:val="000000"/>
                <w:kern w:val="0"/>
                <w:sz w:val="18"/>
                <w:szCs w:val="18"/>
              </w:rPr>
              <w:t>占基金资产净值比例（％）</w:t>
            </w:r>
          </w:p>
        </w:tc>
      </w:tr>
      <w:tr w:rsidR="008901C0" w:rsidTr="00B57C0C">
        <w:trPr>
          <w:jc w:val="center"/>
        </w:trPr>
        <w:tc>
          <w:tcPr>
            <w:tcW w:w="628" w:type="pct"/>
            <w:vAlign w:val="center"/>
          </w:tcPr>
          <w:p w:rsidR="008901C0" w:rsidRDefault="008901C0">
            <w:pPr>
              <w:jc w:val="center"/>
            </w:pPr>
            <w:r>
              <w:rPr>
                <w:color w:val="000000"/>
                <w:sz w:val="18"/>
                <w:szCs w:val="18"/>
              </w:rPr>
              <w:t>1</w:t>
            </w:r>
          </w:p>
        </w:tc>
        <w:tc>
          <w:tcPr>
            <w:tcW w:w="1056" w:type="pct"/>
            <w:vAlign w:val="center"/>
          </w:tcPr>
          <w:p w:rsidR="008901C0" w:rsidRDefault="008901C0">
            <w:pPr>
              <w:jc w:val="center"/>
            </w:pPr>
            <w:r>
              <w:rPr>
                <w:color w:val="000000"/>
                <w:sz w:val="18"/>
                <w:szCs w:val="18"/>
              </w:rPr>
              <w:t>PHILLIPS 66</w:t>
            </w:r>
          </w:p>
        </w:tc>
        <w:tc>
          <w:tcPr>
            <w:tcW w:w="489" w:type="pct"/>
            <w:vAlign w:val="center"/>
          </w:tcPr>
          <w:p w:rsidR="008901C0" w:rsidRDefault="008901C0">
            <w:pPr>
              <w:jc w:val="center"/>
            </w:pPr>
            <w:r w:rsidRPr="001B1102">
              <w:rPr>
                <w:rFonts w:cs="Calibri"/>
                <w:color w:val="000000"/>
                <w:sz w:val="18"/>
                <w:szCs w:val="18"/>
              </w:rPr>
              <w:t>-</w:t>
            </w:r>
          </w:p>
        </w:tc>
        <w:tc>
          <w:tcPr>
            <w:tcW w:w="340" w:type="pct"/>
            <w:vAlign w:val="center"/>
          </w:tcPr>
          <w:p w:rsidR="008901C0" w:rsidRDefault="008901C0">
            <w:pPr>
              <w:jc w:val="center"/>
            </w:pPr>
            <w:r>
              <w:rPr>
                <w:color w:val="000000"/>
                <w:sz w:val="18"/>
                <w:szCs w:val="18"/>
              </w:rPr>
              <w:t>PSX US</w:t>
            </w:r>
          </w:p>
        </w:tc>
        <w:tc>
          <w:tcPr>
            <w:tcW w:w="352" w:type="pct"/>
            <w:vAlign w:val="center"/>
          </w:tcPr>
          <w:p w:rsidR="008901C0" w:rsidRDefault="008901C0">
            <w:pPr>
              <w:jc w:val="center"/>
            </w:pPr>
            <w:r>
              <w:rPr>
                <w:color w:val="000000"/>
                <w:sz w:val="18"/>
                <w:szCs w:val="18"/>
              </w:rPr>
              <w:t>美国证券交易所</w:t>
            </w:r>
          </w:p>
        </w:tc>
        <w:tc>
          <w:tcPr>
            <w:tcW w:w="479" w:type="pct"/>
            <w:vAlign w:val="center"/>
          </w:tcPr>
          <w:p w:rsidR="008901C0" w:rsidRDefault="008901C0">
            <w:pPr>
              <w:jc w:val="center"/>
            </w:pPr>
            <w:r>
              <w:rPr>
                <w:color w:val="000000"/>
                <w:sz w:val="18"/>
                <w:szCs w:val="18"/>
              </w:rPr>
              <w:t>美国</w:t>
            </w:r>
          </w:p>
        </w:tc>
        <w:tc>
          <w:tcPr>
            <w:tcW w:w="590" w:type="pct"/>
            <w:vAlign w:val="center"/>
          </w:tcPr>
          <w:p w:rsidR="008901C0" w:rsidRDefault="008901C0">
            <w:pPr>
              <w:jc w:val="right"/>
            </w:pPr>
            <w:r>
              <w:rPr>
                <w:color w:val="000000"/>
                <w:sz w:val="18"/>
                <w:szCs w:val="18"/>
              </w:rPr>
              <w:t>2,000</w:t>
            </w:r>
          </w:p>
        </w:tc>
        <w:tc>
          <w:tcPr>
            <w:tcW w:w="555" w:type="pct"/>
            <w:vAlign w:val="center"/>
          </w:tcPr>
          <w:p w:rsidR="008901C0" w:rsidRDefault="008901C0">
            <w:pPr>
              <w:jc w:val="right"/>
            </w:pPr>
            <w:r>
              <w:rPr>
                <w:color w:val="000000"/>
                <w:sz w:val="18"/>
                <w:szCs w:val="18"/>
              </w:rPr>
              <w:t>948,161.65</w:t>
            </w:r>
          </w:p>
        </w:tc>
        <w:tc>
          <w:tcPr>
            <w:tcW w:w="511" w:type="pct"/>
            <w:vAlign w:val="center"/>
          </w:tcPr>
          <w:p w:rsidR="008901C0" w:rsidRDefault="008901C0">
            <w:pPr>
              <w:jc w:val="right"/>
            </w:pPr>
            <w:r>
              <w:rPr>
                <w:color w:val="000000"/>
                <w:sz w:val="18"/>
                <w:szCs w:val="18"/>
              </w:rPr>
              <w:t>9.48</w:t>
            </w:r>
          </w:p>
        </w:tc>
      </w:tr>
      <w:tr w:rsidR="008901C0" w:rsidTr="00B57C0C">
        <w:trPr>
          <w:jc w:val="center"/>
        </w:trPr>
        <w:tc>
          <w:tcPr>
            <w:tcW w:w="628" w:type="pct"/>
            <w:vAlign w:val="center"/>
          </w:tcPr>
          <w:p w:rsidR="008901C0" w:rsidRDefault="008901C0">
            <w:pPr>
              <w:jc w:val="center"/>
            </w:pPr>
            <w:r>
              <w:rPr>
                <w:color w:val="000000"/>
                <w:sz w:val="18"/>
                <w:szCs w:val="18"/>
              </w:rPr>
              <w:t>2</w:t>
            </w:r>
          </w:p>
        </w:tc>
        <w:tc>
          <w:tcPr>
            <w:tcW w:w="1056" w:type="pct"/>
            <w:vAlign w:val="center"/>
          </w:tcPr>
          <w:p w:rsidR="008901C0" w:rsidRDefault="008901C0">
            <w:pPr>
              <w:jc w:val="center"/>
            </w:pPr>
            <w:r>
              <w:rPr>
                <w:color w:val="000000"/>
                <w:sz w:val="18"/>
                <w:szCs w:val="18"/>
              </w:rPr>
              <w:t>SOUTHWESTERN ENERGY</w:t>
            </w:r>
          </w:p>
        </w:tc>
        <w:tc>
          <w:tcPr>
            <w:tcW w:w="489" w:type="pct"/>
            <w:vAlign w:val="center"/>
          </w:tcPr>
          <w:p w:rsidR="008901C0" w:rsidRDefault="008901C0">
            <w:pPr>
              <w:jc w:val="center"/>
            </w:pPr>
            <w:r w:rsidRPr="001B1102">
              <w:rPr>
                <w:rFonts w:cs="Calibri"/>
                <w:color w:val="000000"/>
                <w:sz w:val="18"/>
                <w:szCs w:val="18"/>
              </w:rPr>
              <w:t>-</w:t>
            </w:r>
          </w:p>
        </w:tc>
        <w:tc>
          <w:tcPr>
            <w:tcW w:w="340" w:type="pct"/>
            <w:vAlign w:val="center"/>
          </w:tcPr>
          <w:p w:rsidR="008901C0" w:rsidRDefault="008901C0">
            <w:pPr>
              <w:jc w:val="center"/>
            </w:pPr>
            <w:r>
              <w:rPr>
                <w:color w:val="000000"/>
                <w:sz w:val="18"/>
                <w:szCs w:val="18"/>
              </w:rPr>
              <w:t>SWN US</w:t>
            </w:r>
          </w:p>
        </w:tc>
        <w:tc>
          <w:tcPr>
            <w:tcW w:w="352" w:type="pct"/>
            <w:vAlign w:val="center"/>
          </w:tcPr>
          <w:p w:rsidR="008901C0" w:rsidRDefault="008901C0">
            <w:pPr>
              <w:jc w:val="center"/>
            </w:pPr>
            <w:r>
              <w:rPr>
                <w:color w:val="000000"/>
                <w:sz w:val="18"/>
                <w:szCs w:val="18"/>
              </w:rPr>
              <w:t>美国证券交易所</w:t>
            </w:r>
          </w:p>
        </w:tc>
        <w:tc>
          <w:tcPr>
            <w:tcW w:w="479" w:type="pct"/>
            <w:vAlign w:val="center"/>
          </w:tcPr>
          <w:p w:rsidR="008901C0" w:rsidRDefault="008901C0">
            <w:pPr>
              <w:jc w:val="center"/>
            </w:pPr>
            <w:r>
              <w:rPr>
                <w:color w:val="000000"/>
                <w:sz w:val="18"/>
                <w:szCs w:val="18"/>
              </w:rPr>
              <w:t>美国</w:t>
            </w:r>
          </w:p>
        </w:tc>
        <w:tc>
          <w:tcPr>
            <w:tcW w:w="590" w:type="pct"/>
            <w:vAlign w:val="center"/>
          </w:tcPr>
          <w:p w:rsidR="008901C0" w:rsidRDefault="008901C0">
            <w:pPr>
              <w:jc w:val="right"/>
            </w:pPr>
            <w:r>
              <w:rPr>
                <w:color w:val="000000"/>
                <w:sz w:val="18"/>
                <w:szCs w:val="18"/>
              </w:rPr>
              <w:t>3,300</w:t>
            </w:r>
          </w:p>
        </w:tc>
        <w:tc>
          <w:tcPr>
            <w:tcW w:w="555" w:type="pct"/>
            <w:vAlign w:val="center"/>
          </w:tcPr>
          <w:p w:rsidR="008901C0" w:rsidRDefault="008901C0">
            <w:pPr>
              <w:jc w:val="right"/>
            </w:pPr>
            <w:r>
              <w:rPr>
                <w:color w:val="000000"/>
                <w:sz w:val="18"/>
                <w:szCs w:val="18"/>
              </w:rPr>
              <w:t>934,091.80</w:t>
            </w:r>
          </w:p>
        </w:tc>
        <w:tc>
          <w:tcPr>
            <w:tcW w:w="511" w:type="pct"/>
            <w:vAlign w:val="center"/>
          </w:tcPr>
          <w:p w:rsidR="008901C0" w:rsidRDefault="008901C0">
            <w:pPr>
              <w:jc w:val="right"/>
            </w:pPr>
            <w:r>
              <w:rPr>
                <w:color w:val="000000"/>
                <w:sz w:val="18"/>
                <w:szCs w:val="18"/>
              </w:rPr>
              <w:t>9.34</w:t>
            </w:r>
          </w:p>
        </w:tc>
      </w:tr>
      <w:tr w:rsidR="008901C0" w:rsidTr="00B57C0C">
        <w:trPr>
          <w:jc w:val="center"/>
        </w:trPr>
        <w:tc>
          <w:tcPr>
            <w:tcW w:w="628" w:type="pct"/>
            <w:vAlign w:val="center"/>
          </w:tcPr>
          <w:p w:rsidR="008901C0" w:rsidRDefault="008901C0">
            <w:pPr>
              <w:jc w:val="center"/>
            </w:pPr>
            <w:r>
              <w:rPr>
                <w:color w:val="000000"/>
                <w:sz w:val="18"/>
                <w:szCs w:val="18"/>
              </w:rPr>
              <w:t>3</w:t>
            </w:r>
          </w:p>
        </w:tc>
        <w:tc>
          <w:tcPr>
            <w:tcW w:w="1056" w:type="pct"/>
            <w:vAlign w:val="center"/>
          </w:tcPr>
          <w:p w:rsidR="008901C0" w:rsidRDefault="008901C0">
            <w:pPr>
              <w:jc w:val="center"/>
            </w:pPr>
            <w:r>
              <w:rPr>
                <w:color w:val="000000"/>
                <w:sz w:val="18"/>
                <w:szCs w:val="18"/>
              </w:rPr>
              <w:t>EOG RESOURCES INC</w:t>
            </w:r>
          </w:p>
        </w:tc>
        <w:tc>
          <w:tcPr>
            <w:tcW w:w="489" w:type="pct"/>
            <w:vAlign w:val="center"/>
          </w:tcPr>
          <w:p w:rsidR="008901C0" w:rsidRPr="008901C0" w:rsidRDefault="008901C0">
            <w:pPr>
              <w:jc w:val="center"/>
            </w:pPr>
            <w:r w:rsidRPr="008901C0">
              <w:rPr>
                <w:rFonts w:cs="Calibri"/>
                <w:color w:val="000000"/>
                <w:sz w:val="18"/>
                <w:szCs w:val="18"/>
              </w:rPr>
              <w:t>-</w:t>
            </w:r>
          </w:p>
        </w:tc>
        <w:tc>
          <w:tcPr>
            <w:tcW w:w="340" w:type="pct"/>
            <w:vAlign w:val="center"/>
          </w:tcPr>
          <w:p w:rsidR="008901C0" w:rsidRDefault="008901C0">
            <w:pPr>
              <w:jc w:val="center"/>
            </w:pPr>
            <w:r>
              <w:rPr>
                <w:color w:val="000000"/>
                <w:sz w:val="18"/>
                <w:szCs w:val="18"/>
              </w:rPr>
              <w:t>EOG US</w:t>
            </w:r>
          </w:p>
        </w:tc>
        <w:tc>
          <w:tcPr>
            <w:tcW w:w="352" w:type="pct"/>
            <w:vAlign w:val="center"/>
          </w:tcPr>
          <w:p w:rsidR="008901C0" w:rsidRDefault="008901C0">
            <w:pPr>
              <w:jc w:val="center"/>
            </w:pPr>
            <w:r>
              <w:rPr>
                <w:color w:val="000000"/>
                <w:sz w:val="18"/>
                <w:szCs w:val="18"/>
              </w:rPr>
              <w:t>美国证券交易所</w:t>
            </w:r>
          </w:p>
        </w:tc>
        <w:tc>
          <w:tcPr>
            <w:tcW w:w="479" w:type="pct"/>
            <w:vAlign w:val="center"/>
          </w:tcPr>
          <w:p w:rsidR="008901C0" w:rsidRDefault="008901C0">
            <w:pPr>
              <w:jc w:val="center"/>
            </w:pPr>
            <w:r>
              <w:rPr>
                <w:color w:val="000000"/>
                <w:sz w:val="18"/>
                <w:szCs w:val="18"/>
              </w:rPr>
              <w:t>美国</w:t>
            </w:r>
          </w:p>
        </w:tc>
        <w:tc>
          <w:tcPr>
            <w:tcW w:w="590" w:type="pct"/>
            <w:vAlign w:val="center"/>
          </w:tcPr>
          <w:p w:rsidR="008901C0" w:rsidRDefault="008901C0">
            <w:pPr>
              <w:jc w:val="right"/>
            </w:pPr>
            <w:r>
              <w:rPr>
                <w:color w:val="000000"/>
                <w:sz w:val="18"/>
                <w:szCs w:val="18"/>
              </w:rPr>
              <w:t>700</w:t>
            </w:r>
          </w:p>
        </w:tc>
        <w:tc>
          <w:tcPr>
            <w:tcW w:w="555" w:type="pct"/>
            <w:vAlign w:val="center"/>
          </w:tcPr>
          <w:p w:rsidR="008901C0" w:rsidRDefault="008901C0">
            <w:pPr>
              <w:jc w:val="right"/>
            </w:pPr>
            <w:r>
              <w:rPr>
                <w:color w:val="000000"/>
                <w:sz w:val="18"/>
                <w:szCs w:val="18"/>
              </w:rPr>
              <w:t>844,800.22</w:t>
            </w:r>
          </w:p>
        </w:tc>
        <w:tc>
          <w:tcPr>
            <w:tcW w:w="511" w:type="pct"/>
            <w:vAlign w:val="center"/>
          </w:tcPr>
          <w:p w:rsidR="008901C0" w:rsidRDefault="008901C0">
            <w:pPr>
              <w:jc w:val="right"/>
            </w:pPr>
            <w:r>
              <w:rPr>
                <w:color w:val="000000"/>
                <w:sz w:val="18"/>
                <w:szCs w:val="18"/>
              </w:rPr>
              <w:t>8.45</w:t>
            </w:r>
          </w:p>
        </w:tc>
      </w:tr>
      <w:tr w:rsidR="008901C0" w:rsidTr="00B57C0C">
        <w:trPr>
          <w:jc w:val="center"/>
        </w:trPr>
        <w:tc>
          <w:tcPr>
            <w:tcW w:w="628" w:type="pct"/>
            <w:vAlign w:val="center"/>
          </w:tcPr>
          <w:p w:rsidR="008901C0" w:rsidRDefault="008901C0">
            <w:pPr>
              <w:jc w:val="center"/>
            </w:pPr>
            <w:r>
              <w:rPr>
                <w:color w:val="000000"/>
                <w:sz w:val="18"/>
                <w:szCs w:val="18"/>
              </w:rPr>
              <w:t>4</w:t>
            </w:r>
          </w:p>
        </w:tc>
        <w:tc>
          <w:tcPr>
            <w:tcW w:w="1056" w:type="pct"/>
            <w:vAlign w:val="center"/>
          </w:tcPr>
          <w:p w:rsidR="008901C0" w:rsidRDefault="008901C0">
            <w:pPr>
              <w:jc w:val="center"/>
            </w:pPr>
            <w:r>
              <w:rPr>
                <w:color w:val="000000"/>
                <w:sz w:val="18"/>
                <w:szCs w:val="18"/>
              </w:rPr>
              <w:t>HUADIAN POWER INTL CORP-H</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华电国际电力股份有限公司</w:t>
            </w:r>
          </w:p>
        </w:tc>
        <w:tc>
          <w:tcPr>
            <w:tcW w:w="340" w:type="pct"/>
            <w:vAlign w:val="center"/>
          </w:tcPr>
          <w:p w:rsidR="008901C0" w:rsidRDefault="008901C0">
            <w:pPr>
              <w:jc w:val="center"/>
            </w:pPr>
            <w:r>
              <w:rPr>
                <w:color w:val="000000"/>
                <w:sz w:val="18"/>
                <w:szCs w:val="18"/>
              </w:rPr>
              <w:t>1071 HK</w:t>
            </w:r>
          </w:p>
        </w:tc>
        <w:tc>
          <w:tcPr>
            <w:tcW w:w="352" w:type="pct"/>
            <w:vAlign w:val="center"/>
          </w:tcPr>
          <w:p w:rsidR="008901C0" w:rsidRDefault="008901C0">
            <w:pPr>
              <w:jc w:val="center"/>
            </w:pPr>
            <w:r>
              <w:rPr>
                <w:color w:val="000000"/>
                <w:sz w:val="18"/>
                <w:szCs w:val="18"/>
              </w:rPr>
              <w:t>香港证</w:t>
            </w:r>
            <w:bookmarkStart w:id="0" w:name="_GoBack"/>
            <w:bookmarkEnd w:id="0"/>
            <w:r>
              <w:rPr>
                <w:color w:val="000000"/>
                <w:sz w:val="18"/>
                <w:szCs w:val="18"/>
              </w:rPr>
              <w:t>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180,000</w:t>
            </w:r>
          </w:p>
        </w:tc>
        <w:tc>
          <w:tcPr>
            <w:tcW w:w="555" w:type="pct"/>
            <w:vAlign w:val="center"/>
          </w:tcPr>
          <w:p w:rsidR="008901C0" w:rsidRDefault="008901C0">
            <w:pPr>
              <w:jc w:val="right"/>
            </w:pPr>
            <w:r>
              <w:rPr>
                <w:color w:val="000000"/>
                <w:sz w:val="18"/>
                <w:szCs w:val="18"/>
              </w:rPr>
              <w:t>538,175.41</w:t>
            </w:r>
          </w:p>
        </w:tc>
        <w:tc>
          <w:tcPr>
            <w:tcW w:w="511" w:type="pct"/>
            <w:vAlign w:val="center"/>
          </w:tcPr>
          <w:p w:rsidR="008901C0" w:rsidRDefault="008901C0">
            <w:pPr>
              <w:jc w:val="right"/>
            </w:pPr>
            <w:r>
              <w:rPr>
                <w:color w:val="000000"/>
                <w:sz w:val="18"/>
                <w:szCs w:val="18"/>
              </w:rPr>
              <w:t>5.38</w:t>
            </w:r>
          </w:p>
        </w:tc>
      </w:tr>
      <w:tr w:rsidR="008901C0" w:rsidTr="00B57C0C">
        <w:trPr>
          <w:jc w:val="center"/>
        </w:trPr>
        <w:tc>
          <w:tcPr>
            <w:tcW w:w="628" w:type="pct"/>
            <w:vAlign w:val="center"/>
          </w:tcPr>
          <w:p w:rsidR="008901C0" w:rsidRDefault="008901C0">
            <w:pPr>
              <w:jc w:val="center"/>
            </w:pPr>
            <w:r>
              <w:rPr>
                <w:color w:val="000000"/>
                <w:sz w:val="18"/>
                <w:szCs w:val="18"/>
              </w:rPr>
              <w:t>5</w:t>
            </w:r>
          </w:p>
        </w:tc>
        <w:tc>
          <w:tcPr>
            <w:tcW w:w="1056" w:type="pct"/>
            <w:vAlign w:val="center"/>
          </w:tcPr>
          <w:p w:rsidR="008901C0" w:rsidRDefault="008901C0">
            <w:pPr>
              <w:jc w:val="center"/>
            </w:pPr>
            <w:r>
              <w:rPr>
                <w:color w:val="000000"/>
                <w:sz w:val="18"/>
                <w:szCs w:val="18"/>
              </w:rPr>
              <w:t>SINOPEC KANTONS HOLDINGS</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中石化冠德控股有限公司</w:t>
            </w:r>
          </w:p>
        </w:tc>
        <w:tc>
          <w:tcPr>
            <w:tcW w:w="340" w:type="pct"/>
            <w:vAlign w:val="center"/>
          </w:tcPr>
          <w:p w:rsidR="008901C0" w:rsidRDefault="008901C0">
            <w:pPr>
              <w:jc w:val="center"/>
            </w:pPr>
            <w:r>
              <w:rPr>
                <w:color w:val="000000"/>
                <w:sz w:val="18"/>
                <w:szCs w:val="18"/>
              </w:rPr>
              <w:t>934 HK</w:t>
            </w:r>
          </w:p>
        </w:tc>
        <w:tc>
          <w:tcPr>
            <w:tcW w:w="352" w:type="pct"/>
            <w:vAlign w:val="center"/>
          </w:tcPr>
          <w:p w:rsidR="008901C0" w:rsidRDefault="008901C0">
            <w:pPr>
              <w:jc w:val="center"/>
            </w:pPr>
            <w:r>
              <w:rPr>
                <w:color w:val="000000"/>
                <w:sz w:val="18"/>
                <w:szCs w:val="18"/>
              </w:rPr>
              <w:t>香港证券交易所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80,000</w:t>
            </w:r>
          </w:p>
        </w:tc>
        <w:tc>
          <w:tcPr>
            <w:tcW w:w="555" w:type="pct"/>
            <w:vAlign w:val="center"/>
          </w:tcPr>
          <w:p w:rsidR="008901C0" w:rsidRDefault="008901C0">
            <w:pPr>
              <w:jc w:val="right"/>
            </w:pPr>
            <w:r>
              <w:rPr>
                <w:color w:val="000000"/>
                <w:sz w:val="18"/>
                <w:szCs w:val="18"/>
              </w:rPr>
              <w:t>486,626.04</w:t>
            </w:r>
          </w:p>
        </w:tc>
        <w:tc>
          <w:tcPr>
            <w:tcW w:w="511" w:type="pct"/>
            <w:vAlign w:val="center"/>
          </w:tcPr>
          <w:p w:rsidR="008901C0" w:rsidRDefault="008901C0">
            <w:pPr>
              <w:jc w:val="right"/>
            </w:pPr>
            <w:r>
              <w:rPr>
                <w:color w:val="000000"/>
                <w:sz w:val="18"/>
                <w:szCs w:val="18"/>
              </w:rPr>
              <w:t>4.87</w:t>
            </w:r>
          </w:p>
        </w:tc>
      </w:tr>
      <w:tr w:rsidR="008901C0" w:rsidTr="00B57C0C">
        <w:trPr>
          <w:jc w:val="center"/>
        </w:trPr>
        <w:tc>
          <w:tcPr>
            <w:tcW w:w="628" w:type="pct"/>
            <w:vAlign w:val="center"/>
          </w:tcPr>
          <w:p w:rsidR="008901C0" w:rsidRDefault="008901C0">
            <w:pPr>
              <w:jc w:val="center"/>
            </w:pPr>
            <w:r>
              <w:rPr>
                <w:color w:val="000000"/>
                <w:sz w:val="18"/>
                <w:szCs w:val="18"/>
              </w:rPr>
              <w:t>6</w:t>
            </w:r>
          </w:p>
        </w:tc>
        <w:tc>
          <w:tcPr>
            <w:tcW w:w="1056" w:type="pct"/>
            <w:vAlign w:val="center"/>
          </w:tcPr>
          <w:p w:rsidR="008901C0" w:rsidRDefault="008901C0">
            <w:pPr>
              <w:jc w:val="center"/>
            </w:pPr>
            <w:r>
              <w:rPr>
                <w:color w:val="000000"/>
                <w:sz w:val="18"/>
                <w:szCs w:val="18"/>
              </w:rPr>
              <w:t>SINOPEC SHANGHAI PETROCHEM-H</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中国石化上海石油化工股份有限公司</w:t>
            </w:r>
          </w:p>
        </w:tc>
        <w:tc>
          <w:tcPr>
            <w:tcW w:w="340" w:type="pct"/>
            <w:vAlign w:val="center"/>
          </w:tcPr>
          <w:p w:rsidR="008901C0" w:rsidRDefault="008901C0">
            <w:pPr>
              <w:jc w:val="center"/>
            </w:pPr>
            <w:r>
              <w:rPr>
                <w:color w:val="000000"/>
                <w:sz w:val="18"/>
                <w:szCs w:val="18"/>
              </w:rPr>
              <w:t>338 HK</w:t>
            </w:r>
          </w:p>
        </w:tc>
        <w:tc>
          <w:tcPr>
            <w:tcW w:w="352" w:type="pct"/>
            <w:vAlign w:val="center"/>
          </w:tcPr>
          <w:p w:rsidR="008901C0" w:rsidRDefault="008901C0">
            <w:pPr>
              <w:jc w:val="center"/>
            </w:pPr>
            <w:r>
              <w:rPr>
                <w:color w:val="000000"/>
                <w:sz w:val="18"/>
                <w:szCs w:val="18"/>
              </w:rPr>
              <w:t>香港证券交易所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300,000</w:t>
            </w:r>
          </w:p>
        </w:tc>
        <w:tc>
          <w:tcPr>
            <w:tcW w:w="555" w:type="pct"/>
            <w:vAlign w:val="center"/>
          </w:tcPr>
          <w:p w:rsidR="008901C0" w:rsidRDefault="008901C0">
            <w:pPr>
              <w:jc w:val="right"/>
            </w:pPr>
            <w:r>
              <w:rPr>
                <w:color w:val="000000"/>
                <w:sz w:val="18"/>
                <w:szCs w:val="18"/>
              </w:rPr>
              <w:t>475,840.33</w:t>
            </w:r>
          </w:p>
        </w:tc>
        <w:tc>
          <w:tcPr>
            <w:tcW w:w="511" w:type="pct"/>
            <w:vAlign w:val="center"/>
          </w:tcPr>
          <w:p w:rsidR="008901C0" w:rsidRDefault="008901C0">
            <w:pPr>
              <w:jc w:val="right"/>
            </w:pPr>
            <w:r>
              <w:rPr>
                <w:color w:val="000000"/>
                <w:sz w:val="18"/>
                <w:szCs w:val="18"/>
              </w:rPr>
              <w:t>4.76</w:t>
            </w:r>
          </w:p>
        </w:tc>
      </w:tr>
      <w:tr w:rsidR="008901C0" w:rsidTr="00B57C0C">
        <w:trPr>
          <w:jc w:val="center"/>
        </w:trPr>
        <w:tc>
          <w:tcPr>
            <w:tcW w:w="628" w:type="pct"/>
            <w:vAlign w:val="center"/>
          </w:tcPr>
          <w:p w:rsidR="008901C0" w:rsidRDefault="008901C0">
            <w:pPr>
              <w:jc w:val="center"/>
            </w:pPr>
            <w:r>
              <w:rPr>
                <w:color w:val="000000"/>
                <w:sz w:val="18"/>
                <w:szCs w:val="18"/>
              </w:rPr>
              <w:t>7</w:t>
            </w:r>
          </w:p>
        </w:tc>
        <w:tc>
          <w:tcPr>
            <w:tcW w:w="1056" w:type="pct"/>
            <w:vAlign w:val="center"/>
          </w:tcPr>
          <w:p w:rsidR="008901C0" w:rsidRDefault="008901C0">
            <w:pPr>
              <w:jc w:val="center"/>
            </w:pPr>
            <w:r>
              <w:rPr>
                <w:color w:val="000000"/>
                <w:sz w:val="18"/>
                <w:szCs w:val="18"/>
              </w:rPr>
              <w:t>BEIJING ENTERPRISES WATER GR</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北控水务集团有限公司</w:t>
            </w:r>
          </w:p>
        </w:tc>
        <w:tc>
          <w:tcPr>
            <w:tcW w:w="340" w:type="pct"/>
            <w:vAlign w:val="center"/>
          </w:tcPr>
          <w:p w:rsidR="008901C0" w:rsidRDefault="008901C0">
            <w:pPr>
              <w:jc w:val="center"/>
            </w:pPr>
            <w:r>
              <w:rPr>
                <w:color w:val="000000"/>
                <w:sz w:val="18"/>
                <w:szCs w:val="18"/>
              </w:rPr>
              <w:t>371 HK</w:t>
            </w:r>
          </w:p>
        </w:tc>
        <w:tc>
          <w:tcPr>
            <w:tcW w:w="352" w:type="pct"/>
            <w:vAlign w:val="center"/>
          </w:tcPr>
          <w:p w:rsidR="008901C0" w:rsidRDefault="008901C0">
            <w:pPr>
              <w:jc w:val="center"/>
            </w:pPr>
            <w:r>
              <w:rPr>
                <w:color w:val="000000"/>
                <w:sz w:val="18"/>
                <w:szCs w:val="18"/>
              </w:rPr>
              <w:t>香港证券交易所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100,000</w:t>
            </w:r>
          </w:p>
        </w:tc>
        <w:tc>
          <w:tcPr>
            <w:tcW w:w="555" w:type="pct"/>
            <w:vAlign w:val="center"/>
          </w:tcPr>
          <w:p w:rsidR="008901C0" w:rsidRDefault="008901C0">
            <w:pPr>
              <w:jc w:val="right"/>
            </w:pPr>
            <w:r>
              <w:rPr>
                <w:color w:val="000000"/>
                <w:sz w:val="18"/>
                <w:szCs w:val="18"/>
              </w:rPr>
              <w:t>430,635.50</w:t>
            </w:r>
          </w:p>
        </w:tc>
        <w:tc>
          <w:tcPr>
            <w:tcW w:w="511" w:type="pct"/>
            <w:vAlign w:val="center"/>
          </w:tcPr>
          <w:p w:rsidR="008901C0" w:rsidRDefault="008901C0">
            <w:pPr>
              <w:jc w:val="right"/>
            </w:pPr>
            <w:r>
              <w:rPr>
                <w:color w:val="000000"/>
                <w:sz w:val="18"/>
                <w:szCs w:val="18"/>
              </w:rPr>
              <w:t>4.31</w:t>
            </w:r>
          </w:p>
        </w:tc>
      </w:tr>
      <w:tr w:rsidR="008901C0" w:rsidTr="00B57C0C">
        <w:trPr>
          <w:jc w:val="center"/>
        </w:trPr>
        <w:tc>
          <w:tcPr>
            <w:tcW w:w="628" w:type="pct"/>
            <w:vAlign w:val="center"/>
          </w:tcPr>
          <w:p w:rsidR="008901C0" w:rsidRDefault="008901C0">
            <w:pPr>
              <w:jc w:val="center"/>
            </w:pPr>
            <w:r>
              <w:rPr>
                <w:color w:val="000000"/>
                <w:sz w:val="18"/>
                <w:szCs w:val="18"/>
              </w:rPr>
              <w:t>8</w:t>
            </w:r>
          </w:p>
        </w:tc>
        <w:tc>
          <w:tcPr>
            <w:tcW w:w="1056" w:type="pct"/>
            <w:vAlign w:val="center"/>
          </w:tcPr>
          <w:p w:rsidR="008901C0" w:rsidRDefault="008901C0">
            <w:pPr>
              <w:jc w:val="center"/>
            </w:pPr>
            <w:r>
              <w:rPr>
                <w:color w:val="000000"/>
                <w:sz w:val="18"/>
                <w:szCs w:val="18"/>
              </w:rPr>
              <w:t>DONGJIANG ENVIRONMENTAL-H</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东江环保股份有限公司</w:t>
            </w:r>
          </w:p>
        </w:tc>
        <w:tc>
          <w:tcPr>
            <w:tcW w:w="340" w:type="pct"/>
            <w:vAlign w:val="center"/>
          </w:tcPr>
          <w:p w:rsidR="008901C0" w:rsidRDefault="008901C0">
            <w:pPr>
              <w:jc w:val="center"/>
            </w:pPr>
            <w:r>
              <w:rPr>
                <w:color w:val="000000"/>
                <w:sz w:val="18"/>
                <w:szCs w:val="18"/>
              </w:rPr>
              <w:t>895 HK</w:t>
            </w:r>
          </w:p>
        </w:tc>
        <w:tc>
          <w:tcPr>
            <w:tcW w:w="352" w:type="pct"/>
            <w:vAlign w:val="center"/>
          </w:tcPr>
          <w:p w:rsidR="008901C0" w:rsidRDefault="008901C0">
            <w:pPr>
              <w:jc w:val="center"/>
            </w:pPr>
            <w:r>
              <w:rPr>
                <w:color w:val="000000"/>
                <w:sz w:val="18"/>
                <w:szCs w:val="18"/>
              </w:rPr>
              <w:t>香港证券交易所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20,000</w:t>
            </w:r>
          </w:p>
        </w:tc>
        <w:tc>
          <w:tcPr>
            <w:tcW w:w="555" w:type="pct"/>
            <w:vAlign w:val="center"/>
          </w:tcPr>
          <w:p w:rsidR="008901C0" w:rsidRDefault="008901C0">
            <w:pPr>
              <w:jc w:val="right"/>
            </w:pPr>
            <w:r>
              <w:rPr>
                <w:color w:val="000000"/>
                <w:sz w:val="18"/>
                <w:szCs w:val="18"/>
              </w:rPr>
              <w:t>422,704.82</w:t>
            </w:r>
          </w:p>
        </w:tc>
        <w:tc>
          <w:tcPr>
            <w:tcW w:w="511" w:type="pct"/>
            <w:vAlign w:val="center"/>
          </w:tcPr>
          <w:p w:rsidR="008901C0" w:rsidRDefault="008901C0">
            <w:pPr>
              <w:jc w:val="right"/>
            </w:pPr>
            <w:r>
              <w:rPr>
                <w:color w:val="000000"/>
                <w:sz w:val="18"/>
                <w:szCs w:val="18"/>
              </w:rPr>
              <w:t>4.23</w:t>
            </w:r>
          </w:p>
        </w:tc>
      </w:tr>
      <w:tr w:rsidR="00B57C0C" w:rsidTr="00B57C0C">
        <w:trPr>
          <w:jc w:val="center"/>
        </w:trPr>
        <w:tc>
          <w:tcPr>
            <w:tcW w:w="628" w:type="pct"/>
            <w:vAlign w:val="center"/>
          </w:tcPr>
          <w:p w:rsidR="00B57C0C" w:rsidRDefault="00B57C0C" w:rsidP="00B57C0C">
            <w:pPr>
              <w:jc w:val="center"/>
            </w:pPr>
            <w:r>
              <w:rPr>
                <w:color w:val="000000"/>
                <w:sz w:val="18"/>
                <w:szCs w:val="18"/>
              </w:rPr>
              <w:t>9</w:t>
            </w:r>
          </w:p>
        </w:tc>
        <w:tc>
          <w:tcPr>
            <w:tcW w:w="1056" w:type="pct"/>
            <w:vAlign w:val="center"/>
          </w:tcPr>
          <w:p w:rsidR="00B57C0C" w:rsidRDefault="00B57C0C" w:rsidP="00B57C0C">
            <w:pPr>
              <w:jc w:val="center"/>
            </w:pPr>
            <w:r>
              <w:rPr>
                <w:color w:val="000000"/>
                <w:sz w:val="18"/>
                <w:szCs w:val="18"/>
              </w:rPr>
              <w:t>COSLIGHT TECHNOLOGY INTL GP</w:t>
            </w:r>
          </w:p>
        </w:tc>
        <w:tc>
          <w:tcPr>
            <w:tcW w:w="489" w:type="pct"/>
            <w:vAlign w:val="center"/>
          </w:tcPr>
          <w:p w:rsidR="00B57C0C" w:rsidRPr="006774F8" w:rsidRDefault="00B57C0C" w:rsidP="00B57C0C">
            <w:pPr>
              <w:jc w:val="center"/>
              <w:rPr>
                <w:rFonts w:ascii="宋体" w:hAnsi="宋体" w:cs="宋体"/>
                <w:color w:val="000000"/>
                <w:sz w:val="18"/>
                <w:szCs w:val="18"/>
              </w:rPr>
            </w:pPr>
            <w:r w:rsidRPr="002D0DE5">
              <w:rPr>
                <w:rFonts w:cs="Calibri" w:hint="eastAsia"/>
                <w:color w:val="000000"/>
                <w:sz w:val="18"/>
                <w:szCs w:val="18"/>
              </w:rPr>
              <w:t>光宇国际集团科技有限公司</w:t>
            </w:r>
          </w:p>
        </w:tc>
        <w:tc>
          <w:tcPr>
            <w:tcW w:w="340" w:type="pct"/>
            <w:vAlign w:val="center"/>
          </w:tcPr>
          <w:p w:rsidR="00B57C0C" w:rsidRDefault="00B57C0C" w:rsidP="00B57C0C">
            <w:pPr>
              <w:jc w:val="center"/>
            </w:pPr>
            <w:r>
              <w:rPr>
                <w:color w:val="000000"/>
                <w:sz w:val="18"/>
                <w:szCs w:val="18"/>
              </w:rPr>
              <w:t>1043 HK</w:t>
            </w:r>
          </w:p>
        </w:tc>
        <w:tc>
          <w:tcPr>
            <w:tcW w:w="352" w:type="pct"/>
            <w:vAlign w:val="center"/>
          </w:tcPr>
          <w:p w:rsidR="00B57C0C" w:rsidRDefault="00B57C0C" w:rsidP="00B57C0C">
            <w:pPr>
              <w:jc w:val="center"/>
            </w:pPr>
            <w:r>
              <w:rPr>
                <w:rFonts w:hint="eastAsia"/>
                <w:color w:val="000000"/>
                <w:sz w:val="18"/>
                <w:szCs w:val="18"/>
              </w:rPr>
              <w:t>香港</w:t>
            </w:r>
            <w:r>
              <w:rPr>
                <w:color w:val="000000"/>
                <w:sz w:val="18"/>
                <w:szCs w:val="18"/>
              </w:rPr>
              <w:t>证券交易所</w:t>
            </w:r>
          </w:p>
        </w:tc>
        <w:tc>
          <w:tcPr>
            <w:tcW w:w="479" w:type="pct"/>
            <w:vAlign w:val="center"/>
          </w:tcPr>
          <w:p w:rsidR="00B57C0C" w:rsidRDefault="00B57C0C" w:rsidP="00B57C0C">
            <w:pPr>
              <w:jc w:val="center"/>
            </w:pPr>
            <w:r>
              <w:rPr>
                <w:rFonts w:hint="eastAsia"/>
                <w:color w:val="000000"/>
                <w:sz w:val="18"/>
                <w:szCs w:val="18"/>
              </w:rPr>
              <w:t>香港</w:t>
            </w:r>
          </w:p>
        </w:tc>
        <w:tc>
          <w:tcPr>
            <w:tcW w:w="590" w:type="pct"/>
            <w:vAlign w:val="center"/>
          </w:tcPr>
          <w:p w:rsidR="00B57C0C" w:rsidRDefault="00B57C0C" w:rsidP="00B57C0C">
            <w:pPr>
              <w:jc w:val="right"/>
            </w:pPr>
            <w:r>
              <w:rPr>
                <w:color w:val="000000"/>
                <w:sz w:val="18"/>
                <w:szCs w:val="18"/>
              </w:rPr>
              <w:t>80,000</w:t>
            </w:r>
          </w:p>
        </w:tc>
        <w:tc>
          <w:tcPr>
            <w:tcW w:w="555" w:type="pct"/>
            <w:vAlign w:val="center"/>
          </w:tcPr>
          <w:p w:rsidR="00B57C0C" w:rsidRDefault="00B57C0C" w:rsidP="00B57C0C">
            <w:pPr>
              <w:jc w:val="right"/>
            </w:pPr>
            <w:r>
              <w:rPr>
                <w:color w:val="000000"/>
                <w:sz w:val="18"/>
                <w:szCs w:val="18"/>
              </w:rPr>
              <w:t>421,277.30</w:t>
            </w:r>
          </w:p>
        </w:tc>
        <w:tc>
          <w:tcPr>
            <w:tcW w:w="511" w:type="pct"/>
            <w:vAlign w:val="center"/>
          </w:tcPr>
          <w:p w:rsidR="00B57C0C" w:rsidRDefault="00B57C0C" w:rsidP="00B57C0C">
            <w:pPr>
              <w:jc w:val="right"/>
            </w:pPr>
            <w:r>
              <w:rPr>
                <w:color w:val="000000"/>
                <w:sz w:val="18"/>
                <w:szCs w:val="18"/>
              </w:rPr>
              <w:t>4.21</w:t>
            </w:r>
          </w:p>
        </w:tc>
      </w:tr>
      <w:tr w:rsidR="008901C0" w:rsidTr="00B57C0C">
        <w:trPr>
          <w:jc w:val="center"/>
        </w:trPr>
        <w:tc>
          <w:tcPr>
            <w:tcW w:w="628" w:type="pct"/>
            <w:vAlign w:val="center"/>
          </w:tcPr>
          <w:p w:rsidR="008901C0" w:rsidRDefault="008901C0">
            <w:pPr>
              <w:jc w:val="center"/>
            </w:pPr>
            <w:r>
              <w:rPr>
                <w:color w:val="000000"/>
                <w:sz w:val="18"/>
                <w:szCs w:val="18"/>
              </w:rPr>
              <w:t>10</w:t>
            </w:r>
          </w:p>
        </w:tc>
        <w:tc>
          <w:tcPr>
            <w:tcW w:w="1056" w:type="pct"/>
            <w:vAlign w:val="center"/>
          </w:tcPr>
          <w:p w:rsidR="008901C0" w:rsidRDefault="008901C0">
            <w:pPr>
              <w:jc w:val="center"/>
            </w:pPr>
            <w:r>
              <w:rPr>
                <w:color w:val="000000"/>
                <w:sz w:val="18"/>
                <w:szCs w:val="18"/>
              </w:rPr>
              <w:t>FUFENG GROUP LTD</w:t>
            </w:r>
          </w:p>
        </w:tc>
        <w:tc>
          <w:tcPr>
            <w:tcW w:w="489" w:type="pct"/>
            <w:vAlign w:val="center"/>
          </w:tcPr>
          <w:p w:rsidR="008901C0" w:rsidRPr="006774F8" w:rsidRDefault="002D0DE5" w:rsidP="008901C0">
            <w:pPr>
              <w:jc w:val="center"/>
              <w:rPr>
                <w:rFonts w:ascii="宋体" w:hAnsi="宋体" w:cs="宋体"/>
                <w:color w:val="000000"/>
                <w:sz w:val="18"/>
                <w:szCs w:val="18"/>
              </w:rPr>
            </w:pPr>
            <w:r w:rsidRPr="002D0DE5">
              <w:rPr>
                <w:rFonts w:cs="Calibri" w:hint="eastAsia"/>
                <w:color w:val="000000"/>
                <w:sz w:val="18"/>
                <w:szCs w:val="18"/>
              </w:rPr>
              <w:t>阜丰集团有限公司</w:t>
            </w:r>
          </w:p>
        </w:tc>
        <w:tc>
          <w:tcPr>
            <w:tcW w:w="340" w:type="pct"/>
            <w:vAlign w:val="center"/>
          </w:tcPr>
          <w:p w:rsidR="008901C0" w:rsidRDefault="008901C0">
            <w:pPr>
              <w:jc w:val="center"/>
            </w:pPr>
            <w:r>
              <w:rPr>
                <w:color w:val="000000"/>
                <w:sz w:val="18"/>
                <w:szCs w:val="18"/>
              </w:rPr>
              <w:t>546 HK</w:t>
            </w:r>
          </w:p>
        </w:tc>
        <w:tc>
          <w:tcPr>
            <w:tcW w:w="352" w:type="pct"/>
            <w:vAlign w:val="center"/>
          </w:tcPr>
          <w:p w:rsidR="008901C0" w:rsidRDefault="008901C0">
            <w:pPr>
              <w:jc w:val="center"/>
            </w:pPr>
            <w:r>
              <w:rPr>
                <w:color w:val="000000"/>
                <w:sz w:val="18"/>
                <w:szCs w:val="18"/>
              </w:rPr>
              <w:t>香港证券交易所</w:t>
            </w:r>
          </w:p>
        </w:tc>
        <w:tc>
          <w:tcPr>
            <w:tcW w:w="479" w:type="pct"/>
            <w:vAlign w:val="center"/>
          </w:tcPr>
          <w:p w:rsidR="008901C0" w:rsidRDefault="008901C0">
            <w:pPr>
              <w:jc w:val="center"/>
            </w:pPr>
            <w:r>
              <w:rPr>
                <w:color w:val="000000"/>
                <w:sz w:val="18"/>
                <w:szCs w:val="18"/>
              </w:rPr>
              <w:t>香港</w:t>
            </w:r>
          </w:p>
        </w:tc>
        <w:tc>
          <w:tcPr>
            <w:tcW w:w="590" w:type="pct"/>
            <w:vAlign w:val="center"/>
          </w:tcPr>
          <w:p w:rsidR="008901C0" w:rsidRDefault="008901C0">
            <w:pPr>
              <w:jc w:val="right"/>
            </w:pPr>
            <w:r>
              <w:rPr>
                <w:color w:val="000000"/>
                <w:sz w:val="18"/>
                <w:szCs w:val="18"/>
              </w:rPr>
              <w:t>180,000</w:t>
            </w:r>
          </w:p>
        </w:tc>
        <w:tc>
          <w:tcPr>
            <w:tcW w:w="555" w:type="pct"/>
            <w:vAlign w:val="center"/>
          </w:tcPr>
          <w:p w:rsidR="008901C0" w:rsidRDefault="008901C0">
            <w:pPr>
              <w:jc w:val="right"/>
            </w:pPr>
            <w:r>
              <w:rPr>
                <w:color w:val="000000"/>
                <w:sz w:val="18"/>
                <w:szCs w:val="18"/>
              </w:rPr>
              <w:t>421,118.69</w:t>
            </w:r>
          </w:p>
        </w:tc>
        <w:tc>
          <w:tcPr>
            <w:tcW w:w="511" w:type="pct"/>
            <w:vAlign w:val="center"/>
          </w:tcPr>
          <w:p w:rsidR="008901C0" w:rsidRDefault="008901C0">
            <w:pPr>
              <w:jc w:val="right"/>
            </w:pPr>
            <w:r>
              <w:rPr>
                <w:color w:val="000000"/>
                <w:sz w:val="18"/>
                <w:szCs w:val="18"/>
              </w:rPr>
              <w:t>4.21</w:t>
            </w:r>
          </w:p>
        </w:tc>
      </w:tr>
    </w:tbl>
    <w:p w:rsidR="00B4334D" w:rsidRPr="00B4334D" w:rsidRDefault="002D0DE5" w:rsidP="00B4334D">
      <w:pPr>
        <w:spacing w:line="288" w:lineRule="auto"/>
        <w:rPr>
          <w:b/>
          <w:color w:val="000000"/>
        </w:rPr>
      </w:pPr>
      <w:r w:rsidRPr="002D0DE5">
        <w:rPr>
          <w:rFonts w:hint="eastAsia"/>
          <w:color w:val="000000"/>
          <w:sz w:val="24"/>
        </w:rPr>
        <w:t>注：前十名股票及存托凭证的排名是按照上市公司不同的上市交易所合并计算排列所得。</w:t>
      </w:r>
    </w:p>
    <w:p w:rsidR="00521EDE" w:rsidRPr="00B4334D" w:rsidRDefault="00521EDE" w:rsidP="00707A5E">
      <w:pPr>
        <w:autoSpaceDE w:val="0"/>
        <w:autoSpaceDN w:val="0"/>
        <w:adjustRightInd w:val="0"/>
        <w:spacing w:before="29" w:line="288" w:lineRule="auto"/>
        <w:ind w:left="15"/>
        <w:jc w:val="left"/>
        <w:rPr>
          <w:color w:val="00000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707A5E">
      <w:pPr>
        <w:autoSpaceDE w:val="0"/>
        <w:autoSpaceDN w:val="0"/>
        <w:adjustRightInd w:val="0"/>
        <w:spacing w:before="29" w:line="288" w:lineRule="auto"/>
        <w:ind w:left="15"/>
        <w:jc w:val="left"/>
        <w:rPr>
          <w:b/>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5.9</w:t>
      </w:r>
      <w:r w:rsidR="000D4219" w:rsidRPr="008640AE">
        <w:rPr>
          <w:b/>
          <w:color w:val="000000"/>
          <w:kern w:val="0"/>
          <w:sz w:val="24"/>
        </w:rPr>
        <w:t xml:space="preserve"> </w:t>
      </w:r>
      <w:r w:rsidRPr="008640AE">
        <w:rPr>
          <w:b/>
          <w:color w:val="000000"/>
          <w:kern w:val="0"/>
          <w:sz w:val="24"/>
        </w:rPr>
        <w:t>报告期末按公允价值占基金资产净值比例大小排序的前十名基金投资明细</w:t>
      </w:r>
    </w:p>
    <w:p w:rsidR="00521EDE" w:rsidRPr="008640AE" w:rsidRDefault="00521EDE" w:rsidP="00707A5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707A5E">
      <w:pPr>
        <w:autoSpaceDE w:val="0"/>
        <w:autoSpaceDN w:val="0"/>
        <w:adjustRightInd w:val="0"/>
        <w:spacing w:before="29" w:line="288" w:lineRule="auto"/>
        <w:jc w:val="left"/>
        <w:rPr>
          <w:color w:val="000000"/>
          <w:kern w:val="0"/>
          <w:sz w:val="24"/>
        </w:rPr>
      </w:pPr>
    </w:p>
    <w:p w:rsidR="0076518F" w:rsidRPr="008640AE" w:rsidRDefault="0076518F" w:rsidP="00707A5E">
      <w:pPr>
        <w:autoSpaceDE w:val="0"/>
        <w:autoSpaceDN w:val="0"/>
        <w:adjustRightInd w:val="0"/>
        <w:spacing w:before="29" w:line="288" w:lineRule="auto"/>
        <w:jc w:val="left"/>
        <w:rPr>
          <w:b/>
          <w:color w:val="000000"/>
          <w:kern w:val="0"/>
          <w:sz w:val="24"/>
        </w:rPr>
      </w:pPr>
      <w:r w:rsidRPr="008640AE">
        <w:rPr>
          <w:b/>
          <w:color w:val="000000"/>
          <w:kern w:val="0"/>
          <w:sz w:val="24"/>
        </w:rPr>
        <w:t xml:space="preserve">5.10 </w:t>
      </w:r>
      <w:r w:rsidRPr="008640AE">
        <w:rPr>
          <w:b/>
          <w:color w:val="000000"/>
          <w:kern w:val="0"/>
          <w:sz w:val="24"/>
        </w:rPr>
        <w:t>投资组合报告附注</w:t>
      </w:r>
    </w:p>
    <w:p w:rsidR="0076518F" w:rsidRPr="008640AE" w:rsidRDefault="004966FE" w:rsidP="00707A5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707A5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707A5E">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707A5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183,764.72</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243.73</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3,014.42</w:t>
            </w:r>
          </w:p>
        </w:tc>
      </w:tr>
      <w:tr w:rsidR="002C2678" w:rsidRPr="008640AE" w:rsidTr="00B64F6B">
        <w:trPr>
          <w:jc w:val="center"/>
        </w:trPr>
        <w:tc>
          <w:tcPr>
            <w:tcW w:w="802" w:type="dxa"/>
            <w:vAlign w:val="center"/>
          </w:tcPr>
          <w:p w:rsidR="002C2678" w:rsidRPr="008640AE" w:rsidRDefault="002C2678" w:rsidP="00707A5E">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707A5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707A5E">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707A5E">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187,022.87</w:t>
            </w:r>
          </w:p>
        </w:tc>
      </w:tr>
    </w:tbl>
    <w:p w:rsidR="00A22D4B" w:rsidRPr="008640AE" w:rsidRDefault="00A22D4B" w:rsidP="00707A5E">
      <w:pPr>
        <w:autoSpaceDE w:val="0"/>
        <w:autoSpaceDN w:val="0"/>
        <w:adjustRightInd w:val="0"/>
        <w:spacing w:before="29" w:line="288" w:lineRule="auto"/>
        <w:jc w:val="left"/>
        <w:rPr>
          <w:b/>
          <w:color w:val="000000"/>
          <w:kern w:val="0"/>
          <w:sz w:val="24"/>
        </w:rPr>
      </w:pPr>
    </w:p>
    <w:p w:rsidR="0076518F" w:rsidRPr="008640AE" w:rsidRDefault="0076518F" w:rsidP="00707A5E">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707A5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707A5E">
      <w:pPr>
        <w:autoSpaceDE w:val="0"/>
        <w:autoSpaceDN w:val="0"/>
        <w:adjustRightInd w:val="0"/>
        <w:spacing w:before="29" w:line="288" w:lineRule="auto"/>
        <w:jc w:val="left"/>
        <w:rPr>
          <w:color w:val="000000"/>
          <w:sz w:val="24"/>
        </w:rPr>
      </w:pPr>
    </w:p>
    <w:p w:rsidR="0076518F" w:rsidRPr="008640AE" w:rsidRDefault="0076518F" w:rsidP="00707A5E">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707A5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707A5E">
      <w:pPr>
        <w:autoSpaceDE w:val="0"/>
        <w:autoSpaceDN w:val="0"/>
        <w:adjustRightInd w:val="0"/>
        <w:spacing w:before="29" w:line="288" w:lineRule="auto"/>
        <w:jc w:val="left"/>
        <w:rPr>
          <w:color w:val="000000"/>
          <w:sz w:val="24"/>
        </w:rPr>
      </w:pPr>
    </w:p>
    <w:p w:rsidR="0076518F" w:rsidRPr="008640AE" w:rsidRDefault="0076518F" w:rsidP="00707A5E">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707A5E">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707A5E">
      <w:pPr>
        <w:spacing w:before="29" w:line="288" w:lineRule="auto"/>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707A5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w:t>
            </w:r>
            <w:r w:rsidR="008975BC"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11,245,095.13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1,346,533.46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707A5E">
            <w:pPr>
              <w:autoSpaceDE w:val="0"/>
              <w:autoSpaceDN w:val="0"/>
              <w:adjustRightInd w:val="0"/>
              <w:spacing w:before="29" w:line="288" w:lineRule="auto"/>
              <w:ind w:left="17"/>
              <w:jc w:val="left"/>
              <w:rPr>
                <w:color w:val="000000"/>
                <w:kern w:val="0"/>
                <w:sz w:val="24"/>
              </w:rPr>
            </w:pPr>
            <w:r w:rsidRPr="008640AE">
              <w:rPr>
                <w:color w:val="000000"/>
                <w:kern w:val="0"/>
                <w:sz w:val="24"/>
              </w:rPr>
              <w:t>减：本报告期基金总赎回份额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3,938,769.25</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本报告期基金拆分变动份额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707A5E">
            <w:pPr>
              <w:autoSpaceDE w:val="0"/>
              <w:autoSpaceDN w:val="0"/>
              <w:adjustRightInd w:val="0"/>
              <w:spacing w:before="29" w:line="288" w:lineRule="auto"/>
              <w:ind w:left="17"/>
              <w:jc w:val="left"/>
              <w:rPr>
                <w:color w:val="000000"/>
                <w:kern w:val="0"/>
                <w:sz w:val="24"/>
              </w:rPr>
            </w:pPr>
            <w:r w:rsidRPr="008640AE">
              <w:rPr>
                <w:color w:val="000000"/>
                <w:kern w:val="0"/>
                <w:sz w:val="24"/>
              </w:rPr>
              <w:t>本报告期期末基金份额总额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707A5E">
            <w:pPr>
              <w:autoSpaceDE w:val="0"/>
              <w:autoSpaceDN w:val="0"/>
              <w:adjustRightInd w:val="0"/>
              <w:spacing w:before="29" w:line="288" w:lineRule="auto"/>
              <w:ind w:left="17"/>
              <w:jc w:val="right"/>
              <w:rPr>
                <w:color w:val="000000"/>
                <w:sz w:val="24"/>
              </w:rPr>
            </w:pPr>
            <w:r w:rsidRPr="008640AE">
              <w:rPr>
                <w:color w:val="000000"/>
                <w:sz w:val="24"/>
              </w:rPr>
              <w:t>8,652,859.34</w:t>
            </w:r>
          </w:p>
        </w:tc>
      </w:tr>
    </w:tbl>
    <w:p w:rsidR="00891D1C" w:rsidRDefault="000128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707A5E">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707A5E">
      <w:pPr>
        <w:autoSpaceDE w:val="0"/>
        <w:autoSpaceDN w:val="0"/>
        <w:adjustRightInd w:val="0"/>
        <w:spacing w:before="29" w:line="288" w:lineRule="auto"/>
        <w:jc w:val="left"/>
        <w:rPr>
          <w:color w:val="000000"/>
          <w:sz w:val="24"/>
        </w:rPr>
      </w:pPr>
    </w:p>
    <w:p w:rsidR="005E64DA" w:rsidRPr="008640AE" w:rsidRDefault="005E64DA"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2D0DE5" w:rsidRDefault="005E64DA" w:rsidP="002D0DE5">
      <w:pPr>
        <w:autoSpaceDE w:val="0"/>
        <w:autoSpaceDN w:val="0"/>
        <w:adjustRightInd w:val="0"/>
        <w:spacing w:before="29" w:line="288" w:lineRule="auto"/>
        <w:ind w:firstLine="420"/>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Default="00200B62" w:rsidP="00707A5E">
      <w:pPr>
        <w:autoSpaceDE w:val="0"/>
        <w:autoSpaceDN w:val="0"/>
        <w:adjustRightInd w:val="0"/>
        <w:spacing w:before="29" w:line="288" w:lineRule="auto"/>
        <w:jc w:val="left"/>
        <w:rPr>
          <w:color w:val="000000"/>
          <w:sz w:val="24"/>
        </w:rPr>
      </w:pPr>
    </w:p>
    <w:p w:rsidR="00172068" w:rsidRPr="00EA1349" w:rsidRDefault="00172068" w:rsidP="005F68FD">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2D0DE5" w:rsidRPr="002D0DE5" w:rsidRDefault="002D0DE5" w:rsidP="002D0DE5">
      <w:pPr>
        <w:autoSpaceDE w:val="0"/>
        <w:autoSpaceDN w:val="0"/>
        <w:adjustRightInd w:val="0"/>
        <w:spacing w:before="29" w:line="288" w:lineRule="auto"/>
        <w:ind w:firstLine="420"/>
        <w:jc w:val="left"/>
        <w:rPr>
          <w:color w:val="000000"/>
          <w:sz w:val="24"/>
        </w:rPr>
      </w:pPr>
      <w:r w:rsidRPr="002D0DE5">
        <w:rPr>
          <w:rFonts w:hint="eastAsia"/>
          <w:color w:val="000000"/>
          <w:sz w:val="24"/>
        </w:rPr>
        <w:t>本基金托管人</w:t>
      </w:r>
      <w:r w:rsidRPr="002D0DE5">
        <w:rPr>
          <w:color w:val="000000"/>
          <w:sz w:val="24"/>
        </w:rPr>
        <w:t>2014</w:t>
      </w:r>
      <w:r w:rsidRPr="002D0DE5">
        <w:rPr>
          <w:rFonts w:hint="eastAsia"/>
          <w:color w:val="000000"/>
          <w:sz w:val="24"/>
        </w:rPr>
        <w:t>年</w:t>
      </w:r>
      <w:r w:rsidRPr="002D0DE5">
        <w:rPr>
          <w:color w:val="000000"/>
          <w:sz w:val="24"/>
        </w:rPr>
        <w:t>2</w:t>
      </w:r>
      <w:r w:rsidRPr="002D0DE5">
        <w:rPr>
          <w:rFonts w:hint="eastAsia"/>
          <w:color w:val="000000"/>
          <w:sz w:val="24"/>
        </w:rPr>
        <w:t>月</w:t>
      </w:r>
      <w:r w:rsidRPr="002D0DE5">
        <w:rPr>
          <w:color w:val="000000"/>
          <w:sz w:val="24"/>
        </w:rPr>
        <w:t>7</w:t>
      </w:r>
      <w:r w:rsidRPr="002D0DE5">
        <w:rPr>
          <w:rFonts w:hint="eastAsia"/>
          <w:color w:val="000000"/>
          <w:sz w:val="24"/>
        </w:rPr>
        <w:t>日发布任免通知，解聘尹东中国建设银行投资托管业务部总经理助理职务。</w:t>
      </w:r>
    </w:p>
    <w:p w:rsidR="00172068" w:rsidRPr="00FC5AFC" w:rsidRDefault="00172068" w:rsidP="00707A5E">
      <w:pPr>
        <w:autoSpaceDE w:val="0"/>
        <w:autoSpaceDN w:val="0"/>
        <w:adjustRightInd w:val="0"/>
        <w:spacing w:before="29" w:line="288" w:lineRule="auto"/>
        <w:jc w:val="left"/>
        <w:rPr>
          <w:color w:val="000000"/>
          <w:sz w:val="24"/>
        </w:rPr>
      </w:pPr>
    </w:p>
    <w:p w:rsidR="0076518F" w:rsidRPr="008640AE" w:rsidRDefault="0076518F" w:rsidP="005F68FD">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172068">
        <w:rPr>
          <w:rFonts w:hint="eastAsia"/>
          <w:color w:val="000000"/>
          <w:kern w:val="0"/>
          <w:sz w:val="24"/>
          <w:szCs w:val="24"/>
        </w:rPr>
        <w:t>9</w:t>
      </w:r>
      <w:r w:rsidR="00172068" w:rsidRPr="008640AE">
        <w:rPr>
          <w:color w:val="000000"/>
          <w:kern w:val="0"/>
          <w:sz w:val="24"/>
          <w:szCs w:val="24"/>
        </w:rPr>
        <w:t xml:space="preserve"> </w:t>
      </w:r>
      <w:r w:rsidRPr="008640AE">
        <w:rPr>
          <w:color w:val="000000"/>
          <w:kern w:val="0"/>
          <w:sz w:val="24"/>
          <w:szCs w:val="24"/>
        </w:rPr>
        <w:t>备查文件目录</w:t>
      </w:r>
    </w:p>
    <w:p w:rsidR="008975BC" w:rsidRPr="008640AE" w:rsidRDefault="00172068"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891D1C" w:rsidRDefault="000128F8">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891D1C" w:rsidRDefault="000128F8">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891D1C" w:rsidRDefault="000128F8">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891D1C" w:rsidRDefault="000128F8">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891D1C" w:rsidRDefault="000128F8">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707A5E">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707A5E">
      <w:pPr>
        <w:spacing w:before="29" w:line="288" w:lineRule="auto"/>
        <w:ind w:firstLineChars="200" w:firstLine="480"/>
        <w:rPr>
          <w:color w:val="000000"/>
          <w:sz w:val="24"/>
        </w:rPr>
      </w:pPr>
    </w:p>
    <w:p w:rsidR="008975BC" w:rsidRPr="008640AE" w:rsidRDefault="00172068"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707A5E">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707A5E">
      <w:pPr>
        <w:spacing w:before="29" w:line="288" w:lineRule="auto"/>
        <w:ind w:firstLineChars="200" w:firstLine="480"/>
        <w:rPr>
          <w:color w:val="000000"/>
          <w:sz w:val="24"/>
        </w:rPr>
      </w:pPr>
    </w:p>
    <w:p w:rsidR="008975BC" w:rsidRPr="008640AE" w:rsidRDefault="00172068" w:rsidP="00707A5E">
      <w:pPr>
        <w:autoSpaceDE w:val="0"/>
        <w:autoSpaceDN w:val="0"/>
        <w:adjustRightInd w:val="0"/>
        <w:spacing w:before="29" w:line="288" w:lineRule="auto"/>
        <w:jc w:val="left"/>
        <w:rPr>
          <w:b/>
          <w:bCs/>
          <w:color w:val="000000"/>
          <w:kern w:val="0"/>
          <w:sz w:val="24"/>
        </w:rPr>
      </w:pPr>
      <w:r>
        <w:rPr>
          <w:rFonts w:hint="eastAsia"/>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891D1C" w:rsidRDefault="000128F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7D4AE2">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7D4AE2">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B8D" w:rsidRDefault="00D23B8D">
      <w:r>
        <w:separator/>
      </w:r>
    </w:p>
  </w:endnote>
  <w:endnote w:type="continuationSeparator" w:id="0">
    <w:p w:rsidR="00D23B8D" w:rsidRDefault="00D2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2D0DE5">
      <w:rPr>
        <w:kern w:val="0"/>
        <w:szCs w:val="21"/>
      </w:rPr>
      <w:fldChar w:fldCharType="begin"/>
    </w:r>
    <w:r>
      <w:rPr>
        <w:kern w:val="0"/>
        <w:szCs w:val="21"/>
      </w:rPr>
      <w:instrText xml:space="preserve"> PAGE </w:instrText>
    </w:r>
    <w:r w:rsidR="002D0DE5">
      <w:rPr>
        <w:kern w:val="0"/>
        <w:szCs w:val="21"/>
      </w:rPr>
      <w:fldChar w:fldCharType="separate"/>
    </w:r>
    <w:r w:rsidR="00415BC0">
      <w:rPr>
        <w:noProof/>
        <w:kern w:val="0"/>
        <w:szCs w:val="21"/>
      </w:rPr>
      <w:t>9</w:t>
    </w:r>
    <w:r w:rsidR="002D0DE5">
      <w:rPr>
        <w:kern w:val="0"/>
        <w:szCs w:val="21"/>
      </w:rPr>
      <w:fldChar w:fldCharType="end"/>
    </w:r>
    <w:r>
      <w:rPr>
        <w:rFonts w:hint="eastAsia"/>
        <w:kern w:val="0"/>
        <w:szCs w:val="21"/>
      </w:rPr>
      <w:t>页共</w:t>
    </w:r>
    <w:r w:rsidR="002D0DE5">
      <w:rPr>
        <w:kern w:val="0"/>
        <w:szCs w:val="21"/>
      </w:rPr>
      <w:fldChar w:fldCharType="begin"/>
    </w:r>
    <w:r>
      <w:rPr>
        <w:kern w:val="0"/>
        <w:szCs w:val="21"/>
      </w:rPr>
      <w:instrText xml:space="preserve"> NUMPAGES </w:instrText>
    </w:r>
    <w:r w:rsidR="002D0DE5">
      <w:rPr>
        <w:kern w:val="0"/>
        <w:szCs w:val="21"/>
      </w:rPr>
      <w:fldChar w:fldCharType="separate"/>
    </w:r>
    <w:r w:rsidR="00415BC0">
      <w:rPr>
        <w:noProof/>
        <w:kern w:val="0"/>
        <w:szCs w:val="21"/>
      </w:rPr>
      <w:t>12</w:t>
    </w:r>
    <w:r w:rsidR="002D0DE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2D0DE5">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B8D" w:rsidRDefault="00D23B8D">
      <w:r>
        <w:separator/>
      </w:r>
    </w:p>
  </w:footnote>
  <w:footnote w:type="continuationSeparator" w:id="0">
    <w:p w:rsidR="00D23B8D" w:rsidRDefault="00D23B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28F8"/>
    <w:rsid w:val="00017581"/>
    <w:rsid w:val="00017739"/>
    <w:rsid w:val="00020583"/>
    <w:rsid w:val="00021DD4"/>
    <w:rsid w:val="00023BE7"/>
    <w:rsid w:val="00026BFF"/>
    <w:rsid w:val="000306F0"/>
    <w:rsid w:val="0003091A"/>
    <w:rsid w:val="00037FCF"/>
    <w:rsid w:val="00041090"/>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068"/>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A21A9"/>
    <w:rsid w:val="001A3475"/>
    <w:rsid w:val="001A4A63"/>
    <w:rsid w:val="001A59D8"/>
    <w:rsid w:val="001A5FA6"/>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64F9"/>
    <w:rsid w:val="00297B13"/>
    <w:rsid w:val="002A1F14"/>
    <w:rsid w:val="002A2678"/>
    <w:rsid w:val="002A2E01"/>
    <w:rsid w:val="002A398F"/>
    <w:rsid w:val="002A530F"/>
    <w:rsid w:val="002A5C6B"/>
    <w:rsid w:val="002A5D31"/>
    <w:rsid w:val="002A6CD3"/>
    <w:rsid w:val="002A714F"/>
    <w:rsid w:val="002B14C2"/>
    <w:rsid w:val="002B1851"/>
    <w:rsid w:val="002B27FF"/>
    <w:rsid w:val="002B4320"/>
    <w:rsid w:val="002B6793"/>
    <w:rsid w:val="002C042C"/>
    <w:rsid w:val="002C1726"/>
    <w:rsid w:val="002C21A6"/>
    <w:rsid w:val="002C2678"/>
    <w:rsid w:val="002C26D5"/>
    <w:rsid w:val="002C3CD4"/>
    <w:rsid w:val="002C5777"/>
    <w:rsid w:val="002D0DE5"/>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5BC0"/>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2009E"/>
    <w:rsid w:val="00520ED7"/>
    <w:rsid w:val="00521EDE"/>
    <w:rsid w:val="00525E59"/>
    <w:rsid w:val="005318CC"/>
    <w:rsid w:val="005346F1"/>
    <w:rsid w:val="005349B1"/>
    <w:rsid w:val="005374BC"/>
    <w:rsid w:val="00543367"/>
    <w:rsid w:val="00543BFA"/>
    <w:rsid w:val="00547D9C"/>
    <w:rsid w:val="00547DA1"/>
    <w:rsid w:val="00551A1A"/>
    <w:rsid w:val="00552829"/>
    <w:rsid w:val="0055513C"/>
    <w:rsid w:val="00560194"/>
    <w:rsid w:val="00560C94"/>
    <w:rsid w:val="0056291C"/>
    <w:rsid w:val="0056509C"/>
    <w:rsid w:val="00565A63"/>
    <w:rsid w:val="00565E5C"/>
    <w:rsid w:val="00566588"/>
    <w:rsid w:val="00566F22"/>
    <w:rsid w:val="00571BD3"/>
    <w:rsid w:val="0057210D"/>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68FD"/>
    <w:rsid w:val="005F7085"/>
    <w:rsid w:val="005F79F9"/>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61974"/>
    <w:rsid w:val="00662D4B"/>
    <w:rsid w:val="00664551"/>
    <w:rsid w:val="00664F49"/>
    <w:rsid w:val="006658FA"/>
    <w:rsid w:val="0066726C"/>
    <w:rsid w:val="006674BD"/>
    <w:rsid w:val="006676A0"/>
    <w:rsid w:val="00670857"/>
    <w:rsid w:val="00671124"/>
    <w:rsid w:val="006727B0"/>
    <w:rsid w:val="0067307E"/>
    <w:rsid w:val="006774F8"/>
    <w:rsid w:val="006804FA"/>
    <w:rsid w:val="00686EC0"/>
    <w:rsid w:val="00687AD5"/>
    <w:rsid w:val="00691153"/>
    <w:rsid w:val="006949ED"/>
    <w:rsid w:val="00695251"/>
    <w:rsid w:val="00695ADE"/>
    <w:rsid w:val="00695C0D"/>
    <w:rsid w:val="00696356"/>
    <w:rsid w:val="006A1DAE"/>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6EC9"/>
    <w:rsid w:val="00797637"/>
    <w:rsid w:val="007A3680"/>
    <w:rsid w:val="007A59B8"/>
    <w:rsid w:val="007A72D3"/>
    <w:rsid w:val="007A75F5"/>
    <w:rsid w:val="007B2862"/>
    <w:rsid w:val="007B662A"/>
    <w:rsid w:val="007C2C7E"/>
    <w:rsid w:val="007D1292"/>
    <w:rsid w:val="007D28C9"/>
    <w:rsid w:val="007D3CC8"/>
    <w:rsid w:val="007D4AE2"/>
    <w:rsid w:val="007D5ECD"/>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27BB"/>
    <w:rsid w:val="008836B7"/>
    <w:rsid w:val="008841D3"/>
    <w:rsid w:val="00884359"/>
    <w:rsid w:val="00884D3D"/>
    <w:rsid w:val="00887DE6"/>
    <w:rsid w:val="00890172"/>
    <w:rsid w:val="008901C0"/>
    <w:rsid w:val="008911D2"/>
    <w:rsid w:val="00891D1C"/>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4EB"/>
    <w:rsid w:val="00997813"/>
    <w:rsid w:val="009A02A0"/>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334D"/>
    <w:rsid w:val="00B43FC2"/>
    <w:rsid w:val="00B47485"/>
    <w:rsid w:val="00B518C3"/>
    <w:rsid w:val="00B55185"/>
    <w:rsid w:val="00B57C0C"/>
    <w:rsid w:val="00B61923"/>
    <w:rsid w:val="00B621D6"/>
    <w:rsid w:val="00B62914"/>
    <w:rsid w:val="00B64F6B"/>
    <w:rsid w:val="00B65D6F"/>
    <w:rsid w:val="00B6690C"/>
    <w:rsid w:val="00B67552"/>
    <w:rsid w:val="00B67C23"/>
    <w:rsid w:val="00B67CAC"/>
    <w:rsid w:val="00B7075F"/>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215"/>
    <w:rsid w:val="00C439FB"/>
    <w:rsid w:val="00C43F23"/>
    <w:rsid w:val="00C4675D"/>
    <w:rsid w:val="00C467F0"/>
    <w:rsid w:val="00C50011"/>
    <w:rsid w:val="00C503D3"/>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3B8D"/>
    <w:rsid w:val="00D26F6B"/>
    <w:rsid w:val="00D33751"/>
    <w:rsid w:val="00D33FBF"/>
    <w:rsid w:val="00D36F6E"/>
    <w:rsid w:val="00D37343"/>
    <w:rsid w:val="00D4205E"/>
    <w:rsid w:val="00D565EC"/>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59B3"/>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7A7"/>
    <w:rsid w:val="00E87C2F"/>
    <w:rsid w:val="00E906B4"/>
    <w:rsid w:val="00E9095B"/>
    <w:rsid w:val="00E90CF1"/>
    <w:rsid w:val="00E9399B"/>
    <w:rsid w:val="00E94008"/>
    <w:rsid w:val="00E94762"/>
    <w:rsid w:val="00E95F54"/>
    <w:rsid w:val="00E96B52"/>
    <w:rsid w:val="00EA2244"/>
    <w:rsid w:val="00EA3F21"/>
    <w:rsid w:val="00EA411E"/>
    <w:rsid w:val="00EA5FC0"/>
    <w:rsid w:val="00EA6FA7"/>
    <w:rsid w:val="00EB067F"/>
    <w:rsid w:val="00EB1F02"/>
    <w:rsid w:val="00EB51FD"/>
    <w:rsid w:val="00EB5BC5"/>
    <w:rsid w:val="00EB72C1"/>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A55"/>
    <w:rsid w:val="00FA4D4F"/>
    <w:rsid w:val="00FA54E8"/>
    <w:rsid w:val="00FA5CA2"/>
    <w:rsid w:val="00FB2D17"/>
    <w:rsid w:val="00FB2F69"/>
    <w:rsid w:val="00FB39F7"/>
    <w:rsid w:val="00FB3BCA"/>
    <w:rsid w:val="00FB45FF"/>
    <w:rsid w:val="00FB47E0"/>
    <w:rsid w:val="00FB5D97"/>
    <w:rsid w:val="00FB7363"/>
    <w:rsid w:val="00FB757E"/>
    <w:rsid w:val="00FC1CA5"/>
    <w:rsid w:val="00FC2979"/>
    <w:rsid w:val="00FC45F4"/>
    <w:rsid w:val="00FC5AFC"/>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0353"/>
    <o:shapelayout v:ext="edit">
      <o:idmap v:ext="edit" data="1"/>
    </o:shapelayout>
  </w:shapeDefaults>
  <w:decimalSymbol w:val="."/>
  <w:listSeparator w:val=","/>
  <w15:docId w15:val="{39CFF724-2E08-45AE-9C7E-E3250988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uiPriority w:val="99"/>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93</TotalTime>
  <Pages>12</Pages>
  <Words>1058</Words>
  <Characters>6032</Characters>
  <Application>Microsoft Office Word</Application>
  <DocSecurity>0</DocSecurity>
  <Lines>50</Lines>
  <Paragraphs>14</Paragraphs>
  <ScaleCrop>false</ScaleCrop>
  <Company>TRT. Ltd. Co.</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196</cp:revision>
  <cp:lastPrinted>2007-07-19T00:46:00Z</cp:lastPrinted>
  <dcterms:created xsi:type="dcterms:W3CDTF">2013-08-01T05:26:00Z</dcterms:created>
  <dcterms:modified xsi:type="dcterms:W3CDTF">2014-04-21T10:50:00Z</dcterms:modified>
</cp:coreProperties>
</file>