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707A5E">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707A5E">
      <w:pPr>
        <w:autoSpaceDE w:val="0"/>
        <w:autoSpaceDN w:val="0"/>
        <w:adjustRightInd w:val="0"/>
        <w:spacing w:before="29" w:line="288" w:lineRule="auto"/>
        <w:jc w:val="left"/>
        <w:rPr>
          <w:color w:val="000000"/>
          <w:kern w:val="0"/>
          <w:sz w:val="24"/>
        </w:rPr>
      </w:pPr>
    </w:p>
    <w:p w:rsidR="00397616" w:rsidRPr="008640AE" w:rsidRDefault="00397616" w:rsidP="00707A5E">
      <w:pPr>
        <w:autoSpaceDE w:val="0"/>
        <w:autoSpaceDN w:val="0"/>
        <w:adjustRightInd w:val="0"/>
        <w:spacing w:before="29" w:line="288" w:lineRule="auto"/>
        <w:jc w:val="left"/>
        <w:rPr>
          <w:color w:val="000000"/>
          <w:kern w:val="0"/>
          <w:sz w:val="24"/>
        </w:rPr>
      </w:pPr>
    </w:p>
    <w:p w:rsidR="00F22F00" w:rsidRPr="008640AE" w:rsidRDefault="00F22F00" w:rsidP="00707A5E">
      <w:pPr>
        <w:autoSpaceDE w:val="0"/>
        <w:autoSpaceDN w:val="0"/>
        <w:adjustRightInd w:val="0"/>
        <w:spacing w:before="29" w:line="288" w:lineRule="auto"/>
        <w:jc w:val="left"/>
        <w:rPr>
          <w:color w:val="000000"/>
          <w:kern w:val="0"/>
          <w:sz w:val="24"/>
        </w:rPr>
      </w:pPr>
    </w:p>
    <w:p w:rsidR="00F22F00" w:rsidRPr="008640AE" w:rsidRDefault="00F22F00" w:rsidP="00707A5E">
      <w:pPr>
        <w:spacing w:before="29" w:line="288" w:lineRule="auto"/>
        <w:jc w:val="center"/>
        <w:rPr>
          <w:b/>
          <w:sz w:val="24"/>
        </w:rPr>
      </w:pPr>
      <w:r w:rsidRPr="008640AE">
        <w:rPr>
          <w:b/>
          <w:sz w:val="24"/>
        </w:rPr>
        <w:t>交银施罗德环球精选价值证券投资基金</w:t>
      </w:r>
    </w:p>
    <w:p w:rsidR="00F22F00" w:rsidRPr="008640AE" w:rsidRDefault="00F22F00" w:rsidP="00707A5E">
      <w:pPr>
        <w:spacing w:before="29" w:line="288" w:lineRule="auto"/>
        <w:jc w:val="center"/>
        <w:rPr>
          <w:b/>
          <w:sz w:val="24"/>
        </w:rPr>
      </w:pPr>
      <w:r w:rsidRPr="008640AE">
        <w:rPr>
          <w:b/>
          <w:sz w:val="24"/>
        </w:rPr>
        <w:t>2014</w:t>
      </w:r>
      <w:r w:rsidRPr="008640AE">
        <w:rPr>
          <w:b/>
          <w:sz w:val="24"/>
        </w:rPr>
        <w:t>年第</w:t>
      </w:r>
      <w:r w:rsidRPr="008640AE">
        <w:rPr>
          <w:b/>
          <w:sz w:val="24"/>
        </w:rPr>
        <w:t>1</w:t>
      </w:r>
      <w:r w:rsidRPr="008640AE">
        <w:rPr>
          <w:b/>
          <w:sz w:val="24"/>
        </w:rPr>
        <w:t>季度报告</w:t>
      </w:r>
    </w:p>
    <w:p w:rsidR="00397616" w:rsidRPr="008640AE" w:rsidRDefault="00623556" w:rsidP="00707A5E">
      <w:pPr>
        <w:spacing w:before="29" w:line="288" w:lineRule="auto"/>
        <w:jc w:val="center"/>
        <w:rPr>
          <w:sz w:val="24"/>
        </w:rPr>
      </w:pPr>
      <w:r w:rsidRPr="008640AE">
        <w:rPr>
          <w:sz w:val="24"/>
        </w:rPr>
        <w:t>2014</w:t>
      </w:r>
      <w:r w:rsidRPr="008640AE">
        <w:rPr>
          <w:sz w:val="24"/>
        </w:rPr>
        <w:t>年</w:t>
      </w:r>
      <w:r w:rsidRPr="008640AE">
        <w:rPr>
          <w:sz w:val="24"/>
        </w:rPr>
        <w:t>3</w:t>
      </w:r>
      <w:r w:rsidRPr="008640AE">
        <w:rPr>
          <w:sz w:val="24"/>
        </w:rPr>
        <w:t>月</w:t>
      </w:r>
      <w:r w:rsidRPr="008640AE">
        <w:rPr>
          <w:sz w:val="24"/>
        </w:rPr>
        <w:t>31</w:t>
      </w:r>
      <w:r w:rsidRPr="008640AE">
        <w:rPr>
          <w:sz w:val="24"/>
        </w:rPr>
        <w:t>日</w:t>
      </w: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ind w:firstLineChars="900" w:firstLine="2168"/>
        <w:rPr>
          <w:b/>
          <w:color w:val="000000"/>
          <w:sz w:val="24"/>
        </w:rPr>
      </w:pPr>
    </w:p>
    <w:p w:rsidR="007D1292" w:rsidRPr="008640AE" w:rsidRDefault="007D1292" w:rsidP="00707A5E">
      <w:pPr>
        <w:spacing w:before="29" w:line="288" w:lineRule="auto"/>
        <w:ind w:firstLineChars="900" w:firstLine="2160"/>
        <w:rPr>
          <w:color w:val="000000"/>
          <w:sz w:val="24"/>
        </w:rPr>
      </w:pPr>
      <w:r w:rsidRPr="008640AE">
        <w:rPr>
          <w:color w:val="000000"/>
          <w:sz w:val="24"/>
        </w:rPr>
        <w:t>基金管理人：交银施罗德基金管理有限公司</w:t>
      </w:r>
    </w:p>
    <w:p w:rsidR="003063E8" w:rsidRPr="008640AE" w:rsidRDefault="003063E8" w:rsidP="00707A5E">
      <w:pPr>
        <w:spacing w:before="29" w:line="288" w:lineRule="auto"/>
        <w:ind w:firstLineChars="900" w:firstLine="2160"/>
        <w:rPr>
          <w:color w:val="000000"/>
          <w:sz w:val="24"/>
        </w:rPr>
      </w:pPr>
    </w:p>
    <w:p w:rsidR="007D1292" w:rsidRPr="008640AE" w:rsidRDefault="007D1292" w:rsidP="00707A5E">
      <w:pPr>
        <w:spacing w:before="29" w:line="288" w:lineRule="auto"/>
        <w:ind w:firstLineChars="900" w:firstLine="2160"/>
        <w:rPr>
          <w:color w:val="000000"/>
          <w:sz w:val="24"/>
        </w:rPr>
      </w:pPr>
      <w:r w:rsidRPr="008640AE">
        <w:rPr>
          <w:color w:val="000000"/>
          <w:sz w:val="24"/>
        </w:rPr>
        <w:t>基金托管人：中国建设银行股份有限公司</w:t>
      </w:r>
    </w:p>
    <w:p w:rsidR="003063E8" w:rsidRPr="008640AE" w:rsidRDefault="003063E8" w:rsidP="00707A5E">
      <w:pPr>
        <w:spacing w:before="29" w:line="288" w:lineRule="auto"/>
        <w:ind w:firstLineChars="900" w:firstLine="2160"/>
        <w:rPr>
          <w:color w:val="000000"/>
          <w:sz w:val="24"/>
        </w:rPr>
      </w:pPr>
    </w:p>
    <w:p w:rsidR="007D1292" w:rsidRPr="008640AE" w:rsidRDefault="007D1292" w:rsidP="00707A5E">
      <w:pPr>
        <w:spacing w:before="29" w:line="288" w:lineRule="auto"/>
        <w:ind w:firstLineChars="900" w:firstLine="2160"/>
        <w:rPr>
          <w:color w:val="000000"/>
          <w:sz w:val="24"/>
        </w:rPr>
      </w:pPr>
      <w:r w:rsidRPr="008640AE">
        <w:rPr>
          <w:color w:val="000000"/>
          <w:sz w:val="24"/>
        </w:rPr>
        <w:t>报告送出日期：</w:t>
      </w:r>
      <w:r w:rsidR="00CB44DE" w:rsidRPr="008640AE">
        <w:rPr>
          <w:color w:val="000000"/>
          <w:sz w:val="24"/>
        </w:rPr>
        <w:t>二〇一四年四月二十二日</w:t>
      </w:r>
    </w:p>
    <w:p w:rsidR="00CC4CB4" w:rsidRPr="008640AE" w:rsidRDefault="00CC4CB4" w:rsidP="00707A5E">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5839D9">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E35C70" w:rsidRDefault="000421A8">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E35C70" w:rsidRDefault="000421A8">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2014</w:t>
      </w:r>
      <w:r>
        <w:rPr>
          <w:color w:val="000000"/>
          <w:sz w:val="24"/>
        </w:rPr>
        <w:t>年</w:t>
      </w:r>
      <w:r>
        <w:rPr>
          <w:color w:val="000000"/>
          <w:sz w:val="24"/>
        </w:rPr>
        <w:t>4</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E35C70" w:rsidRDefault="000421A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35C70" w:rsidRDefault="000421A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E35C70" w:rsidRDefault="000421A8">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707A5E">
      <w:pPr>
        <w:spacing w:before="29" w:line="288" w:lineRule="auto"/>
        <w:ind w:firstLineChars="200" w:firstLine="480"/>
        <w:rPr>
          <w:color w:val="000000"/>
          <w:sz w:val="24"/>
        </w:rPr>
      </w:pPr>
      <w:r w:rsidRPr="008640AE">
        <w:rPr>
          <w:color w:val="000000"/>
          <w:sz w:val="24"/>
        </w:rPr>
        <w:t>本报告期自</w:t>
      </w:r>
      <w:r w:rsidRPr="008640AE">
        <w:rPr>
          <w:color w:val="000000"/>
          <w:sz w:val="24"/>
        </w:rPr>
        <w:t>2014</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3</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707A5E">
      <w:pPr>
        <w:spacing w:before="29" w:line="288" w:lineRule="auto"/>
        <w:ind w:firstLineChars="200" w:firstLine="480"/>
        <w:rPr>
          <w:color w:val="000000"/>
          <w:sz w:val="24"/>
        </w:rPr>
      </w:pPr>
    </w:p>
    <w:p w:rsidR="0076518F" w:rsidRPr="008640AE" w:rsidRDefault="0076518F" w:rsidP="005839D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D6766B">
        <w:trPr>
          <w:jc w:val="center"/>
        </w:trPr>
        <w:tc>
          <w:tcPr>
            <w:tcW w:w="2977" w:type="dxa"/>
            <w:vAlign w:val="center"/>
          </w:tcPr>
          <w:p w:rsidR="00363E15" w:rsidRPr="008640AE" w:rsidRDefault="00363E15" w:rsidP="00707A5E">
            <w:pPr>
              <w:adjustRightInd w:val="0"/>
              <w:spacing w:before="29" w:line="288" w:lineRule="auto"/>
              <w:ind w:left="17"/>
              <w:jc w:val="left"/>
              <w:rPr>
                <w:kern w:val="0"/>
                <w:sz w:val="24"/>
              </w:rPr>
            </w:pPr>
            <w:r w:rsidRPr="008640AE">
              <w:rPr>
                <w:kern w:val="0"/>
                <w:sz w:val="24"/>
              </w:rPr>
              <w:t>基金简称</w:t>
            </w:r>
          </w:p>
        </w:tc>
        <w:tc>
          <w:tcPr>
            <w:tcW w:w="5443" w:type="dxa"/>
            <w:vAlign w:val="center"/>
          </w:tcPr>
          <w:p w:rsidR="00363E15" w:rsidRPr="008640AE" w:rsidRDefault="00363E15" w:rsidP="00707A5E">
            <w:pPr>
              <w:adjustRightInd w:val="0"/>
              <w:spacing w:before="29" w:line="288" w:lineRule="auto"/>
              <w:ind w:left="17"/>
              <w:jc w:val="left"/>
              <w:rPr>
                <w:color w:val="000000"/>
                <w:kern w:val="0"/>
                <w:sz w:val="24"/>
              </w:rPr>
            </w:pPr>
            <w:r w:rsidRPr="008640AE">
              <w:rPr>
                <w:color w:val="000000"/>
                <w:kern w:val="0"/>
                <w:sz w:val="24"/>
              </w:rPr>
              <w:t>交银环球精选股票</w:t>
            </w:r>
            <w:r w:rsidRPr="008640AE">
              <w:rPr>
                <w:color w:val="000000"/>
                <w:kern w:val="0"/>
                <w:sz w:val="24"/>
              </w:rPr>
              <w:t>(QDII)</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kern w:val="0"/>
                <w:sz w:val="24"/>
              </w:rPr>
            </w:pPr>
            <w:r w:rsidRPr="008640AE">
              <w:rPr>
                <w:kern w:val="0"/>
                <w:sz w:val="24"/>
              </w:rPr>
              <w:t>基金主代码</w:t>
            </w:r>
          </w:p>
        </w:tc>
        <w:tc>
          <w:tcPr>
            <w:tcW w:w="5443" w:type="dxa"/>
            <w:vAlign w:val="center"/>
          </w:tcPr>
          <w:p w:rsidR="0066726C" w:rsidRPr="008640AE" w:rsidRDefault="0066726C" w:rsidP="00707A5E">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D6766B">
        <w:trPr>
          <w:jc w:val="center"/>
        </w:trPr>
        <w:tc>
          <w:tcPr>
            <w:tcW w:w="2977" w:type="dxa"/>
            <w:vAlign w:val="center"/>
          </w:tcPr>
          <w:p w:rsidR="005837E4" w:rsidRPr="008640AE" w:rsidRDefault="005837E4" w:rsidP="00707A5E">
            <w:pPr>
              <w:adjustRightInd w:val="0"/>
              <w:spacing w:before="29" w:line="288" w:lineRule="auto"/>
              <w:ind w:left="17"/>
              <w:jc w:val="left"/>
              <w:rPr>
                <w:kern w:val="0"/>
                <w:sz w:val="24"/>
              </w:rPr>
            </w:pPr>
            <w:r w:rsidRPr="008640AE">
              <w:rPr>
                <w:kern w:val="0"/>
                <w:sz w:val="24"/>
              </w:rPr>
              <w:t>交易代码</w:t>
            </w:r>
          </w:p>
        </w:tc>
        <w:tc>
          <w:tcPr>
            <w:tcW w:w="5443" w:type="dxa"/>
            <w:vAlign w:val="center"/>
          </w:tcPr>
          <w:p w:rsidR="005837E4" w:rsidRPr="008640AE" w:rsidRDefault="005837E4" w:rsidP="00707A5E">
            <w:pPr>
              <w:adjustRightInd w:val="0"/>
              <w:spacing w:before="29" w:line="288" w:lineRule="auto"/>
              <w:ind w:left="17"/>
              <w:jc w:val="left"/>
              <w:rPr>
                <w:color w:val="000000"/>
                <w:kern w:val="0"/>
                <w:sz w:val="24"/>
              </w:rPr>
            </w:pPr>
            <w:r w:rsidRPr="008640AE">
              <w:rPr>
                <w:kern w:val="0"/>
                <w:sz w:val="24"/>
              </w:rPr>
              <w:t>519696</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t>基金运作方式</w:t>
            </w:r>
          </w:p>
        </w:tc>
        <w:tc>
          <w:tcPr>
            <w:tcW w:w="5443" w:type="dxa"/>
            <w:vAlign w:val="center"/>
          </w:tcPr>
          <w:p w:rsidR="0066726C" w:rsidRPr="008640AE" w:rsidRDefault="0066726C" w:rsidP="00707A5E">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t>基金合同生效日</w:t>
            </w:r>
          </w:p>
        </w:tc>
        <w:tc>
          <w:tcPr>
            <w:tcW w:w="5443" w:type="dxa"/>
            <w:vAlign w:val="center"/>
          </w:tcPr>
          <w:p w:rsidR="0066726C" w:rsidRPr="008640AE" w:rsidRDefault="0066726C" w:rsidP="00707A5E">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t>报告期末基金份额总额</w:t>
            </w:r>
          </w:p>
        </w:tc>
        <w:tc>
          <w:tcPr>
            <w:tcW w:w="5443" w:type="dxa"/>
            <w:vAlign w:val="center"/>
          </w:tcPr>
          <w:p w:rsidR="0066726C" w:rsidRPr="008640AE" w:rsidRDefault="0066726C" w:rsidP="00707A5E">
            <w:pPr>
              <w:adjustRightInd w:val="0"/>
              <w:spacing w:before="29" w:line="288" w:lineRule="auto"/>
              <w:ind w:left="17"/>
              <w:jc w:val="left"/>
              <w:rPr>
                <w:color w:val="000000"/>
                <w:sz w:val="24"/>
              </w:rPr>
            </w:pPr>
            <w:r w:rsidRPr="008640AE">
              <w:rPr>
                <w:color w:val="000000"/>
                <w:kern w:val="0"/>
                <w:sz w:val="24"/>
              </w:rPr>
              <w:t>101,371,087.18</w:t>
            </w:r>
            <w:r w:rsidRPr="008640AE">
              <w:rPr>
                <w:color w:val="000000"/>
                <w:kern w:val="0"/>
                <w:sz w:val="24"/>
              </w:rPr>
              <w:t>份</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t>投资目标</w:t>
            </w:r>
          </w:p>
        </w:tc>
        <w:tc>
          <w:tcPr>
            <w:tcW w:w="5443" w:type="dxa"/>
            <w:vAlign w:val="center"/>
          </w:tcPr>
          <w:p w:rsidR="0066726C" w:rsidRPr="008640AE" w:rsidRDefault="0066726C" w:rsidP="00707A5E">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t>投资策略</w:t>
            </w:r>
          </w:p>
        </w:tc>
        <w:tc>
          <w:tcPr>
            <w:tcW w:w="5443" w:type="dxa"/>
            <w:vAlign w:val="center"/>
          </w:tcPr>
          <w:p w:rsidR="0066726C" w:rsidRPr="008640AE" w:rsidRDefault="0066726C" w:rsidP="00707A5E">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t>业绩比较基准</w:t>
            </w:r>
          </w:p>
        </w:tc>
        <w:tc>
          <w:tcPr>
            <w:tcW w:w="5443" w:type="dxa"/>
            <w:vAlign w:val="center"/>
          </w:tcPr>
          <w:p w:rsidR="0066726C" w:rsidRPr="008640AE" w:rsidRDefault="0066726C" w:rsidP="00707A5E">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t>风险收益特征</w:t>
            </w:r>
          </w:p>
        </w:tc>
        <w:tc>
          <w:tcPr>
            <w:tcW w:w="5443" w:type="dxa"/>
            <w:vAlign w:val="center"/>
          </w:tcPr>
          <w:p w:rsidR="0066726C" w:rsidRPr="008640AE" w:rsidRDefault="0066726C" w:rsidP="00707A5E">
            <w:pPr>
              <w:adjustRightInd w:val="0"/>
              <w:spacing w:before="29" w:line="288" w:lineRule="auto"/>
              <w:ind w:left="17"/>
              <w:jc w:val="left"/>
              <w:rPr>
                <w:color w:val="000000"/>
                <w:sz w:val="24"/>
              </w:rPr>
            </w:pPr>
            <w:r w:rsidRPr="008640AE">
              <w:rPr>
                <w:color w:val="000000"/>
                <w:kern w:val="0"/>
                <w:sz w:val="24"/>
              </w:rPr>
              <w:t>本基金以股票及股票基金为主要投资对象，属于较高预期风险和预期收益的证券投资基金品种，其预期风险和收益水平高于混合型基金和债券型基金。此外，本基金在全球范围内进行投资，除了需要承担国际市</w:t>
            </w:r>
            <w:r w:rsidRPr="008640AE">
              <w:rPr>
                <w:color w:val="000000"/>
                <w:kern w:val="0"/>
                <w:sz w:val="24"/>
              </w:rPr>
              <w:lastRenderedPageBreak/>
              <w:t>场的市场波动风险之外，还面临汇率风险、国别风险、新兴市场风险等海外市场投资所面临的特别投资风险。</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lastRenderedPageBreak/>
              <w:t>基金管理人</w:t>
            </w:r>
          </w:p>
        </w:tc>
        <w:tc>
          <w:tcPr>
            <w:tcW w:w="5443" w:type="dxa"/>
            <w:vAlign w:val="center"/>
          </w:tcPr>
          <w:p w:rsidR="0066726C" w:rsidRPr="008640AE" w:rsidRDefault="0066726C" w:rsidP="00707A5E">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t>基金托管人</w:t>
            </w:r>
          </w:p>
        </w:tc>
        <w:tc>
          <w:tcPr>
            <w:tcW w:w="5443" w:type="dxa"/>
            <w:vAlign w:val="center"/>
          </w:tcPr>
          <w:p w:rsidR="0066726C" w:rsidRPr="008640AE" w:rsidRDefault="0066726C" w:rsidP="00707A5E">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kern w:val="0"/>
                <w:sz w:val="24"/>
              </w:rPr>
            </w:pPr>
            <w:r w:rsidRPr="008640AE">
              <w:rPr>
                <w:kern w:val="0"/>
                <w:sz w:val="24"/>
              </w:rPr>
              <w:t>境外投资顾问英文名称</w:t>
            </w:r>
          </w:p>
        </w:tc>
        <w:tc>
          <w:tcPr>
            <w:tcW w:w="5443" w:type="dxa"/>
            <w:vAlign w:val="center"/>
          </w:tcPr>
          <w:p w:rsidR="0066726C" w:rsidRPr="008640AE" w:rsidRDefault="0066726C" w:rsidP="00707A5E">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kern w:val="0"/>
                <w:sz w:val="24"/>
              </w:rPr>
            </w:pPr>
            <w:r w:rsidRPr="008640AE">
              <w:rPr>
                <w:kern w:val="0"/>
                <w:sz w:val="24"/>
              </w:rPr>
              <w:t>境外投资顾问中文名称</w:t>
            </w:r>
          </w:p>
        </w:tc>
        <w:tc>
          <w:tcPr>
            <w:tcW w:w="5443" w:type="dxa"/>
            <w:vAlign w:val="center"/>
          </w:tcPr>
          <w:p w:rsidR="0066726C" w:rsidRPr="008640AE" w:rsidRDefault="0066726C" w:rsidP="00707A5E">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kern w:val="0"/>
                <w:sz w:val="24"/>
              </w:rPr>
            </w:pPr>
            <w:r w:rsidRPr="008640AE">
              <w:rPr>
                <w:kern w:val="0"/>
                <w:sz w:val="24"/>
              </w:rPr>
              <w:t>境外资产托管人英文名称</w:t>
            </w:r>
          </w:p>
        </w:tc>
        <w:tc>
          <w:tcPr>
            <w:tcW w:w="5443" w:type="dxa"/>
            <w:vAlign w:val="center"/>
          </w:tcPr>
          <w:p w:rsidR="0066726C" w:rsidRPr="008640AE" w:rsidRDefault="0066726C" w:rsidP="00707A5E">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kern w:val="0"/>
                <w:sz w:val="24"/>
              </w:rPr>
            </w:pPr>
            <w:r w:rsidRPr="008640AE">
              <w:rPr>
                <w:kern w:val="0"/>
                <w:sz w:val="24"/>
              </w:rPr>
              <w:t>境外资产托管人中文名称</w:t>
            </w:r>
          </w:p>
        </w:tc>
        <w:tc>
          <w:tcPr>
            <w:tcW w:w="5443" w:type="dxa"/>
            <w:vAlign w:val="center"/>
          </w:tcPr>
          <w:p w:rsidR="0066726C" w:rsidRPr="008640AE" w:rsidRDefault="0066726C" w:rsidP="00707A5E">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707A5E">
      <w:pPr>
        <w:autoSpaceDE w:val="0"/>
        <w:autoSpaceDN w:val="0"/>
        <w:adjustRightInd w:val="0"/>
        <w:spacing w:before="29" w:line="288" w:lineRule="auto"/>
        <w:jc w:val="left"/>
        <w:rPr>
          <w:color w:val="000000"/>
          <w:sz w:val="24"/>
        </w:rPr>
      </w:pPr>
    </w:p>
    <w:p w:rsidR="0076518F" w:rsidRPr="008640AE" w:rsidRDefault="0076518F" w:rsidP="005839D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707A5E">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421A8" w:rsidRPr="008640AE" w:rsidTr="000421A8">
        <w:trPr>
          <w:jc w:val="center"/>
        </w:trPr>
        <w:tc>
          <w:tcPr>
            <w:tcW w:w="3402" w:type="dxa"/>
            <w:vAlign w:val="center"/>
          </w:tcPr>
          <w:p w:rsidR="007D1292" w:rsidRPr="008640AE" w:rsidRDefault="007D1292" w:rsidP="00707A5E">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707A5E">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707A5E">
            <w:pPr>
              <w:adjustRightInd w:val="0"/>
              <w:spacing w:before="29" w:line="288" w:lineRule="auto"/>
              <w:ind w:left="17"/>
              <w:jc w:val="center"/>
              <w:rPr>
                <w:color w:val="000000"/>
                <w:sz w:val="24"/>
              </w:rPr>
            </w:pPr>
            <w:r w:rsidRPr="008640AE">
              <w:rPr>
                <w:color w:val="000000"/>
                <w:sz w:val="24"/>
              </w:rPr>
              <w:t>(2014</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w:t>
            </w:r>
            <w:r w:rsidRPr="008640AE">
              <w:rPr>
                <w:color w:val="000000"/>
                <w:sz w:val="24"/>
              </w:rPr>
              <w:t>-2014</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0421A8" w:rsidRPr="008640AE" w:rsidTr="000421A8">
        <w:trPr>
          <w:jc w:val="center"/>
        </w:trPr>
        <w:tc>
          <w:tcPr>
            <w:tcW w:w="3402" w:type="dxa"/>
            <w:vAlign w:val="center"/>
          </w:tcPr>
          <w:p w:rsidR="007D1292" w:rsidRPr="008640AE" w:rsidRDefault="007D1292" w:rsidP="00707A5E">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707A5E">
            <w:pPr>
              <w:adjustRightInd w:val="0"/>
              <w:spacing w:before="29" w:line="288" w:lineRule="auto"/>
              <w:ind w:left="17"/>
              <w:jc w:val="right"/>
              <w:rPr>
                <w:color w:val="000000"/>
                <w:sz w:val="24"/>
              </w:rPr>
            </w:pPr>
            <w:r w:rsidRPr="008640AE">
              <w:rPr>
                <w:color w:val="000000"/>
                <w:sz w:val="24"/>
              </w:rPr>
              <w:t>5,638,413.39</w:t>
            </w:r>
          </w:p>
        </w:tc>
      </w:tr>
      <w:tr w:rsidR="000421A8" w:rsidRPr="008640AE" w:rsidTr="000421A8">
        <w:trPr>
          <w:jc w:val="center"/>
        </w:trPr>
        <w:tc>
          <w:tcPr>
            <w:tcW w:w="3402" w:type="dxa"/>
            <w:vAlign w:val="center"/>
          </w:tcPr>
          <w:p w:rsidR="007D1292" w:rsidRPr="008640AE" w:rsidRDefault="007D1292" w:rsidP="00707A5E">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707A5E">
            <w:pPr>
              <w:adjustRightInd w:val="0"/>
              <w:spacing w:before="29" w:line="288" w:lineRule="auto"/>
              <w:ind w:left="17"/>
              <w:jc w:val="right"/>
              <w:rPr>
                <w:color w:val="000000"/>
                <w:sz w:val="24"/>
              </w:rPr>
            </w:pPr>
            <w:r w:rsidRPr="008640AE">
              <w:rPr>
                <w:color w:val="000000"/>
                <w:sz w:val="24"/>
              </w:rPr>
              <w:t>1,847,866.47</w:t>
            </w:r>
          </w:p>
        </w:tc>
      </w:tr>
      <w:tr w:rsidR="000421A8" w:rsidRPr="008640AE" w:rsidTr="000421A8">
        <w:trPr>
          <w:jc w:val="center"/>
        </w:trPr>
        <w:tc>
          <w:tcPr>
            <w:tcW w:w="3402" w:type="dxa"/>
            <w:vAlign w:val="center"/>
          </w:tcPr>
          <w:p w:rsidR="007D1292" w:rsidRPr="008640AE" w:rsidRDefault="007D1292" w:rsidP="00707A5E">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707A5E">
            <w:pPr>
              <w:adjustRightInd w:val="0"/>
              <w:spacing w:before="29" w:line="288" w:lineRule="auto"/>
              <w:ind w:left="17"/>
              <w:jc w:val="right"/>
              <w:rPr>
                <w:color w:val="000000"/>
                <w:sz w:val="24"/>
              </w:rPr>
            </w:pPr>
            <w:r w:rsidRPr="008640AE">
              <w:rPr>
                <w:color w:val="000000"/>
                <w:sz w:val="24"/>
              </w:rPr>
              <w:t>0.0178</w:t>
            </w:r>
          </w:p>
        </w:tc>
      </w:tr>
      <w:tr w:rsidR="000421A8" w:rsidRPr="008640AE" w:rsidTr="000421A8">
        <w:trPr>
          <w:jc w:val="center"/>
        </w:trPr>
        <w:tc>
          <w:tcPr>
            <w:tcW w:w="3402" w:type="dxa"/>
            <w:vAlign w:val="center"/>
          </w:tcPr>
          <w:p w:rsidR="007D1292" w:rsidRPr="008640AE" w:rsidRDefault="007D1292" w:rsidP="00707A5E">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707A5E">
            <w:pPr>
              <w:adjustRightInd w:val="0"/>
              <w:spacing w:before="29" w:line="288" w:lineRule="auto"/>
              <w:ind w:left="17"/>
              <w:jc w:val="right"/>
              <w:rPr>
                <w:color w:val="000000"/>
                <w:sz w:val="24"/>
              </w:rPr>
            </w:pPr>
            <w:r w:rsidRPr="008640AE">
              <w:rPr>
                <w:color w:val="000000"/>
                <w:sz w:val="24"/>
              </w:rPr>
              <w:t>160,212,697.59</w:t>
            </w:r>
          </w:p>
        </w:tc>
      </w:tr>
      <w:tr w:rsidR="000421A8" w:rsidRPr="008640AE" w:rsidTr="000421A8">
        <w:trPr>
          <w:trHeight w:val="158"/>
          <w:jc w:val="center"/>
        </w:trPr>
        <w:tc>
          <w:tcPr>
            <w:tcW w:w="3402" w:type="dxa"/>
            <w:vAlign w:val="center"/>
          </w:tcPr>
          <w:p w:rsidR="007D1292" w:rsidRPr="008640AE" w:rsidRDefault="007D1292" w:rsidP="00707A5E">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707A5E">
            <w:pPr>
              <w:adjustRightInd w:val="0"/>
              <w:spacing w:before="29" w:line="288" w:lineRule="auto"/>
              <w:ind w:left="17"/>
              <w:jc w:val="right"/>
              <w:rPr>
                <w:color w:val="000000"/>
                <w:sz w:val="24"/>
              </w:rPr>
            </w:pPr>
            <w:r w:rsidRPr="008640AE">
              <w:rPr>
                <w:color w:val="000000"/>
                <w:sz w:val="24"/>
              </w:rPr>
              <w:t>1.580</w:t>
            </w:r>
          </w:p>
        </w:tc>
      </w:tr>
    </w:tbl>
    <w:p w:rsidR="00E35C70" w:rsidRDefault="000421A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707A5E">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707A5E">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707A5E">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707A5E">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707A5E">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707A5E">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707A5E">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707A5E">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707A5E">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E35C70">
        <w:trPr>
          <w:jc w:val="center"/>
        </w:trPr>
        <w:tc>
          <w:tcPr>
            <w:tcW w:w="1701" w:type="dxa"/>
            <w:vAlign w:val="center"/>
          </w:tcPr>
          <w:p w:rsidR="00E35C70" w:rsidRDefault="000421A8">
            <w:pPr>
              <w:jc w:val="left"/>
            </w:pPr>
            <w:r>
              <w:rPr>
                <w:color w:val="000000"/>
                <w:sz w:val="24"/>
              </w:rPr>
              <w:t>过去三个月</w:t>
            </w:r>
          </w:p>
        </w:tc>
        <w:tc>
          <w:tcPr>
            <w:tcW w:w="1194" w:type="dxa"/>
            <w:vAlign w:val="center"/>
          </w:tcPr>
          <w:p w:rsidR="00E35C70" w:rsidRDefault="000421A8">
            <w:pPr>
              <w:jc w:val="right"/>
            </w:pPr>
            <w:r>
              <w:rPr>
                <w:color w:val="000000"/>
                <w:sz w:val="24"/>
              </w:rPr>
              <w:t>1.13%</w:t>
            </w:r>
          </w:p>
        </w:tc>
        <w:tc>
          <w:tcPr>
            <w:tcW w:w="1194" w:type="dxa"/>
            <w:vAlign w:val="center"/>
          </w:tcPr>
          <w:p w:rsidR="00E35C70" w:rsidRDefault="000421A8">
            <w:pPr>
              <w:jc w:val="right"/>
            </w:pPr>
            <w:r>
              <w:rPr>
                <w:color w:val="000000"/>
                <w:sz w:val="24"/>
              </w:rPr>
              <w:t>0.74%</w:t>
            </w:r>
          </w:p>
        </w:tc>
        <w:tc>
          <w:tcPr>
            <w:tcW w:w="1194" w:type="dxa"/>
            <w:vAlign w:val="center"/>
          </w:tcPr>
          <w:p w:rsidR="00E35C70" w:rsidRDefault="000421A8">
            <w:pPr>
              <w:jc w:val="right"/>
            </w:pPr>
            <w:r>
              <w:rPr>
                <w:color w:val="000000"/>
                <w:sz w:val="24"/>
              </w:rPr>
              <w:t>-1.07%</w:t>
            </w:r>
          </w:p>
        </w:tc>
        <w:tc>
          <w:tcPr>
            <w:tcW w:w="1343" w:type="dxa"/>
            <w:vAlign w:val="center"/>
          </w:tcPr>
          <w:p w:rsidR="00E35C70" w:rsidRDefault="000421A8">
            <w:pPr>
              <w:jc w:val="right"/>
            </w:pPr>
            <w:r>
              <w:rPr>
                <w:color w:val="000000"/>
                <w:sz w:val="24"/>
              </w:rPr>
              <w:t>0.59%</w:t>
            </w:r>
          </w:p>
        </w:tc>
        <w:tc>
          <w:tcPr>
            <w:tcW w:w="1194" w:type="dxa"/>
            <w:vAlign w:val="center"/>
          </w:tcPr>
          <w:p w:rsidR="00E35C70" w:rsidRDefault="000421A8">
            <w:pPr>
              <w:jc w:val="right"/>
            </w:pPr>
            <w:r>
              <w:rPr>
                <w:color w:val="000000"/>
                <w:sz w:val="24"/>
              </w:rPr>
              <w:t>2.20%</w:t>
            </w:r>
          </w:p>
        </w:tc>
        <w:tc>
          <w:tcPr>
            <w:tcW w:w="1048" w:type="dxa"/>
            <w:vAlign w:val="center"/>
          </w:tcPr>
          <w:p w:rsidR="00E35C70" w:rsidRDefault="000421A8">
            <w:pPr>
              <w:jc w:val="right"/>
            </w:pPr>
            <w:r>
              <w:rPr>
                <w:color w:val="000000"/>
                <w:sz w:val="24"/>
              </w:rPr>
              <w:t>0.15%</w:t>
            </w:r>
          </w:p>
        </w:tc>
      </w:tr>
    </w:tbl>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3.2.2</w:t>
      </w:r>
      <w:r w:rsidR="00EC7C78">
        <w:rPr>
          <w:rFonts w:hint="eastAsia"/>
          <w:b/>
          <w:color w:val="000000"/>
          <w:kern w:val="0"/>
          <w:sz w:val="24"/>
        </w:rPr>
        <w:t xml:space="preserve"> </w:t>
      </w:r>
      <w:r w:rsidR="006A3F7F" w:rsidRPr="008640AE">
        <w:rPr>
          <w:b/>
          <w:color w:val="000000"/>
          <w:kern w:val="0"/>
          <w:sz w:val="24"/>
        </w:rPr>
        <w:t>自基金合同生效以来基金份额累计净值增长率变动及其与同期业绩比较基准收益率变动的比较</w:t>
      </w:r>
    </w:p>
    <w:p w:rsidR="00A96FD9" w:rsidRPr="008640AE" w:rsidRDefault="00A96FD9" w:rsidP="00707A5E">
      <w:pPr>
        <w:spacing w:before="29" w:line="288" w:lineRule="auto"/>
        <w:jc w:val="center"/>
        <w:rPr>
          <w:sz w:val="24"/>
        </w:rPr>
      </w:pPr>
      <w:r w:rsidRPr="008640AE">
        <w:rPr>
          <w:sz w:val="24"/>
        </w:rPr>
        <w:t>交银施罗德环球精选价值证券投资基金</w:t>
      </w:r>
    </w:p>
    <w:p w:rsidR="00FB39F7" w:rsidRPr="008640AE" w:rsidRDefault="00F94B4D" w:rsidP="00707A5E">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707A5E">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2014</w:t>
      </w:r>
      <w:r w:rsidRPr="008640AE">
        <w:rPr>
          <w:color w:val="000000"/>
          <w:kern w:val="0"/>
          <w:sz w:val="24"/>
        </w:rPr>
        <w:t>年</w:t>
      </w:r>
      <w:r w:rsidRPr="008640AE">
        <w:rPr>
          <w:color w:val="000000"/>
          <w:kern w:val="0"/>
          <w:sz w:val="24"/>
        </w:rPr>
        <w:t>3</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707A5E">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707A5E">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707A5E">
      <w:pPr>
        <w:autoSpaceDE w:val="0"/>
        <w:autoSpaceDN w:val="0"/>
        <w:adjustRightInd w:val="0"/>
        <w:spacing w:before="29" w:line="288" w:lineRule="auto"/>
        <w:jc w:val="left"/>
        <w:rPr>
          <w:color w:val="000000"/>
          <w:sz w:val="24"/>
        </w:rPr>
      </w:pPr>
    </w:p>
    <w:p w:rsidR="0076518F" w:rsidRPr="008640AE" w:rsidRDefault="0076518F" w:rsidP="005839D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707A5E">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707A5E">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707A5E">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707A5E">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707A5E">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707A5E">
            <w:pPr>
              <w:widowControl/>
              <w:spacing w:before="29" w:line="288" w:lineRule="auto"/>
              <w:jc w:val="left"/>
              <w:rPr>
                <w:color w:val="000000"/>
                <w:kern w:val="0"/>
                <w:sz w:val="24"/>
              </w:rPr>
            </w:pPr>
          </w:p>
        </w:tc>
        <w:tc>
          <w:tcPr>
            <w:tcW w:w="850" w:type="dxa"/>
            <w:vMerge/>
            <w:vAlign w:val="center"/>
          </w:tcPr>
          <w:p w:rsidR="007D1292" w:rsidRPr="008640AE" w:rsidRDefault="007D1292" w:rsidP="00707A5E">
            <w:pPr>
              <w:widowControl/>
              <w:spacing w:before="29" w:line="288" w:lineRule="auto"/>
              <w:jc w:val="left"/>
              <w:rPr>
                <w:color w:val="000000"/>
                <w:kern w:val="0"/>
                <w:sz w:val="24"/>
              </w:rPr>
            </w:pPr>
          </w:p>
        </w:tc>
        <w:tc>
          <w:tcPr>
            <w:tcW w:w="1560" w:type="dxa"/>
            <w:vAlign w:val="center"/>
          </w:tcPr>
          <w:p w:rsidR="007D1292" w:rsidRPr="008640AE" w:rsidRDefault="007D1292" w:rsidP="00707A5E">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707A5E">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707A5E">
            <w:pPr>
              <w:widowControl/>
              <w:spacing w:before="29" w:line="288" w:lineRule="auto"/>
              <w:jc w:val="left"/>
              <w:rPr>
                <w:color w:val="000000"/>
                <w:kern w:val="0"/>
                <w:sz w:val="24"/>
              </w:rPr>
            </w:pPr>
          </w:p>
        </w:tc>
        <w:tc>
          <w:tcPr>
            <w:tcW w:w="2694" w:type="dxa"/>
            <w:vMerge/>
            <w:vAlign w:val="center"/>
          </w:tcPr>
          <w:p w:rsidR="007D1292" w:rsidRPr="008640AE" w:rsidRDefault="007D1292" w:rsidP="00707A5E">
            <w:pPr>
              <w:widowControl/>
              <w:spacing w:before="29" w:line="288" w:lineRule="auto"/>
              <w:jc w:val="left"/>
              <w:rPr>
                <w:color w:val="000000"/>
                <w:kern w:val="0"/>
                <w:sz w:val="24"/>
              </w:rPr>
            </w:pPr>
          </w:p>
        </w:tc>
      </w:tr>
      <w:tr w:rsidR="00E35C70">
        <w:trPr>
          <w:jc w:val="center"/>
        </w:trPr>
        <w:tc>
          <w:tcPr>
            <w:tcW w:w="846" w:type="dxa"/>
            <w:vAlign w:val="center"/>
          </w:tcPr>
          <w:p w:rsidR="00E35C70" w:rsidRDefault="000421A8">
            <w:pPr>
              <w:jc w:val="center"/>
            </w:pPr>
            <w:r>
              <w:rPr>
                <w:color w:val="000000"/>
                <w:sz w:val="24"/>
              </w:rPr>
              <w:t>饶超</w:t>
            </w:r>
          </w:p>
        </w:tc>
        <w:tc>
          <w:tcPr>
            <w:tcW w:w="845" w:type="dxa"/>
            <w:vAlign w:val="center"/>
          </w:tcPr>
          <w:p w:rsidR="00E35C70" w:rsidRDefault="000421A8">
            <w:pPr>
              <w:jc w:val="center"/>
            </w:pPr>
            <w:r>
              <w:rPr>
                <w:color w:val="000000"/>
                <w:sz w:val="24"/>
              </w:rPr>
              <w:t>本基金、交银施罗德全球自然资源证券投资基金的基金经理</w:t>
            </w:r>
          </w:p>
        </w:tc>
        <w:tc>
          <w:tcPr>
            <w:tcW w:w="1549" w:type="dxa"/>
            <w:vAlign w:val="center"/>
          </w:tcPr>
          <w:p w:rsidR="00E35C70" w:rsidRDefault="000421A8">
            <w:pPr>
              <w:jc w:val="center"/>
            </w:pPr>
            <w:r>
              <w:rPr>
                <w:color w:val="000000"/>
                <w:sz w:val="24"/>
              </w:rPr>
              <w:t>2012-04-09</w:t>
            </w:r>
          </w:p>
        </w:tc>
        <w:tc>
          <w:tcPr>
            <w:tcW w:w="1548" w:type="dxa"/>
            <w:vAlign w:val="center"/>
          </w:tcPr>
          <w:p w:rsidR="00E35C70" w:rsidRDefault="000421A8">
            <w:pPr>
              <w:jc w:val="center"/>
            </w:pPr>
            <w:r>
              <w:rPr>
                <w:color w:val="000000"/>
                <w:sz w:val="24"/>
              </w:rPr>
              <w:t>2014-01-24</w:t>
            </w:r>
          </w:p>
        </w:tc>
        <w:tc>
          <w:tcPr>
            <w:tcW w:w="1407" w:type="dxa"/>
            <w:vAlign w:val="center"/>
          </w:tcPr>
          <w:p w:rsidR="00E35C70" w:rsidRDefault="000421A8">
            <w:pPr>
              <w:jc w:val="center"/>
            </w:pPr>
            <w:r>
              <w:rPr>
                <w:color w:val="000000"/>
                <w:sz w:val="24"/>
              </w:rPr>
              <w:t>7</w:t>
            </w:r>
            <w:r>
              <w:rPr>
                <w:color w:val="000000"/>
                <w:sz w:val="24"/>
              </w:rPr>
              <w:t>年</w:t>
            </w:r>
          </w:p>
        </w:tc>
        <w:tc>
          <w:tcPr>
            <w:tcW w:w="2673" w:type="dxa"/>
            <w:vAlign w:val="center"/>
          </w:tcPr>
          <w:p w:rsidR="00E35C70" w:rsidRDefault="000421A8">
            <w:pPr>
              <w:jc w:val="left"/>
            </w:pPr>
            <w:r>
              <w:rPr>
                <w:color w:val="000000"/>
                <w:sz w:val="24"/>
              </w:rPr>
              <w:t>饶超先生，中国国籍。北京邮电大学硕士，美国马里兰大学</w:t>
            </w:r>
            <w:r>
              <w:rPr>
                <w:color w:val="000000"/>
                <w:sz w:val="24"/>
              </w:rPr>
              <w:t>MBA</w:t>
            </w:r>
            <w:r>
              <w:rPr>
                <w:color w:val="000000"/>
                <w:sz w:val="24"/>
              </w:rPr>
              <w:t>。历任美国</w:t>
            </w:r>
            <w:r>
              <w:rPr>
                <w:color w:val="000000"/>
                <w:sz w:val="24"/>
              </w:rPr>
              <w:t>Truffle Hound Capital,LLC</w:t>
            </w:r>
            <w:r>
              <w:rPr>
                <w:color w:val="000000"/>
                <w:sz w:val="24"/>
              </w:rPr>
              <w:t>高级研究员，</w:t>
            </w:r>
            <w:r>
              <w:rPr>
                <w:color w:val="000000"/>
                <w:sz w:val="24"/>
              </w:rPr>
              <w:t>2009</w:t>
            </w:r>
            <w:r>
              <w:rPr>
                <w:color w:val="000000"/>
                <w:sz w:val="24"/>
              </w:rPr>
              <w:t>年加入交银施罗德基金管理有限公司，历任行业分析师、</w:t>
            </w:r>
            <w:r>
              <w:rPr>
                <w:color w:val="000000"/>
                <w:sz w:val="24"/>
              </w:rPr>
              <w:t>QDII</w:t>
            </w:r>
            <w:r>
              <w:rPr>
                <w:color w:val="000000"/>
                <w:sz w:val="24"/>
              </w:rPr>
              <w:t>高级分析师，</w:t>
            </w:r>
            <w:r>
              <w:rPr>
                <w:color w:val="000000"/>
                <w:sz w:val="24"/>
              </w:rPr>
              <w:t>2012</w:t>
            </w:r>
            <w:r>
              <w:rPr>
                <w:color w:val="000000"/>
                <w:sz w:val="24"/>
              </w:rPr>
              <w:t>年</w:t>
            </w:r>
            <w:r>
              <w:rPr>
                <w:color w:val="000000"/>
                <w:sz w:val="24"/>
              </w:rPr>
              <w:t>7</w:t>
            </w:r>
            <w:r>
              <w:rPr>
                <w:color w:val="000000"/>
                <w:sz w:val="24"/>
              </w:rPr>
              <w:t>月</w:t>
            </w:r>
            <w:r>
              <w:rPr>
                <w:color w:val="000000"/>
                <w:sz w:val="24"/>
              </w:rPr>
              <w:t>27</w:t>
            </w:r>
            <w:r>
              <w:rPr>
                <w:color w:val="000000"/>
                <w:sz w:val="24"/>
              </w:rPr>
              <w:t>日至</w:t>
            </w:r>
            <w:r>
              <w:rPr>
                <w:color w:val="000000"/>
                <w:sz w:val="24"/>
              </w:rPr>
              <w:t>2014</w:t>
            </w:r>
            <w:r>
              <w:rPr>
                <w:color w:val="000000"/>
                <w:sz w:val="24"/>
              </w:rPr>
              <w:t>年</w:t>
            </w:r>
            <w:r>
              <w:rPr>
                <w:color w:val="000000"/>
                <w:sz w:val="24"/>
              </w:rPr>
              <w:t>1</w:t>
            </w:r>
            <w:r>
              <w:rPr>
                <w:color w:val="000000"/>
                <w:sz w:val="24"/>
              </w:rPr>
              <w:t>月</w:t>
            </w:r>
            <w:r>
              <w:rPr>
                <w:color w:val="000000"/>
                <w:sz w:val="24"/>
              </w:rPr>
              <w:t>23</w:t>
            </w:r>
            <w:r>
              <w:rPr>
                <w:color w:val="000000"/>
                <w:sz w:val="24"/>
              </w:rPr>
              <w:t>日担任交银施罗德全球自然资源证券投资基金基金经理。</w:t>
            </w:r>
          </w:p>
        </w:tc>
      </w:tr>
      <w:tr w:rsidR="00E35C70">
        <w:trPr>
          <w:jc w:val="center"/>
        </w:trPr>
        <w:tc>
          <w:tcPr>
            <w:tcW w:w="846" w:type="dxa"/>
            <w:vAlign w:val="center"/>
          </w:tcPr>
          <w:p w:rsidR="00E35C70" w:rsidRDefault="000421A8">
            <w:pPr>
              <w:jc w:val="center"/>
            </w:pPr>
            <w:r>
              <w:rPr>
                <w:color w:val="000000"/>
                <w:sz w:val="24"/>
              </w:rPr>
              <w:t>晏青</w:t>
            </w:r>
          </w:p>
        </w:tc>
        <w:tc>
          <w:tcPr>
            <w:tcW w:w="845" w:type="dxa"/>
            <w:vAlign w:val="center"/>
          </w:tcPr>
          <w:p w:rsidR="00E35C70" w:rsidRDefault="000421A8">
            <w:pPr>
              <w:jc w:val="center"/>
            </w:pPr>
            <w:r>
              <w:rPr>
                <w:color w:val="000000"/>
                <w:sz w:val="24"/>
              </w:rPr>
              <w:t>本基金、交银施罗德全球自然资源证券投资基金的基金经理</w:t>
            </w:r>
          </w:p>
        </w:tc>
        <w:tc>
          <w:tcPr>
            <w:tcW w:w="1549" w:type="dxa"/>
            <w:vAlign w:val="center"/>
          </w:tcPr>
          <w:p w:rsidR="00E35C70" w:rsidRDefault="000421A8">
            <w:pPr>
              <w:jc w:val="center"/>
            </w:pPr>
            <w:r>
              <w:rPr>
                <w:color w:val="000000"/>
                <w:sz w:val="24"/>
              </w:rPr>
              <w:t>2012-04-09</w:t>
            </w:r>
          </w:p>
        </w:tc>
        <w:tc>
          <w:tcPr>
            <w:tcW w:w="1548" w:type="dxa"/>
            <w:vAlign w:val="center"/>
          </w:tcPr>
          <w:p w:rsidR="00E35C70" w:rsidRDefault="000421A8">
            <w:pPr>
              <w:jc w:val="center"/>
            </w:pPr>
            <w:r>
              <w:rPr>
                <w:color w:val="000000"/>
                <w:sz w:val="24"/>
              </w:rPr>
              <w:t>-</w:t>
            </w:r>
          </w:p>
        </w:tc>
        <w:tc>
          <w:tcPr>
            <w:tcW w:w="1407" w:type="dxa"/>
            <w:vAlign w:val="center"/>
          </w:tcPr>
          <w:p w:rsidR="00E35C70" w:rsidRDefault="000421A8">
            <w:pPr>
              <w:jc w:val="center"/>
            </w:pPr>
            <w:r>
              <w:rPr>
                <w:color w:val="000000"/>
                <w:sz w:val="24"/>
              </w:rPr>
              <w:t>8</w:t>
            </w:r>
            <w:r>
              <w:rPr>
                <w:color w:val="000000"/>
                <w:sz w:val="24"/>
              </w:rPr>
              <w:t>年</w:t>
            </w:r>
          </w:p>
        </w:tc>
        <w:tc>
          <w:tcPr>
            <w:tcW w:w="2673" w:type="dxa"/>
            <w:vAlign w:val="center"/>
          </w:tcPr>
          <w:p w:rsidR="00E35C70" w:rsidRDefault="000421A8">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p>
        </w:tc>
      </w:tr>
    </w:tbl>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E35C70">
        <w:trPr>
          <w:jc w:val="center"/>
        </w:trPr>
        <w:tc>
          <w:tcPr>
            <w:tcW w:w="2070" w:type="dxa"/>
            <w:vAlign w:val="center"/>
          </w:tcPr>
          <w:p w:rsidR="00E35C70" w:rsidRDefault="000421A8">
            <w:pPr>
              <w:jc w:val="center"/>
            </w:pPr>
            <w:r>
              <w:rPr>
                <w:color w:val="000000"/>
                <w:sz w:val="24"/>
              </w:rPr>
              <w:t>Simon Webber</w:t>
            </w:r>
          </w:p>
        </w:tc>
        <w:tc>
          <w:tcPr>
            <w:tcW w:w="2465" w:type="dxa"/>
            <w:vAlign w:val="center"/>
          </w:tcPr>
          <w:p w:rsidR="00E35C70" w:rsidRDefault="000421A8">
            <w:pPr>
              <w:jc w:val="center"/>
            </w:pPr>
            <w:r>
              <w:rPr>
                <w:color w:val="000000"/>
                <w:sz w:val="24"/>
              </w:rPr>
              <w:t>施罗德集团多区域（全球及国际）股票投资主管、全球和国际股票基金经理、全球气候变化股票基金经理</w:t>
            </w:r>
          </w:p>
        </w:tc>
        <w:tc>
          <w:tcPr>
            <w:tcW w:w="2116" w:type="dxa"/>
            <w:vAlign w:val="center"/>
          </w:tcPr>
          <w:p w:rsidR="00E35C70" w:rsidRDefault="000421A8">
            <w:pPr>
              <w:jc w:val="center"/>
            </w:pPr>
            <w:r>
              <w:rPr>
                <w:color w:val="000000"/>
                <w:sz w:val="24"/>
              </w:rPr>
              <w:t>15</w:t>
            </w:r>
            <w:r>
              <w:rPr>
                <w:color w:val="000000"/>
                <w:sz w:val="24"/>
              </w:rPr>
              <w:t>年</w:t>
            </w:r>
          </w:p>
        </w:tc>
        <w:tc>
          <w:tcPr>
            <w:tcW w:w="2217" w:type="dxa"/>
            <w:vAlign w:val="center"/>
          </w:tcPr>
          <w:p w:rsidR="00E35C70" w:rsidRDefault="000421A8">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707A5E">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707A5E">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E35C70" w:rsidRDefault="000421A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35C70" w:rsidRDefault="000421A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35C70" w:rsidRDefault="000421A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707A5E">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707A5E">
      <w:pPr>
        <w:spacing w:before="29" w:line="288" w:lineRule="auto"/>
        <w:ind w:firstLineChars="200" w:firstLine="480"/>
        <w:rPr>
          <w:color w:val="000000"/>
          <w:sz w:val="24"/>
        </w:rPr>
      </w:pPr>
    </w:p>
    <w:p w:rsidR="00AB42E2" w:rsidRPr="008640AE" w:rsidRDefault="00AB42E2" w:rsidP="00707A5E">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707A5E">
      <w:pPr>
        <w:spacing w:before="29" w:line="288" w:lineRule="auto"/>
        <w:ind w:firstLineChars="200" w:firstLine="480"/>
        <w:rPr>
          <w:color w:val="000000"/>
          <w:sz w:val="24"/>
        </w:rPr>
      </w:pPr>
      <w:r w:rsidRPr="008640AE">
        <w:rPr>
          <w:color w:val="000000"/>
          <w:sz w:val="24"/>
        </w:rPr>
        <w:t>本报告期内，本公司管理的所有投资组合未发生参与的交易所公开竞价同日反向交易成交较少的单边交易量超过该证券当日总成交量</w:t>
      </w:r>
      <w:r w:rsidRPr="008640AE">
        <w:rPr>
          <w:color w:val="000000"/>
          <w:sz w:val="24"/>
        </w:rPr>
        <w:t>5%</w:t>
      </w:r>
      <w:r w:rsidRPr="008640AE">
        <w:rPr>
          <w:color w:val="000000"/>
          <w:sz w:val="24"/>
        </w:rPr>
        <w:t>的情形。本基金于本报告期内未出现异常交易行为。</w:t>
      </w:r>
    </w:p>
    <w:p w:rsidR="0076518F" w:rsidRPr="008640AE" w:rsidRDefault="0076518F" w:rsidP="00707A5E">
      <w:pPr>
        <w:autoSpaceDE w:val="0"/>
        <w:autoSpaceDN w:val="0"/>
        <w:adjustRightInd w:val="0"/>
        <w:spacing w:before="29" w:line="288" w:lineRule="auto"/>
        <w:jc w:val="left"/>
        <w:rPr>
          <w:b/>
          <w:color w:val="000000"/>
          <w:kern w:val="0"/>
          <w:sz w:val="24"/>
        </w:rPr>
      </w:pPr>
    </w:p>
    <w:p w:rsidR="00462B61" w:rsidRPr="008640AE" w:rsidRDefault="009D0169" w:rsidP="00707A5E">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E35C70" w:rsidRDefault="000421A8">
      <w:pPr>
        <w:spacing w:before="29" w:line="288" w:lineRule="auto"/>
        <w:ind w:firstLineChars="200" w:firstLine="480"/>
        <w:rPr>
          <w:color w:val="000000"/>
          <w:sz w:val="24"/>
        </w:rPr>
      </w:pPr>
      <w:r>
        <w:rPr>
          <w:color w:val="000000"/>
          <w:sz w:val="24"/>
        </w:rPr>
        <w:t>2014</w:t>
      </w:r>
      <w:r>
        <w:rPr>
          <w:color w:val="000000"/>
          <w:sz w:val="24"/>
        </w:rPr>
        <w:t>年一季度本基金净值上涨</w:t>
      </w:r>
      <w:r>
        <w:rPr>
          <w:color w:val="000000"/>
          <w:sz w:val="24"/>
        </w:rPr>
        <w:t>1.13%</w:t>
      </w:r>
      <w:r>
        <w:rPr>
          <w:color w:val="000000"/>
          <w:sz w:val="24"/>
        </w:rPr>
        <w:t>。全球股市在今年一季度波动加大，各个国家和指数涨跌互现，美国和欧洲等发达市场微幅上涨，日本、香港和俄罗斯等股市跌幅较大。美国</w:t>
      </w:r>
      <w:r>
        <w:rPr>
          <w:color w:val="000000"/>
          <w:sz w:val="24"/>
        </w:rPr>
        <w:t>QE</w:t>
      </w:r>
      <w:r>
        <w:rPr>
          <w:color w:val="000000"/>
          <w:sz w:val="24"/>
        </w:rPr>
        <w:t>退出按部就班，利率保持稳定，但利率趋势性的抬升已经影响了房地产销售数据趋于平淡，制造业数据出现一定的波动，这些都影响了美国股市的表现，市场呈现出一定幅度的波动。日本股市跟货币的升贬高度相关，日元短期结束贬值的趋势之后，本季度调整较大。欧元区继续吸引全球资金的流入，因欧元区外围经济体内部贬值效应缓解了欧元贬值压力，其股市也呈结构性分化，意大利表现最为抢眼。香港市场受多重利空因素的打击，中国国内经济放缓、房地产开发商贷款被收紧以及人民币汇率贬值，都压低了投资者的风险偏好。</w:t>
      </w:r>
    </w:p>
    <w:p w:rsidR="00E35C70" w:rsidRDefault="000421A8">
      <w:pPr>
        <w:spacing w:before="29" w:line="288" w:lineRule="auto"/>
        <w:ind w:firstLineChars="200" w:firstLine="480"/>
        <w:rPr>
          <w:color w:val="000000"/>
          <w:sz w:val="24"/>
        </w:rPr>
      </w:pPr>
      <w:r>
        <w:rPr>
          <w:color w:val="000000"/>
          <w:sz w:val="24"/>
        </w:rPr>
        <w:t>本基金本季度内继续保持稳健作风，立足于高景气度及高成长行业，坚持精选个股的操作思路。</w:t>
      </w:r>
    </w:p>
    <w:p w:rsidR="00B0116D" w:rsidRPr="008640AE" w:rsidRDefault="00B0116D" w:rsidP="00707A5E">
      <w:pPr>
        <w:spacing w:before="29" w:line="288" w:lineRule="auto"/>
        <w:ind w:firstLineChars="200" w:firstLine="480"/>
        <w:rPr>
          <w:color w:val="000000"/>
          <w:sz w:val="24"/>
        </w:rPr>
      </w:pPr>
      <w:r w:rsidRPr="008640AE">
        <w:rPr>
          <w:color w:val="000000"/>
          <w:sz w:val="24"/>
        </w:rPr>
        <w:t>展望未来一个季度，投资者依然面临诸多挑战，美国</w:t>
      </w:r>
      <w:r w:rsidRPr="008640AE">
        <w:rPr>
          <w:color w:val="000000"/>
          <w:sz w:val="24"/>
        </w:rPr>
        <w:t>QE</w:t>
      </w:r>
      <w:r w:rsidRPr="008640AE">
        <w:rPr>
          <w:color w:val="000000"/>
          <w:sz w:val="24"/>
        </w:rPr>
        <w:t>处于持续退出的进程中，日元汇率处于停滞状态短期或难有作为，欧元区虽保持宽松，但欧元处于高位。中国经济增速依然不容乐观，政策导向难以准确预判，任何变化都可能对市场产生很大的边际影响。</w:t>
      </w:r>
    </w:p>
    <w:p w:rsidR="00FD7298" w:rsidRPr="008640AE" w:rsidRDefault="00B0116D" w:rsidP="00707A5E">
      <w:pPr>
        <w:spacing w:before="29" w:line="288" w:lineRule="auto"/>
        <w:ind w:firstLineChars="200" w:firstLine="480"/>
        <w:rPr>
          <w:color w:val="000000"/>
          <w:sz w:val="24"/>
        </w:rPr>
      </w:pPr>
      <w:r w:rsidRPr="008640AE">
        <w:rPr>
          <w:color w:val="000000"/>
          <w:sz w:val="24"/>
        </w:rPr>
        <w:t>截至</w:t>
      </w:r>
      <w:r w:rsidRPr="008640AE">
        <w:rPr>
          <w:color w:val="000000"/>
          <w:sz w:val="24"/>
        </w:rPr>
        <w:t>2014</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1.58</w:t>
      </w:r>
      <w:r w:rsidR="000421A8">
        <w:rPr>
          <w:rFonts w:hint="eastAsia"/>
          <w:color w:val="000000"/>
          <w:sz w:val="24"/>
        </w:rPr>
        <w:t>0</w:t>
      </w:r>
      <w:r w:rsidRPr="008640AE">
        <w:rPr>
          <w:color w:val="000000"/>
          <w:sz w:val="24"/>
        </w:rPr>
        <w:t>元，本报告期份额净值增长率为</w:t>
      </w:r>
      <w:r w:rsidRPr="008640AE">
        <w:rPr>
          <w:color w:val="000000"/>
          <w:sz w:val="24"/>
        </w:rPr>
        <w:t>1.13%</w:t>
      </w:r>
      <w:r w:rsidRPr="008640AE">
        <w:rPr>
          <w:color w:val="000000"/>
          <w:sz w:val="24"/>
        </w:rPr>
        <w:t>，同期业绩比较基准增长率为</w:t>
      </w:r>
      <w:r w:rsidRPr="008640AE">
        <w:rPr>
          <w:color w:val="000000"/>
          <w:sz w:val="24"/>
        </w:rPr>
        <w:t>-1.07%</w:t>
      </w:r>
      <w:r w:rsidRPr="008640AE">
        <w:rPr>
          <w:color w:val="000000"/>
          <w:sz w:val="24"/>
        </w:rPr>
        <w:t>。</w:t>
      </w:r>
    </w:p>
    <w:p w:rsidR="00C736BB" w:rsidRPr="008640AE" w:rsidRDefault="00C736BB" w:rsidP="00707A5E">
      <w:pPr>
        <w:spacing w:before="29" w:line="288" w:lineRule="auto"/>
        <w:ind w:firstLineChars="200" w:firstLine="480"/>
        <w:rPr>
          <w:color w:val="000000"/>
          <w:sz w:val="24"/>
        </w:rPr>
      </w:pPr>
    </w:p>
    <w:p w:rsidR="0076518F" w:rsidRPr="008640AE" w:rsidRDefault="0076518F" w:rsidP="005839D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707A5E">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707A5E">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707A5E">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707A5E">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707A5E">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707A5E">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707A5E">
            <w:pPr>
              <w:spacing w:before="29" w:line="288" w:lineRule="auto"/>
              <w:ind w:left="17"/>
              <w:jc w:val="right"/>
              <w:rPr>
                <w:color w:val="000000"/>
                <w:sz w:val="24"/>
              </w:rPr>
            </w:pPr>
            <w:r w:rsidRPr="008640AE">
              <w:rPr>
                <w:color w:val="000000"/>
                <w:sz w:val="24"/>
              </w:rPr>
              <w:t>153,526,145.85</w:t>
            </w:r>
          </w:p>
        </w:tc>
        <w:tc>
          <w:tcPr>
            <w:tcW w:w="1559" w:type="dxa"/>
            <w:shd w:val="clear" w:color="auto" w:fill="auto"/>
            <w:vAlign w:val="center"/>
          </w:tcPr>
          <w:p w:rsidR="00363E15" w:rsidRPr="008640AE" w:rsidRDefault="00363E15" w:rsidP="00707A5E">
            <w:pPr>
              <w:spacing w:before="29" w:line="288" w:lineRule="auto"/>
              <w:ind w:left="17"/>
              <w:jc w:val="right"/>
              <w:rPr>
                <w:color w:val="000000"/>
                <w:sz w:val="24"/>
              </w:rPr>
            </w:pPr>
            <w:r w:rsidRPr="008640AE">
              <w:rPr>
                <w:color w:val="000000"/>
                <w:sz w:val="24"/>
              </w:rPr>
              <w:t>94.74</w:t>
            </w:r>
          </w:p>
        </w:tc>
      </w:tr>
      <w:tr w:rsidR="00363E15" w:rsidRPr="008640AE" w:rsidTr="00844DF5">
        <w:trPr>
          <w:jc w:val="center"/>
        </w:trPr>
        <w:tc>
          <w:tcPr>
            <w:tcW w:w="851" w:type="dxa"/>
            <w:shd w:val="clear" w:color="auto" w:fill="auto"/>
            <w:vAlign w:val="center"/>
          </w:tcPr>
          <w:p w:rsidR="00363E15" w:rsidRPr="008640AE" w:rsidRDefault="00363E15" w:rsidP="00707A5E">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707A5E">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707A5E">
            <w:pPr>
              <w:spacing w:before="29" w:line="288" w:lineRule="auto"/>
              <w:ind w:left="17"/>
              <w:jc w:val="right"/>
              <w:rPr>
                <w:color w:val="000000"/>
                <w:sz w:val="24"/>
              </w:rPr>
            </w:pPr>
            <w:r w:rsidRPr="008640AE">
              <w:rPr>
                <w:color w:val="000000"/>
                <w:sz w:val="24"/>
              </w:rPr>
              <w:t>146,885,116.32</w:t>
            </w:r>
          </w:p>
        </w:tc>
        <w:tc>
          <w:tcPr>
            <w:tcW w:w="1559" w:type="dxa"/>
            <w:shd w:val="clear" w:color="auto" w:fill="auto"/>
            <w:vAlign w:val="center"/>
          </w:tcPr>
          <w:p w:rsidR="00363E15" w:rsidRPr="008640AE" w:rsidRDefault="00363E15" w:rsidP="00707A5E">
            <w:pPr>
              <w:spacing w:before="29" w:line="288" w:lineRule="auto"/>
              <w:ind w:left="17"/>
              <w:jc w:val="right"/>
              <w:rPr>
                <w:color w:val="000000"/>
                <w:sz w:val="24"/>
              </w:rPr>
            </w:pPr>
            <w:r w:rsidRPr="008640AE">
              <w:rPr>
                <w:color w:val="000000"/>
                <w:sz w:val="24"/>
              </w:rPr>
              <w:t>90.65</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707A5E">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6,641,029.53</w:t>
            </w:r>
          </w:p>
        </w:tc>
        <w:tc>
          <w:tcPr>
            <w:tcW w:w="1559"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4.10</w:t>
            </w:r>
          </w:p>
        </w:tc>
      </w:tr>
      <w:tr w:rsidR="00CE4499" w:rsidRPr="008640AE" w:rsidTr="00844DF5">
        <w:trPr>
          <w:jc w:val="center"/>
        </w:trPr>
        <w:tc>
          <w:tcPr>
            <w:tcW w:w="851" w:type="dxa"/>
            <w:shd w:val="clear" w:color="auto" w:fill="auto"/>
            <w:vAlign w:val="center"/>
          </w:tcPr>
          <w:p w:rsidR="00CE4499" w:rsidRPr="008640AE" w:rsidRDefault="00CE4499" w:rsidP="00707A5E">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707A5E">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707A5E">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707A5E">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707A5E">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707A5E">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707A5E">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707A5E">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707A5E">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707A5E">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707A5E">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707A5E">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707A5E">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707A5E">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707A5E">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707A5E">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707A5E">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707A5E">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7,710,563.82</w:t>
            </w:r>
          </w:p>
        </w:tc>
        <w:tc>
          <w:tcPr>
            <w:tcW w:w="1559"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4.76</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707A5E">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707A5E">
            <w:pPr>
              <w:spacing w:before="29" w:line="288" w:lineRule="auto"/>
              <w:jc w:val="right"/>
              <w:rPr>
                <w:color w:val="000000"/>
                <w:sz w:val="24"/>
              </w:rPr>
            </w:pPr>
            <w:r w:rsidRPr="008640AE">
              <w:rPr>
                <w:color w:val="000000"/>
                <w:sz w:val="24"/>
              </w:rPr>
              <w:t>805,020.23</w:t>
            </w:r>
          </w:p>
        </w:tc>
        <w:tc>
          <w:tcPr>
            <w:tcW w:w="1559" w:type="dxa"/>
            <w:shd w:val="clear" w:color="auto" w:fill="auto"/>
            <w:vAlign w:val="center"/>
          </w:tcPr>
          <w:p w:rsidR="00E462F4" w:rsidRPr="008640AE" w:rsidRDefault="00E462F4" w:rsidP="00707A5E">
            <w:pPr>
              <w:spacing w:before="29" w:line="288" w:lineRule="auto"/>
              <w:jc w:val="right"/>
              <w:rPr>
                <w:color w:val="000000"/>
                <w:sz w:val="24"/>
              </w:rPr>
            </w:pPr>
            <w:r w:rsidRPr="008640AE">
              <w:rPr>
                <w:color w:val="000000"/>
                <w:sz w:val="24"/>
              </w:rPr>
              <w:t>0.50</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707A5E">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707A5E">
            <w:pPr>
              <w:spacing w:before="29" w:line="288" w:lineRule="auto"/>
              <w:jc w:val="right"/>
              <w:rPr>
                <w:color w:val="000000"/>
                <w:sz w:val="24"/>
              </w:rPr>
            </w:pPr>
            <w:r w:rsidRPr="008640AE">
              <w:rPr>
                <w:color w:val="000000"/>
                <w:sz w:val="24"/>
              </w:rPr>
              <w:t>162,041,729.90</w:t>
            </w:r>
          </w:p>
        </w:tc>
        <w:tc>
          <w:tcPr>
            <w:tcW w:w="1559" w:type="dxa"/>
            <w:shd w:val="clear" w:color="auto" w:fill="auto"/>
            <w:vAlign w:val="center"/>
          </w:tcPr>
          <w:p w:rsidR="00E462F4" w:rsidRPr="008640AE" w:rsidRDefault="00E462F4" w:rsidP="00707A5E">
            <w:pPr>
              <w:spacing w:before="29" w:line="288" w:lineRule="auto"/>
              <w:jc w:val="right"/>
              <w:rPr>
                <w:color w:val="000000"/>
                <w:sz w:val="24"/>
              </w:rPr>
            </w:pPr>
            <w:r w:rsidRPr="008640AE">
              <w:rPr>
                <w:color w:val="000000"/>
                <w:sz w:val="24"/>
              </w:rPr>
              <w:t>100.00</w:t>
            </w:r>
          </w:p>
        </w:tc>
      </w:tr>
    </w:tbl>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E35C70">
        <w:trPr>
          <w:jc w:val="center"/>
        </w:trPr>
        <w:tc>
          <w:tcPr>
            <w:tcW w:w="2484" w:type="dxa"/>
            <w:vAlign w:val="center"/>
          </w:tcPr>
          <w:p w:rsidR="00E35C70" w:rsidRDefault="000421A8">
            <w:pPr>
              <w:jc w:val="left"/>
            </w:pPr>
            <w:r>
              <w:rPr>
                <w:color w:val="000000"/>
                <w:sz w:val="24"/>
              </w:rPr>
              <w:t>美国</w:t>
            </w:r>
          </w:p>
        </w:tc>
        <w:tc>
          <w:tcPr>
            <w:tcW w:w="3214" w:type="dxa"/>
            <w:vAlign w:val="center"/>
          </w:tcPr>
          <w:p w:rsidR="00E35C70" w:rsidRDefault="000421A8">
            <w:pPr>
              <w:jc w:val="right"/>
            </w:pPr>
            <w:r>
              <w:rPr>
                <w:color w:val="000000"/>
                <w:sz w:val="24"/>
              </w:rPr>
              <w:t>59,021,870.19</w:t>
            </w:r>
          </w:p>
        </w:tc>
        <w:tc>
          <w:tcPr>
            <w:tcW w:w="3170" w:type="dxa"/>
            <w:vAlign w:val="center"/>
          </w:tcPr>
          <w:p w:rsidR="00E35C70" w:rsidRDefault="000421A8">
            <w:pPr>
              <w:jc w:val="right"/>
            </w:pPr>
            <w:r>
              <w:rPr>
                <w:color w:val="000000"/>
                <w:sz w:val="24"/>
              </w:rPr>
              <w:t>36.84</w:t>
            </w:r>
          </w:p>
        </w:tc>
      </w:tr>
      <w:tr w:rsidR="00E35C70">
        <w:trPr>
          <w:jc w:val="center"/>
        </w:trPr>
        <w:tc>
          <w:tcPr>
            <w:tcW w:w="2484" w:type="dxa"/>
            <w:vAlign w:val="center"/>
          </w:tcPr>
          <w:p w:rsidR="00E35C70" w:rsidRDefault="000421A8">
            <w:pPr>
              <w:jc w:val="left"/>
            </w:pPr>
            <w:r>
              <w:rPr>
                <w:color w:val="000000"/>
                <w:sz w:val="24"/>
              </w:rPr>
              <w:t>香港</w:t>
            </w:r>
          </w:p>
        </w:tc>
        <w:tc>
          <w:tcPr>
            <w:tcW w:w="3214" w:type="dxa"/>
            <w:vAlign w:val="center"/>
          </w:tcPr>
          <w:p w:rsidR="00E35C70" w:rsidRDefault="000421A8">
            <w:pPr>
              <w:jc w:val="right"/>
            </w:pPr>
            <w:r>
              <w:rPr>
                <w:color w:val="000000"/>
                <w:sz w:val="24"/>
              </w:rPr>
              <w:t>52,937,355.29</w:t>
            </w:r>
          </w:p>
        </w:tc>
        <w:tc>
          <w:tcPr>
            <w:tcW w:w="3170" w:type="dxa"/>
            <w:vAlign w:val="center"/>
          </w:tcPr>
          <w:p w:rsidR="00E35C70" w:rsidRDefault="000421A8">
            <w:pPr>
              <w:jc w:val="right"/>
            </w:pPr>
            <w:r>
              <w:rPr>
                <w:color w:val="000000"/>
                <w:sz w:val="24"/>
              </w:rPr>
              <w:t>33.04</w:t>
            </w:r>
          </w:p>
        </w:tc>
      </w:tr>
      <w:tr w:rsidR="00E35C70">
        <w:trPr>
          <w:jc w:val="center"/>
        </w:trPr>
        <w:tc>
          <w:tcPr>
            <w:tcW w:w="2484" w:type="dxa"/>
            <w:vAlign w:val="center"/>
          </w:tcPr>
          <w:p w:rsidR="00E35C70" w:rsidRDefault="000421A8">
            <w:pPr>
              <w:jc w:val="left"/>
            </w:pPr>
            <w:r>
              <w:rPr>
                <w:color w:val="000000"/>
                <w:sz w:val="24"/>
              </w:rPr>
              <w:t>英国</w:t>
            </w:r>
          </w:p>
        </w:tc>
        <w:tc>
          <w:tcPr>
            <w:tcW w:w="3214" w:type="dxa"/>
            <w:vAlign w:val="center"/>
          </w:tcPr>
          <w:p w:rsidR="00E35C70" w:rsidRDefault="000421A8">
            <w:pPr>
              <w:jc w:val="right"/>
            </w:pPr>
            <w:r>
              <w:rPr>
                <w:color w:val="000000"/>
                <w:sz w:val="24"/>
              </w:rPr>
              <w:t>8,799,066.41</w:t>
            </w:r>
          </w:p>
        </w:tc>
        <w:tc>
          <w:tcPr>
            <w:tcW w:w="3170" w:type="dxa"/>
            <w:vAlign w:val="center"/>
          </w:tcPr>
          <w:p w:rsidR="00E35C70" w:rsidRDefault="000421A8">
            <w:pPr>
              <w:jc w:val="right"/>
            </w:pPr>
            <w:r>
              <w:rPr>
                <w:color w:val="000000"/>
                <w:sz w:val="24"/>
              </w:rPr>
              <w:t>5.49</w:t>
            </w:r>
          </w:p>
        </w:tc>
      </w:tr>
      <w:tr w:rsidR="00E35C70">
        <w:trPr>
          <w:jc w:val="center"/>
        </w:trPr>
        <w:tc>
          <w:tcPr>
            <w:tcW w:w="2484" w:type="dxa"/>
            <w:vAlign w:val="center"/>
          </w:tcPr>
          <w:p w:rsidR="00E35C70" w:rsidRDefault="000421A8">
            <w:pPr>
              <w:jc w:val="left"/>
            </w:pPr>
            <w:r>
              <w:rPr>
                <w:color w:val="000000"/>
                <w:sz w:val="24"/>
              </w:rPr>
              <w:t>日本</w:t>
            </w:r>
          </w:p>
        </w:tc>
        <w:tc>
          <w:tcPr>
            <w:tcW w:w="3214" w:type="dxa"/>
            <w:vAlign w:val="center"/>
          </w:tcPr>
          <w:p w:rsidR="00E35C70" w:rsidRDefault="000421A8">
            <w:pPr>
              <w:jc w:val="right"/>
            </w:pPr>
            <w:r>
              <w:rPr>
                <w:color w:val="000000"/>
                <w:sz w:val="24"/>
              </w:rPr>
              <w:t>7,614,356.84</w:t>
            </w:r>
          </w:p>
        </w:tc>
        <w:tc>
          <w:tcPr>
            <w:tcW w:w="3170" w:type="dxa"/>
            <w:vAlign w:val="center"/>
          </w:tcPr>
          <w:p w:rsidR="00E35C70" w:rsidRDefault="000421A8">
            <w:pPr>
              <w:jc w:val="right"/>
            </w:pPr>
            <w:r>
              <w:rPr>
                <w:color w:val="000000"/>
                <w:sz w:val="24"/>
              </w:rPr>
              <w:t>4.75</w:t>
            </w:r>
          </w:p>
        </w:tc>
      </w:tr>
      <w:tr w:rsidR="00E35C70">
        <w:trPr>
          <w:jc w:val="center"/>
        </w:trPr>
        <w:tc>
          <w:tcPr>
            <w:tcW w:w="2484" w:type="dxa"/>
            <w:vAlign w:val="center"/>
          </w:tcPr>
          <w:p w:rsidR="00E35C70" w:rsidRDefault="000421A8">
            <w:pPr>
              <w:jc w:val="left"/>
            </w:pPr>
            <w:r>
              <w:rPr>
                <w:color w:val="000000"/>
                <w:sz w:val="24"/>
              </w:rPr>
              <w:t>法国</w:t>
            </w:r>
          </w:p>
        </w:tc>
        <w:tc>
          <w:tcPr>
            <w:tcW w:w="3214" w:type="dxa"/>
            <w:vAlign w:val="center"/>
          </w:tcPr>
          <w:p w:rsidR="00E35C70" w:rsidRDefault="000421A8">
            <w:pPr>
              <w:jc w:val="right"/>
            </w:pPr>
            <w:r>
              <w:rPr>
                <w:color w:val="000000"/>
                <w:sz w:val="24"/>
              </w:rPr>
              <w:t>6,443,676.79</w:t>
            </w:r>
          </w:p>
        </w:tc>
        <w:tc>
          <w:tcPr>
            <w:tcW w:w="3170" w:type="dxa"/>
            <w:vAlign w:val="center"/>
          </w:tcPr>
          <w:p w:rsidR="00E35C70" w:rsidRDefault="000421A8">
            <w:pPr>
              <w:jc w:val="right"/>
            </w:pPr>
            <w:r>
              <w:rPr>
                <w:color w:val="000000"/>
                <w:sz w:val="24"/>
              </w:rPr>
              <w:t>4.02</w:t>
            </w:r>
          </w:p>
        </w:tc>
      </w:tr>
      <w:tr w:rsidR="00E35C70">
        <w:trPr>
          <w:jc w:val="center"/>
        </w:trPr>
        <w:tc>
          <w:tcPr>
            <w:tcW w:w="2484" w:type="dxa"/>
            <w:vAlign w:val="center"/>
          </w:tcPr>
          <w:p w:rsidR="00E35C70" w:rsidRDefault="000421A8">
            <w:pPr>
              <w:jc w:val="left"/>
            </w:pPr>
            <w:r>
              <w:rPr>
                <w:color w:val="000000"/>
                <w:sz w:val="24"/>
              </w:rPr>
              <w:t>瑞士</w:t>
            </w:r>
          </w:p>
        </w:tc>
        <w:tc>
          <w:tcPr>
            <w:tcW w:w="3214" w:type="dxa"/>
            <w:vAlign w:val="center"/>
          </w:tcPr>
          <w:p w:rsidR="00E35C70" w:rsidRDefault="000421A8">
            <w:pPr>
              <w:jc w:val="right"/>
            </w:pPr>
            <w:r>
              <w:rPr>
                <w:color w:val="000000"/>
                <w:sz w:val="24"/>
              </w:rPr>
              <w:t>4,591,298.86</w:t>
            </w:r>
          </w:p>
        </w:tc>
        <w:tc>
          <w:tcPr>
            <w:tcW w:w="3170" w:type="dxa"/>
            <w:vAlign w:val="center"/>
          </w:tcPr>
          <w:p w:rsidR="00E35C70" w:rsidRDefault="000421A8">
            <w:pPr>
              <w:jc w:val="right"/>
            </w:pPr>
            <w:r>
              <w:rPr>
                <w:color w:val="000000"/>
                <w:sz w:val="24"/>
              </w:rPr>
              <w:t>2.87</w:t>
            </w:r>
          </w:p>
        </w:tc>
      </w:tr>
      <w:tr w:rsidR="00E35C70">
        <w:trPr>
          <w:jc w:val="center"/>
        </w:trPr>
        <w:tc>
          <w:tcPr>
            <w:tcW w:w="2484" w:type="dxa"/>
            <w:vAlign w:val="center"/>
          </w:tcPr>
          <w:p w:rsidR="00E35C70" w:rsidRDefault="000421A8">
            <w:pPr>
              <w:jc w:val="left"/>
            </w:pPr>
            <w:r>
              <w:rPr>
                <w:color w:val="000000"/>
                <w:sz w:val="24"/>
              </w:rPr>
              <w:t>德国</w:t>
            </w:r>
          </w:p>
        </w:tc>
        <w:tc>
          <w:tcPr>
            <w:tcW w:w="3214" w:type="dxa"/>
            <w:vAlign w:val="center"/>
          </w:tcPr>
          <w:p w:rsidR="00E35C70" w:rsidRDefault="000421A8">
            <w:pPr>
              <w:jc w:val="right"/>
            </w:pPr>
            <w:r>
              <w:rPr>
                <w:color w:val="000000"/>
                <w:sz w:val="24"/>
              </w:rPr>
              <w:t>3,405,967.89</w:t>
            </w:r>
          </w:p>
        </w:tc>
        <w:tc>
          <w:tcPr>
            <w:tcW w:w="3170" w:type="dxa"/>
            <w:vAlign w:val="center"/>
          </w:tcPr>
          <w:p w:rsidR="00E35C70" w:rsidRDefault="000421A8">
            <w:pPr>
              <w:jc w:val="right"/>
            </w:pPr>
            <w:r>
              <w:rPr>
                <w:color w:val="000000"/>
                <w:sz w:val="24"/>
              </w:rPr>
              <w:t>2.13</w:t>
            </w:r>
          </w:p>
        </w:tc>
      </w:tr>
      <w:tr w:rsidR="00E35C70">
        <w:trPr>
          <w:jc w:val="center"/>
        </w:trPr>
        <w:tc>
          <w:tcPr>
            <w:tcW w:w="2484" w:type="dxa"/>
            <w:vAlign w:val="center"/>
          </w:tcPr>
          <w:p w:rsidR="00E35C70" w:rsidRDefault="000421A8">
            <w:pPr>
              <w:jc w:val="left"/>
            </w:pPr>
            <w:r>
              <w:rPr>
                <w:color w:val="000000"/>
                <w:sz w:val="24"/>
              </w:rPr>
              <w:t>加拿大</w:t>
            </w:r>
          </w:p>
        </w:tc>
        <w:tc>
          <w:tcPr>
            <w:tcW w:w="3214" w:type="dxa"/>
            <w:vAlign w:val="center"/>
          </w:tcPr>
          <w:p w:rsidR="00E35C70" w:rsidRDefault="000421A8">
            <w:pPr>
              <w:jc w:val="right"/>
            </w:pPr>
            <w:r>
              <w:rPr>
                <w:color w:val="000000"/>
                <w:sz w:val="24"/>
              </w:rPr>
              <w:t>3,086,567.04</w:t>
            </w:r>
          </w:p>
        </w:tc>
        <w:tc>
          <w:tcPr>
            <w:tcW w:w="3170" w:type="dxa"/>
            <w:vAlign w:val="center"/>
          </w:tcPr>
          <w:p w:rsidR="00E35C70" w:rsidRDefault="000421A8">
            <w:pPr>
              <w:jc w:val="right"/>
            </w:pPr>
            <w:r>
              <w:rPr>
                <w:color w:val="000000"/>
                <w:sz w:val="24"/>
              </w:rPr>
              <w:t>1.93</w:t>
            </w:r>
          </w:p>
        </w:tc>
      </w:tr>
      <w:tr w:rsidR="00E35C70">
        <w:trPr>
          <w:jc w:val="center"/>
        </w:trPr>
        <w:tc>
          <w:tcPr>
            <w:tcW w:w="2484" w:type="dxa"/>
            <w:vAlign w:val="center"/>
          </w:tcPr>
          <w:p w:rsidR="00E35C70" w:rsidRDefault="000421A8">
            <w:pPr>
              <w:jc w:val="left"/>
            </w:pPr>
            <w:r>
              <w:rPr>
                <w:color w:val="000000"/>
                <w:sz w:val="24"/>
              </w:rPr>
              <w:t>芬兰</w:t>
            </w:r>
          </w:p>
        </w:tc>
        <w:tc>
          <w:tcPr>
            <w:tcW w:w="3214" w:type="dxa"/>
            <w:vAlign w:val="center"/>
          </w:tcPr>
          <w:p w:rsidR="00E35C70" w:rsidRDefault="000421A8">
            <w:pPr>
              <w:jc w:val="right"/>
            </w:pPr>
            <w:r>
              <w:rPr>
                <w:color w:val="000000"/>
                <w:sz w:val="24"/>
              </w:rPr>
              <w:t>2,053,762.97</w:t>
            </w:r>
          </w:p>
        </w:tc>
        <w:tc>
          <w:tcPr>
            <w:tcW w:w="3170" w:type="dxa"/>
            <w:vAlign w:val="center"/>
          </w:tcPr>
          <w:p w:rsidR="00E35C70" w:rsidRDefault="000421A8">
            <w:pPr>
              <w:jc w:val="right"/>
            </w:pPr>
            <w:r>
              <w:rPr>
                <w:color w:val="000000"/>
                <w:sz w:val="24"/>
              </w:rPr>
              <w:t>1.28</w:t>
            </w:r>
          </w:p>
        </w:tc>
      </w:tr>
      <w:tr w:rsidR="00E35C70">
        <w:trPr>
          <w:jc w:val="center"/>
        </w:trPr>
        <w:tc>
          <w:tcPr>
            <w:tcW w:w="2484" w:type="dxa"/>
            <w:vAlign w:val="center"/>
          </w:tcPr>
          <w:p w:rsidR="00E35C70" w:rsidRDefault="000421A8">
            <w:pPr>
              <w:jc w:val="left"/>
            </w:pPr>
            <w:r>
              <w:rPr>
                <w:color w:val="000000"/>
                <w:sz w:val="24"/>
              </w:rPr>
              <w:t>巴西</w:t>
            </w:r>
          </w:p>
        </w:tc>
        <w:tc>
          <w:tcPr>
            <w:tcW w:w="3214" w:type="dxa"/>
            <w:vAlign w:val="center"/>
          </w:tcPr>
          <w:p w:rsidR="00E35C70" w:rsidRDefault="000421A8">
            <w:pPr>
              <w:jc w:val="right"/>
            </w:pPr>
            <w:r>
              <w:rPr>
                <w:color w:val="000000"/>
                <w:sz w:val="24"/>
              </w:rPr>
              <w:t>1,424,364.07</w:t>
            </w:r>
          </w:p>
        </w:tc>
        <w:tc>
          <w:tcPr>
            <w:tcW w:w="3170" w:type="dxa"/>
            <w:vAlign w:val="center"/>
          </w:tcPr>
          <w:p w:rsidR="00E35C70" w:rsidRDefault="000421A8">
            <w:pPr>
              <w:jc w:val="right"/>
            </w:pPr>
            <w:r>
              <w:rPr>
                <w:color w:val="000000"/>
                <w:sz w:val="24"/>
              </w:rPr>
              <w:t>0.89</w:t>
            </w:r>
          </w:p>
        </w:tc>
      </w:tr>
      <w:tr w:rsidR="00E35C70">
        <w:trPr>
          <w:jc w:val="center"/>
        </w:trPr>
        <w:tc>
          <w:tcPr>
            <w:tcW w:w="2484" w:type="dxa"/>
            <w:vAlign w:val="center"/>
          </w:tcPr>
          <w:p w:rsidR="00E35C70" w:rsidRDefault="000421A8">
            <w:pPr>
              <w:jc w:val="left"/>
            </w:pPr>
            <w:r>
              <w:rPr>
                <w:color w:val="000000"/>
                <w:sz w:val="24"/>
              </w:rPr>
              <w:t>挪威</w:t>
            </w:r>
          </w:p>
        </w:tc>
        <w:tc>
          <w:tcPr>
            <w:tcW w:w="3214" w:type="dxa"/>
            <w:vAlign w:val="center"/>
          </w:tcPr>
          <w:p w:rsidR="00E35C70" w:rsidRDefault="000421A8">
            <w:pPr>
              <w:jc w:val="right"/>
            </w:pPr>
            <w:r>
              <w:rPr>
                <w:color w:val="000000"/>
                <w:sz w:val="24"/>
              </w:rPr>
              <w:t>1,414,222.20</w:t>
            </w:r>
          </w:p>
        </w:tc>
        <w:tc>
          <w:tcPr>
            <w:tcW w:w="3170" w:type="dxa"/>
            <w:vAlign w:val="center"/>
          </w:tcPr>
          <w:p w:rsidR="00E35C70" w:rsidRDefault="000421A8">
            <w:pPr>
              <w:jc w:val="right"/>
            </w:pPr>
            <w:r>
              <w:rPr>
                <w:color w:val="000000"/>
                <w:sz w:val="24"/>
              </w:rPr>
              <w:t>0.88</w:t>
            </w:r>
          </w:p>
        </w:tc>
      </w:tr>
      <w:tr w:rsidR="00E35C70">
        <w:trPr>
          <w:jc w:val="center"/>
        </w:trPr>
        <w:tc>
          <w:tcPr>
            <w:tcW w:w="2484" w:type="dxa"/>
            <w:vAlign w:val="center"/>
          </w:tcPr>
          <w:p w:rsidR="00E35C70" w:rsidRDefault="000421A8">
            <w:pPr>
              <w:jc w:val="left"/>
            </w:pPr>
            <w:r>
              <w:rPr>
                <w:color w:val="000000"/>
                <w:sz w:val="24"/>
              </w:rPr>
              <w:t>泰国</w:t>
            </w:r>
          </w:p>
        </w:tc>
        <w:tc>
          <w:tcPr>
            <w:tcW w:w="3214" w:type="dxa"/>
            <w:vAlign w:val="center"/>
          </w:tcPr>
          <w:p w:rsidR="00E35C70" w:rsidRDefault="000421A8">
            <w:pPr>
              <w:jc w:val="right"/>
            </w:pPr>
            <w:r>
              <w:rPr>
                <w:color w:val="000000"/>
                <w:sz w:val="24"/>
              </w:rPr>
              <w:t>1,385,463.28</w:t>
            </w:r>
          </w:p>
        </w:tc>
        <w:tc>
          <w:tcPr>
            <w:tcW w:w="3170" w:type="dxa"/>
            <w:vAlign w:val="center"/>
          </w:tcPr>
          <w:p w:rsidR="00E35C70" w:rsidRDefault="000421A8">
            <w:pPr>
              <w:jc w:val="right"/>
            </w:pPr>
            <w:r>
              <w:rPr>
                <w:color w:val="000000"/>
                <w:sz w:val="24"/>
              </w:rPr>
              <w:t>0.86</w:t>
            </w:r>
          </w:p>
        </w:tc>
      </w:tr>
      <w:tr w:rsidR="00E35C70">
        <w:trPr>
          <w:jc w:val="center"/>
        </w:trPr>
        <w:tc>
          <w:tcPr>
            <w:tcW w:w="2484" w:type="dxa"/>
            <w:vAlign w:val="center"/>
          </w:tcPr>
          <w:p w:rsidR="00E35C70" w:rsidRDefault="000421A8">
            <w:pPr>
              <w:jc w:val="left"/>
            </w:pPr>
            <w:r>
              <w:rPr>
                <w:color w:val="000000"/>
                <w:sz w:val="24"/>
              </w:rPr>
              <w:t>新加坡</w:t>
            </w:r>
          </w:p>
        </w:tc>
        <w:tc>
          <w:tcPr>
            <w:tcW w:w="3214" w:type="dxa"/>
            <w:vAlign w:val="center"/>
          </w:tcPr>
          <w:p w:rsidR="00E35C70" w:rsidRDefault="000421A8">
            <w:pPr>
              <w:jc w:val="right"/>
            </w:pPr>
            <w:r>
              <w:rPr>
                <w:color w:val="000000"/>
                <w:sz w:val="24"/>
              </w:rPr>
              <w:t>1,348,174.02</w:t>
            </w:r>
          </w:p>
        </w:tc>
        <w:tc>
          <w:tcPr>
            <w:tcW w:w="3170" w:type="dxa"/>
            <w:vAlign w:val="center"/>
          </w:tcPr>
          <w:p w:rsidR="00E35C70" w:rsidRDefault="000421A8">
            <w:pPr>
              <w:jc w:val="right"/>
            </w:pPr>
            <w:r>
              <w:rPr>
                <w:color w:val="000000"/>
                <w:sz w:val="24"/>
              </w:rPr>
              <w:t>0.84</w:t>
            </w:r>
          </w:p>
        </w:tc>
      </w:tr>
      <w:tr w:rsidR="002C042C" w:rsidRPr="008640AE" w:rsidTr="00811B44">
        <w:trPr>
          <w:jc w:val="center"/>
        </w:trPr>
        <w:tc>
          <w:tcPr>
            <w:tcW w:w="2410" w:type="dxa"/>
            <w:vAlign w:val="center"/>
          </w:tcPr>
          <w:p w:rsidR="002C042C" w:rsidRPr="008640AE" w:rsidRDefault="002C042C" w:rsidP="00997813">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707A5E">
            <w:pPr>
              <w:autoSpaceDE w:val="0"/>
              <w:autoSpaceDN w:val="0"/>
              <w:adjustRightInd w:val="0"/>
              <w:spacing w:before="29" w:line="288" w:lineRule="auto"/>
              <w:jc w:val="right"/>
              <w:rPr>
                <w:color w:val="000000"/>
                <w:sz w:val="24"/>
              </w:rPr>
            </w:pPr>
            <w:r w:rsidRPr="008640AE">
              <w:rPr>
                <w:color w:val="000000"/>
                <w:sz w:val="24"/>
              </w:rPr>
              <w:t>153,526,145.85</w:t>
            </w:r>
          </w:p>
        </w:tc>
        <w:tc>
          <w:tcPr>
            <w:tcW w:w="3076" w:type="dxa"/>
            <w:vAlign w:val="center"/>
          </w:tcPr>
          <w:p w:rsidR="002C042C" w:rsidRPr="008640AE" w:rsidRDefault="002C042C" w:rsidP="00707A5E">
            <w:pPr>
              <w:autoSpaceDE w:val="0"/>
              <w:autoSpaceDN w:val="0"/>
              <w:adjustRightInd w:val="0"/>
              <w:spacing w:before="29" w:line="288" w:lineRule="auto"/>
              <w:jc w:val="right"/>
              <w:rPr>
                <w:color w:val="000000"/>
                <w:sz w:val="24"/>
              </w:rPr>
            </w:pPr>
            <w:r w:rsidRPr="008640AE">
              <w:rPr>
                <w:color w:val="000000"/>
                <w:sz w:val="24"/>
              </w:rPr>
              <w:t>95.83</w:t>
            </w:r>
          </w:p>
        </w:tc>
      </w:tr>
    </w:tbl>
    <w:p w:rsidR="00E35C70" w:rsidRDefault="000421A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707A5E">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707A5E">
      <w:pPr>
        <w:autoSpaceDE w:val="0"/>
        <w:autoSpaceDN w:val="0"/>
        <w:adjustRightInd w:val="0"/>
        <w:spacing w:before="29" w:line="288" w:lineRule="auto"/>
        <w:jc w:val="left"/>
        <w:rPr>
          <w:color w:val="000000"/>
          <w:kern w:val="0"/>
          <w:sz w:val="24"/>
        </w:rPr>
      </w:pPr>
    </w:p>
    <w:p w:rsidR="00C37E98"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5839D9">
        <w:trPr>
          <w:jc w:val="center"/>
        </w:trPr>
        <w:tc>
          <w:tcPr>
            <w:tcW w:w="2904" w:type="dxa"/>
            <w:vAlign w:val="center"/>
          </w:tcPr>
          <w:p w:rsidR="00C37E98" w:rsidRPr="008640AE" w:rsidRDefault="00C37E98"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657" w:type="dxa"/>
            <w:vAlign w:val="center"/>
          </w:tcPr>
          <w:p w:rsidR="00C37E98" w:rsidRPr="008640AE" w:rsidRDefault="00C37E98"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307" w:type="dxa"/>
            <w:vAlign w:val="center"/>
          </w:tcPr>
          <w:p w:rsidR="00C37E98" w:rsidRPr="008640AE" w:rsidRDefault="00C37E98"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E35C70">
        <w:trPr>
          <w:jc w:val="center"/>
        </w:trPr>
        <w:tc>
          <w:tcPr>
            <w:tcW w:w="2904" w:type="dxa"/>
            <w:vAlign w:val="center"/>
          </w:tcPr>
          <w:p w:rsidR="00E35C70" w:rsidRDefault="000421A8">
            <w:pPr>
              <w:jc w:val="left"/>
            </w:pPr>
            <w:r>
              <w:rPr>
                <w:color w:val="000000"/>
                <w:sz w:val="24"/>
              </w:rPr>
              <w:t>信息技术</w:t>
            </w:r>
          </w:p>
        </w:tc>
        <w:tc>
          <w:tcPr>
            <w:tcW w:w="2657" w:type="dxa"/>
            <w:vAlign w:val="center"/>
          </w:tcPr>
          <w:p w:rsidR="00E35C70" w:rsidRDefault="000421A8">
            <w:pPr>
              <w:jc w:val="right"/>
            </w:pPr>
            <w:r>
              <w:rPr>
                <w:color w:val="000000"/>
                <w:sz w:val="24"/>
              </w:rPr>
              <w:t>28,850,845.96</w:t>
            </w:r>
          </w:p>
        </w:tc>
        <w:tc>
          <w:tcPr>
            <w:tcW w:w="3307" w:type="dxa"/>
            <w:vAlign w:val="center"/>
          </w:tcPr>
          <w:p w:rsidR="00E35C70" w:rsidRDefault="000421A8">
            <w:pPr>
              <w:jc w:val="right"/>
            </w:pPr>
            <w:r>
              <w:rPr>
                <w:color w:val="000000"/>
                <w:sz w:val="24"/>
              </w:rPr>
              <w:t>18.01</w:t>
            </w:r>
          </w:p>
        </w:tc>
      </w:tr>
      <w:tr w:rsidR="00E35C70">
        <w:trPr>
          <w:jc w:val="center"/>
        </w:trPr>
        <w:tc>
          <w:tcPr>
            <w:tcW w:w="2904" w:type="dxa"/>
            <w:vAlign w:val="center"/>
          </w:tcPr>
          <w:p w:rsidR="00E35C70" w:rsidRDefault="000421A8">
            <w:pPr>
              <w:jc w:val="left"/>
            </w:pPr>
            <w:r>
              <w:rPr>
                <w:color w:val="000000"/>
                <w:sz w:val="24"/>
              </w:rPr>
              <w:t>非必需消费品</w:t>
            </w:r>
          </w:p>
        </w:tc>
        <w:tc>
          <w:tcPr>
            <w:tcW w:w="2657" w:type="dxa"/>
            <w:vAlign w:val="center"/>
          </w:tcPr>
          <w:p w:rsidR="00E35C70" w:rsidRDefault="000421A8">
            <w:pPr>
              <w:jc w:val="right"/>
            </w:pPr>
            <w:r>
              <w:rPr>
                <w:color w:val="000000"/>
                <w:sz w:val="24"/>
              </w:rPr>
              <w:t>28,352,663.16</w:t>
            </w:r>
          </w:p>
        </w:tc>
        <w:tc>
          <w:tcPr>
            <w:tcW w:w="3307" w:type="dxa"/>
            <w:vAlign w:val="center"/>
          </w:tcPr>
          <w:p w:rsidR="00E35C70" w:rsidRDefault="000421A8">
            <w:pPr>
              <w:jc w:val="right"/>
            </w:pPr>
            <w:r>
              <w:rPr>
                <w:color w:val="000000"/>
                <w:sz w:val="24"/>
              </w:rPr>
              <w:t>17.70</w:t>
            </w:r>
          </w:p>
        </w:tc>
      </w:tr>
      <w:tr w:rsidR="00E35C70">
        <w:trPr>
          <w:jc w:val="center"/>
        </w:trPr>
        <w:tc>
          <w:tcPr>
            <w:tcW w:w="2904" w:type="dxa"/>
            <w:vAlign w:val="center"/>
          </w:tcPr>
          <w:p w:rsidR="00E35C70" w:rsidRDefault="000421A8">
            <w:pPr>
              <w:jc w:val="left"/>
            </w:pPr>
            <w:r>
              <w:rPr>
                <w:color w:val="000000"/>
                <w:sz w:val="24"/>
              </w:rPr>
              <w:t>保健</w:t>
            </w:r>
          </w:p>
        </w:tc>
        <w:tc>
          <w:tcPr>
            <w:tcW w:w="2657" w:type="dxa"/>
            <w:vAlign w:val="center"/>
          </w:tcPr>
          <w:p w:rsidR="00E35C70" w:rsidRDefault="000421A8">
            <w:pPr>
              <w:jc w:val="right"/>
            </w:pPr>
            <w:r>
              <w:rPr>
                <w:color w:val="000000"/>
                <w:sz w:val="24"/>
              </w:rPr>
              <w:t>22,939,355.06</w:t>
            </w:r>
          </w:p>
        </w:tc>
        <w:tc>
          <w:tcPr>
            <w:tcW w:w="3307" w:type="dxa"/>
            <w:vAlign w:val="center"/>
          </w:tcPr>
          <w:p w:rsidR="00E35C70" w:rsidRDefault="000421A8">
            <w:pPr>
              <w:jc w:val="right"/>
            </w:pPr>
            <w:r>
              <w:rPr>
                <w:color w:val="000000"/>
                <w:sz w:val="24"/>
              </w:rPr>
              <w:t>14.32</w:t>
            </w:r>
          </w:p>
        </w:tc>
      </w:tr>
      <w:tr w:rsidR="00E35C70">
        <w:trPr>
          <w:jc w:val="center"/>
        </w:trPr>
        <w:tc>
          <w:tcPr>
            <w:tcW w:w="2904" w:type="dxa"/>
            <w:vAlign w:val="center"/>
          </w:tcPr>
          <w:p w:rsidR="00E35C70" w:rsidRDefault="000421A8">
            <w:pPr>
              <w:jc w:val="left"/>
            </w:pPr>
            <w:r>
              <w:rPr>
                <w:color w:val="000000"/>
                <w:sz w:val="24"/>
              </w:rPr>
              <w:t>金融</w:t>
            </w:r>
          </w:p>
        </w:tc>
        <w:tc>
          <w:tcPr>
            <w:tcW w:w="2657" w:type="dxa"/>
            <w:vAlign w:val="center"/>
          </w:tcPr>
          <w:p w:rsidR="00E35C70" w:rsidRDefault="000421A8">
            <w:pPr>
              <w:jc w:val="right"/>
            </w:pPr>
            <w:r>
              <w:rPr>
                <w:color w:val="000000"/>
                <w:sz w:val="24"/>
              </w:rPr>
              <w:t>18,132,356.74</w:t>
            </w:r>
          </w:p>
        </w:tc>
        <w:tc>
          <w:tcPr>
            <w:tcW w:w="3307" w:type="dxa"/>
            <w:vAlign w:val="center"/>
          </w:tcPr>
          <w:p w:rsidR="00E35C70" w:rsidRDefault="000421A8">
            <w:pPr>
              <w:jc w:val="right"/>
            </w:pPr>
            <w:r>
              <w:rPr>
                <w:color w:val="000000"/>
                <w:sz w:val="24"/>
              </w:rPr>
              <w:t>11.32</w:t>
            </w:r>
          </w:p>
        </w:tc>
      </w:tr>
      <w:tr w:rsidR="005839D9">
        <w:trPr>
          <w:jc w:val="center"/>
        </w:trPr>
        <w:tc>
          <w:tcPr>
            <w:tcW w:w="2904" w:type="dxa"/>
            <w:vAlign w:val="center"/>
          </w:tcPr>
          <w:p w:rsidR="005839D9" w:rsidRDefault="005839D9">
            <w:pPr>
              <w:jc w:val="left"/>
              <w:rPr>
                <w:color w:val="000000"/>
                <w:sz w:val="24"/>
              </w:rPr>
            </w:pPr>
            <w:r>
              <w:rPr>
                <w:color w:val="000000"/>
                <w:sz w:val="24"/>
              </w:rPr>
              <w:t>工业</w:t>
            </w:r>
          </w:p>
        </w:tc>
        <w:tc>
          <w:tcPr>
            <w:tcW w:w="2657" w:type="dxa"/>
            <w:vAlign w:val="center"/>
          </w:tcPr>
          <w:p w:rsidR="005839D9" w:rsidRDefault="005839D9">
            <w:pPr>
              <w:jc w:val="right"/>
              <w:rPr>
                <w:color w:val="000000"/>
                <w:sz w:val="24"/>
              </w:rPr>
            </w:pPr>
            <w:r>
              <w:rPr>
                <w:color w:val="000000"/>
                <w:sz w:val="24"/>
              </w:rPr>
              <w:t>17,597,375.20</w:t>
            </w:r>
          </w:p>
        </w:tc>
        <w:tc>
          <w:tcPr>
            <w:tcW w:w="3307" w:type="dxa"/>
            <w:vAlign w:val="center"/>
          </w:tcPr>
          <w:p w:rsidR="005839D9" w:rsidRDefault="005839D9">
            <w:pPr>
              <w:jc w:val="right"/>
              <w:rPr>
                <w:color w:val="000000"/>
                <w:sz w:val="24"/>
              </w:rPr>
            </w:pPr>
            <w:r>
              <w:rPr>
                <w:color w:val="000000"/>
                <w:sz w:val="24"/>
              </w:rPr>
              <w:t>10.98</w:t>
            </w:r>
          </w:p>
        </w:tc>
      </w:tr>
      <w:tr w:rsidR="005839D9">
        <w:trPr>
          <w:jc w:val="center"/>
        </w:trPr>
        <w:tc>
          <w:tcPr>
            <w:tcW w:w="2904" w:type="dxa"/>
            <w:vAlign w:val="center"/>
          </w:tcPr>
          <w:p w:rsidR="005839D9" w:rsidRDefault="005839D9">
            <w:pPr>
              <w:jc w:val="left"/>
            </w:pPr>
            <w:r>
              <w:rPr>
                <w:color w:val="000000"/>
                <w:sz w:val="24"/>
              </w:rPr>
              <w:t>材料</w:t>
            </w:r>
          </w:p>
        </w:tc>
        <w:tc>
          <w:tcPr>
            <w:tcW w:w="2657" w:type="dxa"/>
            <w:vAlign w:val="center"/>
          </w:tcPr>
          <w:p w:rsidR="005839D9" w:rsidRDefault="005839D9">
            <w:pPr>
              <w:jc w:val="right"/>
            </w:pPr>
            <w:r>
              <w:rPr>
                <w:color w:val="000000"/>
                <w:sz w:val="24"/>
              </w:rPr>
              <w:t>11,979,378.94</w:t>
            </w:r>
          </w:p>
        </w:tc>
        <w:tc>
          <w:tcPr>
            <w:tcW w:w="3307" w:type="dxa"/>
            <w:vAlign w:val="center"/>
          </w:tcPr>
          <w:p w:rsidR="005839D9" w:rsidRDefault="005839D9">
            <w:pPr>
              <w:jc w:val="right"/>
            </w:pPr>
            <w:r>
              <w:rPr>
                <w:color w:val="000000"/>
                <w:sz w:val="24"/>
              </w:rPr>
              <w:t>7.48</w:t>
            </w:r>
          </w:p>
        </w:tc>
      </w:tr>
      <w:tr w:rsidR="005839D9">
        <w:trPr>
          <w:jc w:val="center"/>
        </w:trPr>
        <w:tc>
          <w:tcPr>
            <w:tcW w:w="2904" w:type="dxa"/>
            <w:vAlign w:val="center"/>
          </w:tcPr>
          <w:p w:rsidR="005839D9" w:rsidRDefault="005839D9">
            <w:pPr>
              <w:jc w:val="left"/>
            </w:pPr>
            <w:r>
              <w:rPr>
                <w:color w:val="000000"/>
                <w:sz w:val="24"/>
              </w:rPr>
              <w:t>能源</w:t>
            </w:r>
          </w:p>
        </w:tc>
        <w:tc>
          <w:tcPr>
            <w:tcW w:w="2657" w:type="dxa"/>
            <w:vAlign w:val="center"/>
          </w:tcPr>
          <w:p w:rsidR="005839D9" w:rsidRDefault="005839D9">
            <w:pPr>
              <w:jc w:val="right"/>
            </w:pPr>
            <w:r>
              <w:rPr>
                <w:color w:val="000000"/>
                <w:sz w:val="24"/>
              </w:rPr>
              <w:t>8,470,746.85</w:t>
            </w:r>
          </w:p>
        </w:tc>
        <w:tc>
          <w:tcPr>
            <w:tcW w:w="3307" w:type="dxa"/>
            <w:vAlign w:val="center"/>
          </w:tcPr>
          <w:p w:rsidR="005839D9" w:rsidRDefault="005839D9">
            <w:pPr>
              <w:jc w:val="right"/>
            </w:pPr>
            <w:r>
              <w:rPr>
                <w:color w:val="000000"/>
                <w:sz w:val="24"/>
              </w:rPr>
              <w:t>5.29</w:t>
            </w:r>
          </w:p>
        </w:tc>
      </w:tr>
      <w:tr w:rsidR="005839D9">
        <w:trPr>
          <w:jc w:val="center"/>
        </w:trPr>
        <w:tc>
          <w:tcPr>
            <w:tcW w:w="2904" w:type="dxa"/>
            <w:vAlign w:val="center"/>
          </w:tcPr>
          <w:p w:rsidR="005839D9" w:rsidRDefault="005839D9">
            <w:pPr>
              <w:jc w:val="left"/>
              <w:rPr>
                <w:color w:val="000000"/>
                <w:sz w:val="24"/>
              </w:rPr>
            </w:pPr>
            <w:r>
              <w:rPr>
                <w:color w:val="000000"/>
                <w:sz w:val="24"/>
              </w:rPr>
              <w:t>必需消费品</w:t>
            </w:r>
          </w:p>
        </w:tc>
        <w:tc>
          <w:tcPr>
            <w:tcW w:w="2657" w:type="dxa"/>
            <w:vAlign w:val="center"/>
          </w:tcPr>
          <w:p w:rsidR="005839D9" w:rsidRDefault="005839D9">
            <w:pPr>
              <w:jc w:val="right"/>
              <w:rPr>
                <w:color w:val="000000"/>
                <w:sz w:val="24"/>
              </w:rPr>
            </w:pPr>
            <w:r>
              <w:rPr>
                <w:color w:val="000000"/>
                <w:sz w:val="24"/>
              </w:rPr>
              <w:t>8,342,309.09</w:t>
            </w:r>
          </w:p>
        </w:tc>
        <w:tc>
          <w:tcPr>
            <w:tcW w:w="3307" w:type="dxa"/>
            <w:vAlign w:val="center"/>
          </w:tcPr>
          <w:p w:rsidR="005839D9" w:rsidRDefault="005839D9">
            <w:pPr>
              <w:jc w:val="right"/>
              <w:rPr>
                <w:color w:val="000000"/>
                <w:sz w:val="24"/>
              </w:rPr>
            </w:pPr>
            <w:r>
              <w:rPr>
                <w:color w:val="000000"/>
                <w:sz w:val="24"/>
              </w:rPr>
              <w:t>5.21</w:t>
            </w:r>
          </w:p>
        </w:tc>
      </w:tr>
      <w:tr w:rsidR="005839D9">
        <w:trPr>
          <w:jc w:val="center"/>
        </w:trPr>
        <w:tc>
          <w:tcPr>
            <w:tcW w:w="2904" w:type="dxa"/>
            <w:vAlign w:val="center"/>
          </w:tcPr>
          <w:p w:rsidR="005839D9" w:rsidRDefault="005839D9">
            <w:pPr>
              <w:jc w:val="left"/>
            </w:pPr>
            <w:r>
              <w:rPr>
                <w:color w:val="000000"/>
                <w:sz w:val="24"/>
              </w:rPr>
              <w:t>公共事业</w:t>
            </w:r>
          </w:p>
        </w:tc>
        <w:tc>
          <w:tcPr>
            <w:tcW w:w="2657" w:type="dxa"/>
            <w:vAlign w:val="center"/>
          </w:tcPr>
          <w:p w:rsidR="005839D9" w:rsidRDefault="005839D9">
            <w:pPr>
              <w:jc w:val="right"/>
            </w:pPr>
            <w:r>
              <w:rPr>
                <w:color w:val="000000"/>
                <w:sz w:val="24"/>
              </w:rPr>
              <w:t>7,428,733.46</w:t>
            </w:r>
          </w:p>
        </w:tc>
        <w:tc>
          <w:tcPr>
            <w:tcW w:w="3307" w:type="dxa"/>
            <w:vAlign w:val="center"/>
          </w:tcPr>
          <w:p w:rsidR="005839D9" w:rsidRDefault="005839D9">
            <w:pPr>
              <w:jc w:val="right"/>
            </w:pPr>
            <w:r>
              <w:rPr>
                <w:color w:val="000000"/>
                <w:sz w:val="24"/>
              </w:rPr>
              <w:t>4.64</w:t>
            </w:r>
          </w:p>
        </w:tc>
      </w:tr>
      <w:tr w:rsidR="005839D9">
        <w:trPr>
          <w:jc w:val="center"/>
        </w:trPr>
        <w:tc>
          <w:tcPr>
            <w:tcW w:w="2904" w:type="dxa"/>
            <w:vAlign w:val="center"/>
          </w:tcPr>
          <w:p w:rsidR="005839D9" w:rsidRDefault="005839D9">
            <w:pPr>
              <w:jc w:val="left"/>
            </w:pPr>
            <w:r>
              <w:rPr>
                <w:color w:val="000000"/>
                <w:sz w:val="24"/>
              </w:rPr>
              <w:t>电信服务</w:t>
            </w:r>
          </w:p>
        </w:tc>
        <w:tc>
          <w:tcPr>
            <w:tcW w:w="2657" w:type="dxa"/>
            <w:vAlign w:val="center"/>
          </w:tcPr>
          <w:p w:rsidR="005839D9" w:rsidRDefault="005839D9">
            <w:pPr>
              <w:jc w:val="right"/>
            </w:pPr>
            <w:r>
              <w:rPr>
                <w:color w:val="000000"/>
                <w:sz w:val="24"/>
              </w:rPr>
              <w:t>1,432,381.39</w:t>
            </w:r>
          </w:p>
        </w:tc>
        <w:tc>
          <w:tcPr>
            <w:tcW w:w="3307" w:type="dxa"/>
            <w:vAlign w:val="center"/>
          </w:tcPr>
          <w:p w:rsidR="005839D9" w:rsidRDefault="005839D9">
            <w:pPr>
              <w:jc w:val="right"/>
            </w:pPr>
            <w:r>
              <w:rPr>
                <w:color w:val="000000"/>
                <w:sz w:val="24"/>
              </w:rPr>
              <w:t>0.89</w:t>
            </w:r>
          </w:p>
        </w:tc>
      </w:tr>
      <w:tr w:rsidR="005839D9" w:rsidRPr="008640AE" w:rsidTr="005839D9">
        <w:trPr>
          <w:jc w:val="center"/>
        </w:trPr>
        <w:tc>
          <w:tcPr>
            <w:tcW w:w="2904" w:type="dxa"/>
            <w:vAlign w:val="center"/>
          </w:tcPr>
          <w:p w:rsidR="005839D9" w:rsidRPr="008640AE" w:rsidRDefault="005839D9" w:rsidP="00997813">
            <w:pPr>
              <w:autoSpaceDE w:val="0"/>
              <w:autoSpaceDN w:val="0"/>
              <w:adjustRightInd w:val="0"/>
              <w:spacing w:before="29" w:line="288" w:lineRule="auto"/>
              <w:ind w:left="15"/>
              <w:jc w:val="left"/>
              <w:rPr>
                <w:color w:val="000000"/>
                <w:sz w:val="24"/>
              </w:rPr>
            </w:pPr>
            <w:r>
              <w:rPr>
                <w:color w:val="000000"/>
                <w:sz w:val="24"/>
              </w:rPr>
              <w:t>其他</w:t>
            </w:r>
          </w:p>
        </w:tc>
        <w:tc>
          <w:tcPr>
            <w:tcW w:w="2657" w:type="dxa"/>
            <w:vAlign w:val="center"/>
          </w:tcPr>
          <w:p w:rsidR="005839D9" w:rsidRPr="008640AE" w:rsidRDefault="005839D9" w:rsidP="00707A5E">
            <w:pPr>
              <w:autoSpaceDE w:val="0"/>
              <w:autoSpaceDN w:val="0"/>
              <w:adjustRightInd w:val="0"/>
              <w:spacing w:before="29" w:line="288" w:lineRule="auto"/>
              <w:ind w:left="15"/>
              <w:jc w:val="right"/>
              <w:rPr>
                <w:color w:val="000000"/>
                <w:sz w:val="24"/>
              </w:rPr>
            </w:pPr>
            <w:r>
              <w:rPr>
                <w:color w:val="000000"/>
                <w:sz w:val="24"/>
              </w:rPr>
              <w:t>-</w:t>
            </w:r>
          </w:p>
        </w:tc>
        <w:tc>
          <w:tcPr>
            <w:tcW w:w="3307" w:type="dxa"/>
            <w:vAlign w:val="center"/>
          </w:tcPr>
          <w:p w:rsidR="005839D9" w:rsidRPr="008640AE" w:rsidRDefault="005839D9" w:rsidP="00707A5E">
            <w:pPr>
              <w:autoSpaceDE w:val="0"/>
              <w:autoSpaceDN w:val="0"/>
              <w:adjustRightInd w:val="0"/>
              <w:spacing w:before="29" w:line="288" w:lineRule="auto"/>
              <w:ind w:left="15"/>
              <w:jc w:val="right"/>
              <w:rPr>
                <w:color w:val="000000"/>
                <w:sz w:val="24"/>
              </w:rPr>
            </w:pPr>
            <w:r>
              <w:rPr>
                <w:rFonts w:hint="eastAsia"/>
                <w:color w:val="000000"/>
                <w:sz w:val="24"/>
              </w:rPr>
              <w:t>-</w:t>
            </w:r>
          </w:p>
        </w:tc>
      </w:tr>
      <w:tr w:rsidR="005839D9" w:rsidRPr="008640AE" w:rsidTr="005839D9">
        <w:trPr>
          <w:jc w:val="center"/>
        </w:trPr>
        <w:tc>
          <w:tcPr>
            <w:tcW w:w="2904" w:type="dxa"/>
            <w:vAlign w:val="center"/>
          </w:tcPr>
          <w:p w:rsidR="005839D9" w:rsidRPr="008640AE" w:rsidRDefault="005839D9" w:rsidP="00997813">
            <w:pPr>
              <w:autoSpaceDE w:val="0"/>
              <w:autoSpaceDN w:val="0"/>
              <w:adjustRightInd w:val="0"/>
              <w:spacing w:before="29" w:line="288" w:lineRule="auto"/>
              <w:ind w:left="15"/>
              <w:jc w:val="left"/>
              <w:rPr>
                <w:color w:val="000000"/>
                <w:sz w:val="24"/>
              </w:rPr>
            </w:pPr>
            <w:r w:rsidRPr="008640AE">
              <w:rPr>
                <w:color w:val="000000"/>
                <w:sz w:val="24"/>
              </w:rPr>
              <w:t>合计</w:t>
            </w:r>
          </w:p>
        </w:tc>
        <w:tc>
          <w:tcPr>
            <w:tcW w:w="2657" w:type="dxa"/>
            <w:vAlign w:val="center"/>
          </w:tcPr>
          <w:p w:rsidR="005839D9" w:rsidRPr="008640AE" w:rsidRDefault="005839D9" w:rsidP="00707A5E">
            <w:pPr>
              <w:autoSpaceDE w:val="0"/>
              <w:autoSpaceDN w:val="0"/>
              <w:adjustRightInd w:val="0"/>
              <w:spacing w:before="29" w:line="288" w:lineRule="auto"/>
              <w:ind w:left="15"/>
              <w:jc w:val="right"/>
              <w:rPr>
                <w:color w:val="000000"/>
                <w:sz w:val="24"/>
              </w:rPr>
            </w:pPr>
            <w:r w:rsidRPr="008640AE">
              <w:rPr>
                <w:color w:val="000000"/>
                <w:sz w:val="24"/>
              </w:rPr>
              <w:t>153,526,145.85</w:t>
            </w:r>
          </w:p>
        </w:tc>
        <w:tc>
          <w:tcPr>
            <w:tcW w:w="3307" w:type="dxa"/>
            <w:vAlign w:val="center"/>
          </w:tcPr>
          <w:p w:rsidR="005839D9" w:rsidRPr="008640AE" w:rsidRDefault="005839D9" w:rsidP="00707A5E">
            <w:pPr>
              <w:autoSpaceDE w:val="0"/>
              <w:autoSpaceDN w:val="0"/>
              <w:adjustRightInd w:val="0"/>
              <w:spacing w:before="29" w:line="288" w:lineRule="auto"/>
              <w:ind w:left="15"/>
              <w:jc w:val="right"/>
              <w:rPr>
                <w:color w:val="000000"/>
                <w:sz w:val="24"/>
              </w:rPr>
            </w:pPr>
            <w:r w:rsidRPr="008640AE">
              <w:rPr>
                <w:color w:val="000000"/>
                <w:sz w:val="24"/>
              </w:rPr>
              <w:t>95.83</w:t>
            </w:r>
          </w:p>
        </w:tc>
      </w:tr>
    </w:tbl>
    <w:p w:rsidR="005B6AC7" w:rsidRPr="008640AE" w:rsidRDefault="000A521D" w:rsidP="00707A5E">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707A5E">
      <w:pPr>
        <w:autoSpaceDE w:val="0"/>
        <w:autoSpaceDN w:val="0"/>
        <w:adjustRightInd w:val="0"/>
        <w:spacing w:before="29" w:line="288" w:lineRule="auto"/>
        <w:jc w:val="left"/>
        <w:rPr>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986"/>
        <w:gridCol w:w="1164"/>
        <w:gridCol w:w="1175"/>
      </w:tblGrid>
      <w:tr w:rsidR="001C7D5D" w:rsidRPr="008640AE" w:rsidTr="000421A8">
        <w:trPr>
          <w:jc w:val="center"/>
        </w:trPr>
        <w:tc>
          <w:tcPr>
            <w:tcW w:w="1243" w:type="dxa"/>
            <w:vAlign w:val="center"/>
          </w:tcPr>
          <w:p w:rsidR="001C7D5D" w:rsidRPr="008640AE" w:rsidRDefault="001C7D5D" w:rsidP="00707A5E">
            <w:pPr>
              <w:autoSpaceDE w:val="0"/>
              <w:autoSpaceDN w:val="0"/>
              <w:adjustRightInd w:val="0"/>
              <w:spacing w:before="29" w:line="288" w:lineRule="auto"/>
              <w:ind w:left="15"/>
              <w:jc w:val="center"/>
              <w:rPr>
                <w:color w:val="000000"/>
                <w:kern w:val="0"/>
                <w:sz w:val="18"/>
                <w:szCs w:val="18"/>
              </w:rPr>
            </w:pPr>
            <w:r w:rsidRPr="008640AE">
              <w:rPr>
                <w:color w:val="000000"/>
                <w:kern w:val="0"/>
                <w:sz w:val="18"/>
                <w:szCs w:val="18"/>
              </w:rPr>
              <w:t>序号</w:t>
            </w:r>
          </w:p>
        </w:tc>
        <w:tc>
          <w:tcPr>
            <w:tcW w:w="971" w:type="dxa"/>
            <w:vAlign w:val="center"/>
          </w:tcPr>
          <w:p w:rsidR="001C7D5D" w:rsidRPr="008640AE" w:rsidRDefault="001C7D5D" w:rsidP="00707A5E">
            <w:pPr>
              <w:adjustRightInd w:val="0"/>
              <w:snapToGrid w:val="0"/>
              <w:spacing w:before="29" w:line="288" w:lineRule="auto"/>
              <w:jc w:val="center"/>
              <w:rPr>
                <w:color w:val="000000"/>
                <w:kern w:val="0"/>
                <w:sz w:val="18"/>
                <w:szCs w:val="18"/>
              </w:rPr>
            </w:pPr>
            <w:r w:rsidRPr="008640AE">
              <w:rPr>
                <w:color w:val="000000"/>
                <w:kern w:val="0"/>
                <w:sz w:val="18"/>
                <w:szCs w:val="18"/>
              </w:rPr>
              <w:t>公司名称（英文）</w:t>
            </w:r>
          </w:p>
        </w:tc>
        <w:tc>
          <w:tcPr>
            <w:tcW w:w="993" w:type="dxa"/>
            <w:vAlign w:val="center"/>
          </w:tcPr>
          <w:p w:rsidR="001C7D5D" w:rsidRPr="008640AE" w:rsidRDefault="001C7D5D" w:rsidP="00707A5E">
            <w:pPr>
              <w:adjustRightInd w:val="0"/>
              <w:snapToGrid w:val="0"/>
              <w:spacing w:before="29" w:line="288" w:lineRule="auto"/>
              <w:jc w:val="center"/>
              <w:rPr>
                <w:color w:val="000000"/>
                <w:kern w:val="0"/>
                <w:sz w:val="18"/>
                <w:szCs w:val="18"/>
              </w:rPr>
            </w:pPr>
            <w:r w:rsidRPr="008640AE">
              <w:rPr>
                <w:color w:val="000000"/>
                <w:kern w:val="0"/>
                <w:sz w:val="18"/>
                <w:szCs w:val="18"/>
              </w:rPr>
              <w:t>公司名称（中文）</w:t>
            </w:r>
          </w:p>
        </w:tc>
        <w:tc>
          <w:tcPr>
            <w:tcW w:w="725" w:type="dxa"/>
            <w:vAlign w:val="center"/>
          </w:tcPr>
          <w:p w:rsidR="001C7D5D" w:rsidRPr="008640AE" w:rsidRDefault="001C7D5D" w:rsidP="00707A5E">
            <w:pPr>
              <w:adjustRightInd w:val="0"/>
              <w:snapToGrid w:val="0"/>
              <w:spacing w:before="29" w:line="288" w:lineRule="auto"/>
              <w:jc w:val="center"/>
              <w:rPr>
                <w:color w:val="000000"/>
                <w:kern w:val="0"/>
                <w:sz w:val="18"/>
                <w:szCs w:val="18"/>
              </w:rPr>
            </w:pPr>
            <w:r w:rsidRPr="008640AE">
              <w:rPr>
                <w:color w:val="000000"/>
                <w:kern w:val="0"/>
                <w:sz w:val="18"/>
                <w:szCs w:val="18"/>
              </w:rPr>
              <w:t>证券代码</w:t>
            </w:r>
          </w:p>
        </w:tc>
        <w:tc>
          <w:tcPr>
            <w:tcW w:w="747" w:type="dxa"/>
            <w:vAlign w:val="center"/>
          </w:tcPr>
          <w:p w:rsidR="001C7D5D" w:rsidRPr="008640AE" w:rsidRDefault="009B6E8F" w:rsidP="00707A5E">
            <w:pPr>
              <w:autoSpaceDE w:val="0"/>
              <w:autoSpaceDN w:val="0"/>
              <w:adjustRightInd w:val="0"/>
              <w:spacing w:before="29" w:line="288" w:lineRule="auto"/>
              <w:ind w:left="15"/>
              <w:jc w:val="center"/>
              <w:rPr>
                <w:color w:val="000000"/>
                <w:kern w:val="0"/>
                <w:sz w:val="18"/>
                <w:szCs w:val="18"/>
              </w:rPr>
            </w:pPr>
            <w:r w:rsidRPr="008640AE">
              <w:rPr>
                <w:color w:val="000000"/>
                <w:kern w:val="0"/>
                <w:sz w:val="18"/>
                <w:szCs w:val="18"/>
              </w:rPr>
              <w:t>所在证券市场</w:t>
            </w:r>
          </w:p>
        </w:tc>
        <w:tc>
          <w:tcPr>
            <w:tcW w:w="975" w:type="dxa"/>
            <w:vAlign w:val="center"/>
          </w:tcPr>
          <w:p w:rsidR="001C7D5D" w:rsidRPr="008640AE" w:rsidRDefault="001C7D5D" w:rsidP="00707A5E">
            <w:pPr>
              <w:autoSpaceDE w:val="0"/>
              <w:autoSpaceDN w:val="0"/>
              <w:adjustRightInd w:val="0"/>
              <w:spacing w:before="29" w:line="288" w:lineRule="auto"/>
              <w:ind w:left="15"/>
              <w:jc w:val="center"/>
              <w:rPr>
                <w:color w:val="000000"/>
                <w:kern w:val="0"/>
                <w:sz w:val="18"/>
                <w:szCs w:val="18"/>
              </w:rPr>
            </w:pPr>
            <w:r w:rsidRPr="008640AE">
              <w:rPr>
                <w:color w:val="000000"/>
                <w:kern w:val="0"/>
                <w:sz w:val="18"/>
                <w:szCs w:val="18"/>
              </w:rPr>
              <w:t>所属国家</w:t>
            </w:r>
          </w:p>
          <w:p w:rsidR="001C7D5D" w:rsidRPr="008640AE" w:rsidRDefault="001C7D5D" w:rsidP="00707A5E">
            <w:pPr>
              <w:autoSpaceDE w:val="0"/>
              <w:autoSpaceDN w:val="0"/>
              <w:adjustRightInd w:val="0"/>
              <w:spacing w:before="29" w:line="288" w:lineRule="auto"/>
              <w:ind w:left="15"/>
              <w:jc w:val="center"/>
              <w:rPr>
                <w:color w:val="000000"/>
                <w:kern w:val="0"/>
                <w:sz w:val="18"/>
                <w:szCs w:val="18"/>
              </w:rPr>
            </w:pPr>
            <w:r w:rsidRPr="008640AE">
              <w:rPr>
                <w:color w:val="000000"/>
                <w:kern w:val="0"/>
                <w:sz w:val="18"/>
                <w:szCs w:val="18"/>
              </w:rPr>
              <w:t>（地区</w:t>
            </w:r>
            <w:r w:rsidR="009B6E8F" w:rsidRPr="008640AE">
              <w:rPr>
                <w:color w:val="000000"/>
                <w:kern w:val="0"/>
                <w:sz w:val="18"/>
                <w:szCs w:val="18"/>
              </w:rPr>
              <w:t>）</w:t>
            </w:r>
          </w:p>
        </w:tc>
        <w:tc>
          <w:tcPr>
            <w:tcW w:w="986" w:type="dxa"/>
            <w:vAlign w:val="center"/>
          </w:tcPr>
          <w:p w:rsidR="001C7D5D" w:rsidRPr="008640AE" w:rsidRDefault="001C7D5D" w:rsidP="00707A5E">
            <w:pPr>
              <w:autoSpaceDE w:val="0"/>
              <w:autoSpaceDN w:val="0"/>
              <w:adjustRightInd w:val="0"/>
              <w:spacing w:before="29" w:line="288" w:lineRule="auto"/>
              <w:ind w:left="15"/>
              <w:jc w:val="center"/>
              <w:rPr>
                <w:color w:val="000000"/>
                <w:kern w:val="0"/>
                <w:sz w:val="18"/>
                <w:szCs w:val="18"/>
              </w:rPr>
            </w:pPr>
            <w:r w:rsidRPr="008640AE">
              <w:rPr>
                <w:color w:val="000000"/>
                <w:kern w:val="0"/>
                <w:sz w:val="18"/>
                <w:szCs w:val="18"/>
              </w:rPr>
              <w:t>数量</w:t>
            </w:r>
          </w:p>
          <w:p w:rsidR="001C7D5D" w:rsidRPr="008640AE" w:rsidRDefault="001C7D5D" w:rsidP="00707A5E">
            <w:pPr>
              <w:autoSpaceDE w:val="0"/>
              <w:autoSpaceDN w:val="0"/>
              <w:adjustRightInd w:val="0"/>
              <w:spacing w:before="29" w:line="288" w:lineRule="auto"/>
              <w:ind w:left="15"/>
              <w:jc w:val="center"/>
              <w:rPr>
                <w:color w:val="000000"/>
                <w:kern w:val="0"/>
                <w:sz w:val="18"/>
                <w:szCs w:val="18"/>
              </w:rPr>
            </w:pPr>
            <w:r w:rsidRPr="008640AE">
              <w:rPr>
                <w:color w:val="000000"/>
                <w:kern w:val="0"/>
                <w:sz w:val="18"/>
                <w:szCs w:val="18"/>
              </w:rPr>
              <w:t>（股）</w:t>
            </w:r>
          </w:p>
        </w:tc>
        <w:tc>
          <w:tcPr>
            <w:tcW w:w="1164" w:type="dxa"/>
            <w:vAlign w:val="center"/>
          </w:tcPr>
          <w:p w:rsidR="001C7D5D" w:rsidRPr="008640AE" w:rsidRDefault="001C7D5D" w:rsidP="00707A5E">
            <w:pPr>
              <w:autoSpaceDE w:val="0"/>
              <w:autoSpaceDN w:val="0"/>
              <w:adjustRightInd w:val="0"/>
              <w:spacing w:before="29" w:line="288" w:lineRule="auto"/>
              <w:ind w:left="15"/>
              <w:jc w:val="center"/>
              <w:rPr>
                <w:color w:val="000000"/>
                <w:kern w:val="0"/>
                <w:sz w:val="18"/>
                <w:szCs w:val="18"/>
              </w:rPr>
            </w:pPr>
            <w:r w:rsidRPr="008640AE">
              <w:rPr>
                <w:color w:val="000000"/>
                <w:kern w:val="0"/>
                <w:sz w:val="18"/>
                <w:szCs w:val="18"/>
              </w:rPr>
              <w:t>公允价值（人民币元）</w:t>
            </w:r>
          </w:p>
        </w:tc>
        <w:tc>
          <w:tcPr>
            <w:tcW w:w="1175" w:type="dxa"/>
            <w:vAlign w:val="center"/>
          </w:tcPr>
          <w:p w:rsidR="001C7D5D" w:rsidRPr="008640AE" w:rsidRDefault="001C7D5D" w:rsidP="00707A5E">
            <w:pPr>
              <w:autoSpaceDE w:val="0"/>
              <w:autoSpaceDN w:val="0"/>
              <w:adjustRightInd w:val="0"/>
              <w:spacing w:before="29" w:line="288" w:lineRule="auto"/>
              <w:ind w:left="15"/>
              <w:jc w:val="center"/>
              <w:rPr>
                <w:color w:val="000000"/>
                <w:kern w:val="0"/>
                <w:sz w:val="18"/>
                <w:szCs w:val="18"/>
              </w:rPr>
            </w:pPr>
            <w:r w:rsidRPr="008640AE">
              <w:rPr>
                <w:color w:val="000000"/>
                <w:kern w:val="0"/>
                <w:sz w:val="18"/>
                <w:szCs w:val="18"/>
              </w:rPr>
              <w:t>占基金资产净值比例（％）</w:t>
            </w:r>
          </w:p>
        </w:tc>
      </w:tr>
      <w:tr w:rsidR="00E35C70" w:rsidTr="000421A8">
        <w:trPr>
          <w:jc w:val="center"/>
        </w:trPr>
        <w:tc>
          <w:tcPr>
            <w:tcW w:w="1243" w:type="dxa"/>
            <w:vAlign w:val="center"/>
          </w:tcPr>
          <w:p w:rsidR="00E35C70" w:rsidRDefault="000421A8">
            <w:pPr>
              <w:jc w:val="center"/>
            </w:pPr>
            <w:r>
              <w:rPr>
                <w:color w:val="000000"/>
                <w:sz w:val="18"/>
                <w:szCs w:val="18"/>
              </w:rPr>
              <w:t>1</w:t>
            </w:r>
          </w:p>
        </w:tc>
        <w:tc>
          <w:tcPr>
            <w:tcW w:w="971" w:type="dxa"/>
            <w:vAlign w:val="center"/>
          </w:tcPr>
          <w:p w:rsidR="00E35C70" w:rsidRDefault="000421A8">
            <w:pPr>
              <w:jc w:val="center"/>
            </w:pPr>
            <w:r>
              <w:rPr>
                <w:color w:val="000000"/>
                <w:sz w:val="18"/>
                <w:szCs w:val="18"/>
              </w:rPr>
              <w:t>TENCENT HOLDINGS LTD</w:t>
            </w:r>
          </w:p>
        </w:tc>
        <w:tc>
          <w:tcPr>
            <w:tcW w:w="993" w:type="dxa"/>
            <w:vAlign w:val="center"/>
          </w:tcPr>
          <w:p w:rsidR="00E35C70" w:rsidRDefault="000421A8">
            <w:pPr>
              <w:jc w:val="center"/>
            </w:pPr>
            <w:r>
              <w:rPr>
                <w:color w:val="000000"/>
                <w:sz w:val="18"/>
                <w:szCs w:val="18"/>
              </w:rPr>
              <w:t>腾讯控股有限公司</w:t>
            </w:r>
          </w:p>
        </w:tc>
        <w:tc>
          <w:tcPr>
            <w:tcW w:w="725" w:type="dxa"/>
            <w:vAlign w:val="center"/>
          </w:tcPr>
          <w:p w:rsidR="00E35C70" w:rsidRDefault="000421A8">
            <w:pPr>
              <w:jc w:val="center"/>
            </w:pPr>
            <w:r>
              <w:rPr>
                <w:color w:val="000000"/>
                <w:sz w:val="18"/>
                <w:szCs w:val="18"/>
              </w:rPr>
              <w:t>700 HK</w:t>
            </w:r>
          </w:p>
        </w:tc>
        <w:tc>
          <w:tcPr>
            <w:tcW w:w="747" w:type="dxa"/>
            <w:vAlign w:val="center"/>
          </w:tcPr>
          <w:p w:rsidR="00E35C70" w:rsidRDefault="000421A8">
            <w:pPr>
              <w:jc w:val="center"/>
            </w:pPr>
            <w:r>
              <w:rPr>
                <w:color w:val="000000"/>
                <w:sz w:val="18"/>
                <w:szCs w:val="18"/>
              </w:rPr>
              <w:t>香港证券交易所</w:t>
            </w:r>
          </w:p>
        </w:tc>
        <w:tc>
          <w:tcPr>
            <w:tcW w:w="975" w:type="dxa"/>
            <w:vAlign w:val="center"/>
          </w:tcPr>
          <w:p w:rsidR="00E35C70" w:rsidRDefault="000421A8">
            <w:pPr>
              <w:jc w:val="center"/>
            </w:pPr>
            <w:r>
              <w:rPr>
                <w:color w:val="000000"/>
                <w:sz w:val="18"/>
                <w:szCs w:val="18"/>
              </w:rPr>
              <w:t>香港</w:t>
            </w:r>
          </w:p>
        </w:tc>
        <w:tc>
          <w:tcPr>
            <w:tcW w:w="986" w:type="dxa"/>
            <w:vAlign w:val="center"/>
          </w:tcPr>
          <w:p w:rsidR="00E35C70" w:rsidRDefault="000421A8">
            <w:pPr>
              <w:jc w:val="right"/>
            </w:pPr>
            <w:r>
              <w:rPr>
                <w:color w:val="000000"/>
                <w:sz w:val="18"/>
                <w:szCs w:val="18"/>
              </w:rPr>
              <w:t>16,000</w:t>
            </w:r>
          </w:p>
        </w:tc>
        <w:tc>
          <w:tcPr>
            <w:tcW w:w="1164" w:type="dxa"/>
            <w:vAlign w:val="center"/>
          </w:tcPr>
          <w:p w:rsidR="00E35C70" w:rsidRDefault="000421A8">
            <w:pPr>
              <w:jc w:val="right"/>
            </w:pPr>
            <w:r>
              <w:rPr>
                <w:color w:val="000000"/>
                <w:sz w:val="18"/>
                <w:szCs w:val="18"/>
              </w:rPr>
              <w:t>6,845,756.17</w:t>
            </w:r>
          </w:p>
        </w:tc>
        <w:tc>
          <w:tcPr>
            <w:tcW w:w="1175" w:type="dxa"/>
            <w:vAlign w:val="center"/>
          </w:tcPr>
          <w:p w:rsidR="00E35C70" w:rsidRDefault="000421A8">
            <w:pPr>
              <w:jc w:val="right"/>
            </w:pPr>
            <w:r>
              <w:rPr>
                <w:color w:val="000000"/>
                <w:sz w:val="18"/>
                <w:szCs w:val="18"/>
              </w:rPr>
              <w:t>4.27</w:t>
            </w:r>
          </w:p>
        </w:tc>
      </w:tr>
      <w:tr w:rsidR="00E35C70" w:rsidTr="000421A8">
        <w:trPr>
          <w:jc w:val="center"/>
        </w:trPr>
        <w:tc>
          <w:tcPr>
            <w:tcW w:w="1243" w:type="dxa"/>
            <w:vAlign w:val="center"/>
          </w:tcPr>
          <w:p w:rsidR="00E35C70" w:rsidRDefault="000421A8">
            <w:pPr>
              <w:jc w:val="center"/>
            </w:pPr>
            <w:r>
              <w:rPr>
                <w:color w:val="000000"/>
                <w:sz w:val="18"/>
                <w:szCs w:val="18"/>
              </w:rPr>
              <w:t>2</w:t>
            </w:r>
          </w:p>
        </w:tc>
        <w:tc>
          <w:tcPr>
            <w:tcW w:w="971" w:type="dxa"/>
            <w:vAlign w:val="center"/>
          </w:tcPr>
          <w:p w:rsidR="00E35C70" w:rsidRDefault="000421A8">
            <w:pPr>
              <w:jc w:val="center"/>
            </w:pPr>
            <w:r>
              <w:rPr>
                <w:color w:val="000000"/>
                <w:sz w:val="18"/>
                <w:szCs w:val="18"/>
              </w:rPr>
              <w:t>HISENSE KELON ELEC HLD-H</w:t>
            </w:r>
          </w:p>
        </w:tc>
        <w:tc>
          <w:tcPr>
            <w:tcW w:w="993" w:type="dxa"/>
            <w:vAlign w:val="center"/>
          </w:tcPr>
          <w:p w:rsidR="00E35C70" w:rsidRDefault="000421A8">
            <w:pPr>
              <w:jc w:val="center"/>
            </w:pPr>
            <w:r>
              <w:rPr>
                <w:color w:val="000000"/>
                <w:sz w:val="18"/>
                <w:szCs w:val="18"/>
              </w:rPr>
              <w:t>海信科龙电器股份有限公司</w:t>
            </w:r>
          </w:p>
        </w:tc>
        <w:tc>
          <w:tcPr>
            <w:tcW w:w="725" w:type="dxa"/>
            <w:vAlign w:val="center"/>
          </w:tcPr>
          <w:p w:rsidR="00E35C70" w:rsidRDefault="000421A8">
            <w:pPr>
              <w:jc w:val="center"/>
            </w:pPr>
            <w:r>
              <w:rPr>
                <w:color w:val="000000"/>
                <w:sz w:val="18"/>
                <w:szCs w:val="18"/>
              </w:rPr>
              <w:t>921 HK</w:t>
            </w:r>
          </w:p>
        </w:tc>
        <w:tc>
          <w:tcPr>
            <w:tcW w:w="747" w:type="dxa"/>
            <w:vAlign w:val="center"/>
          </w:tcPr>
          <w:p w:rsidR="00E35C70" w:rsidRDefault="000421A8">
            <w:pPr>
              <w:jc w:val="center"/>
            </w:pPr>
            <w:r>
              <w:rPr>
                <w:color w:val="000000"/>
                <w:sz w:val="18"/>
                <w:szCs w:val="18"/>
              </w:rPr>
              <w:t>香港证券交易所</w:t>
            </w:r>
          </w:p>
        </w:tc>
        <w:tc>
          <w:tcPr>
            <w:tcW w:w="975" w:type="dxa"/>
            <w:vAlign w:val="center"/>
          </w:tcPr>
          <w:p w:rsidR="00E35C70" w:rsidRDefault="000421A8">
            <w:pPr>
              <w:jc w:val="center"/>
            </w:pPr>
            <w:r>
              <w:rPr>
                <w:color w:val="000000"/>
                <w:sz w:val="18"/>
                <w:szCs w:val="18"/>
              </w:rPr>
              <w:t>香港</w:t>
            </w:r>
          </w:p>
        </w:tc>
        <w:tc>
          <w:tcPr>
            <w:tcW w:w="986" w:type="dxa"/>
            <w:vAlign w:val="center"/>
          </w:tcPr>
          <w:p w:rsidR="00E35C70" w:rsidRDefault="000421A8">
            <w:pPr>
              <w:jc w:val="right"/>
            </w:pPr>
            <w:r>
              <w:rPr>
                <w:color w:val="000000"/>
                <w:sz w:val="18"/>
                <w:szCs w:val="18"/>
              </w:rPr>
              <w:t>600,000</w:t>
            </w:r>
          </w:p>
        </w:tc>
        <w:tc>
          <w:tcPr>
            <w:tcW w:w="1164" w:type="dxa"/>
            <w:vAlign w:val="center"/>
          </w:tcPr>
          <w:p w:rsidR="00E35C70" w:rsidRDefault="000421A8">
            <w:pPr>
              <w:jc w:val="right"/>
            </w:pPr>
            <w:r>
              <w:rPr>
                <w:color w:val="000000"/>
                <w:sz w:val="18"/>
                <w:szCs w:val="18"/>
              </w:rPr>
              <w:t>4,520,483.10</w:t>
            </w:r>
          </w:p>
        </w:tc>
        <w:tc>
          <w:tcPr>
            <w:tcW w:w="1175" w:type="dxa"/>
            <w:vAlign w:val="center"/>
          </w:tcPr>
          <w:p w:rsidR="00E35C70" w:rsidRDefault="000421A8">
            <w:pPr>
              <w:jc w:val="right"/>
            </w:pPr>
            <w:r>
              <w:rPr>
                <w:color w:val="000000"/>
                <w:sz w:val="18"/>
                <w:szCs w:val="18"/>
              </w:rPr>
              <w:t>2.82</w:t>
            </w:r>
          </w:p>
        </w:tc>
      </w:tr>
      <w:tr w:rsidR="00E35C70" w:rsidTr="000421A8">
        <w:trPr>
          <w:jc w:val="center"/>
        </w:trPr>
        <w:tc>
          <w:tcPr>
            <w:tcW w:w="1243" w:type="dxa"/>
            <w:vAlign w:val="center"/>
          </w:tcPr>
          <w:p w:rsidR="00E35C70" w:rsidRDefault="000421A8">
            <w:pPr>
              <w:jc w:val="center"/>
            </w:pPr>
            <w:r>
              <w:rPr>
                <w:color w:val="000000"/>
                <w:sz w:val="18"/>
                <w:szCs w:val="18"/>
              </w:rPr>
              <w:t>3</w:t>
            </w:r>
          </w:p>
        </w:tc>
        <w:tc>
          <w:tcPr>
            <w:tcW w:w="971" w:type="dxa"/>
            <w:vAlign w:val="center"/>
          </w:tcPr>
          <w:p w:rsidR="00E35C70" w:rsidRDefault="000421A8">
            <w:pPr>
              <w:jc w:val="center"/>
            </w:pPr>
            <w:r>
              <w:rPr>
                <w:color w:val="000000"/>
                <w:sz w:val="18"/>
                <w:szCs w:val="18"/>
              </w:rPr>
              <w:t>XINCHEN CHINA POWER HOLDINGS</w:t>
            </w:r>
          </w:p>
        </w:tc>
        <w:tc>
          <w:tcPr>
            <w:tcW w:w="993" w:type="dxa"/>
            <w:vAlign w:val="center"/>
          </w:tcPr>
          <w:p w:rsidR="00E35C70" w:rsidRDefault="000421A8">
            <w:pPr>
              <w:jc w:val="center"/>
            </w:pPr>
            <w:r>
              <w:rPr>
                <w:color w:val="000000"/>
                <w:sz w:val="18"/>
                <w:szCs w:val="18"/>
              </w:rPr>
              <w:t>新晨中国动力控股有限公司</w:t>
            </w:r>
          </w:p>
        </w:tc>
        <w:tc>
          <w:tcPr>
            <w:tcW w:w="725" w:type="dxa"/>
            <w:vAlign w:val="center"/>
          </w:tcPr>
          <w:p w:rsidR="00E35C70" w:rsidRDefault="000421A8">
            <w:pPr>
              <w:jc w:val="center"/>
            </w:pPr>
            <w:r>
              <w:rPr>
                <w:color w:val="000000"/>
                <w:sz w:val="18"/>
                <w:szCs w:val="18"/>
              </w:rPr>
              <w:t>1148 HK</w:t>
            </w:r>
          </w:p>
        </w:tc>
        <w:tc>
          <w:tcPr>
            <w:tcW w:w="747" w:type="dxa"/>
            <w:vAlign w:val="center"/>
          </w:tcPr>
          <w:p w:rsidR="00E35C70" w:rsidRDefault="000421A8">
            <w:pPr>
              <w:jc w:val="center"/>
            </w:pPr>
            <w:r>
              <w:rPr>
                <w:color w:val="000000"/>
                <w:sz w:val="18"/>
                <w:szCs w:val="18"/>
              </w:rPr>
              <w:t>香港证券交易所</w:t>
            </w:r>
          </w:p>
        </w:tc>
        <w:tc>
          <w:tcPr>
            <w:tcW w:w="975" w:type="dxa"/>
            <w:vAlign w:val="center"/>
          </w:tcPr>
          <w:p w:rsidR="00E35C70" w:rsidRDefault="000421A8">
            <w:pPr>
              <w:jc w:val="center"/>
            </w:pPr>
            <w:r>
              <w:rPr>
                <w:color w:val="000000"/>
                <w:sz w:val="18"/>
                <w:szCs w:val="18"/>
              </w:rPr>
              <w:t>香港</w:t>
            </w:r>
          </w:p>
        </w:tc>
        <w:tc>
          <w:tcPr>
            <w:tcW w:w="986" w:type="dxa"/>
            <w:vAlign w:val="center"/>
          </w:tcPr>
          <w:p w:rsidR="00E35C70" w:rsidRDefault="000421A8">
            <w:pPr>
              <w:jc w:val="right"/>
            </w:pPr>
            <w:r>
              <w:rPr>
                <w:color w:val="000000"/>
                <w:sz w:val="18"/>
                <w:szCs w:val="18"/>
              </w:rPr>
              <w:t>1,000,000</w:t>
            </w:r>
          </w:p>
        </w:tc>
        <w:tc>
          <w:tcPr>
            <w:tcW w:w="1164" w:type="dxa"/>
            <w:vAlign w:val="center"/>
          </w:tcPr>
          <w:p w:rsidR="00E35C70" w:rsidRDefault="000421A8">
            <w:pPr>
              <w:jc w:val="right"/>
            </w:pPr>
            <w:r>
              <w:rPr>
                <w:color w:val="000000"/>
                <w:sz w:val="18"/>
                <w:szCs w:val="18"/>
              </w:rPr>
              <w:t>3,814,653.28</w:t>
            </w:r>
          </w:p>
        </w:tc>
        <w:tc>
          <w:tcPr>
            <w:tcW w:w="1175" w:type="dxa"/>
            <w:vAlign w:val="center"/>
          </w:tcPr>
          <w:p w:rsidR="00E35C70" w:rsidRDefault="000421A8">
            <w:pPr>
              <w:jc w:val="right"/>
            </w:pPr>
            <w:r>
              <w:rPr>
                <w:color w:val="000000"/>
                <w:sz w:val="18"/>
                <w:szCs w:val="18"/>
              </w:rPr>
              <w:t>2.38</w:t>
            </w:r>
          </w:p>
        </w:tc>
      </w:tr>
      <w:tr w:rsidR="00E35C70" w:rsidTr="000421A8">
        <w:trPr>
          <w:jc w:val="center"/>
        </w:trPr>
        <w:tc>
          <w:tcPr>
            <w:tcW w:w="1243" w:type="dxa"/>
            <w:vAlign w:val="center"/>
          </w:tcPr>
          <w:p w:rsidR="00E35C70" w:rsidRDefault="000421A8">
            <w:pPr>
              <w:jc w:val="center"/>
            </w:pPr>
            <w:r>
              <w:rPr>
                <w:color w:val="000000"/>
                <w:sz w:val="18"/>
                <w:szCs w:val="18"/>
              </w:rPr>
              <w:t>4</w:t>
            </w:r>
          </w:p>
        </w:tc>
        <w:tc>
          <w:tcPr>
            <w:tcW w:w="971" w:type="dxa"/>
            <w:vAlign w:val="center"/>
          </w:tcPr>
          <w:p w:rsidR="00E35C70" w:rsidRDefault="000421A8">
            <w:pPr>
              <w:jc w:val="center"/>
            </w:pPr>
            <w:r>
              <w:rPr>
                <w:color w:val="000000"/>
                <w:sz w:val="18"/>
                <w:szCs w:val="18"/>
              </w:rPr>
              <w:t>CONSUN PHARMACEUTICAL GROUP</w:t>
            </w:r>
          </w:p>
        </w:tc>
        <w:tc>
          <w:tcPr>
            <w:tcW w:w="993" w:type="dxa"/>
            <w:vAlign w:val="center"/>
          </w:tcPr>
          <w:p w:rsidR="00E35C70" w:rsidRDefault="000421A8">
            <w:pPr>
              <w:jc w:val="center"/>
            </w:pPr>
            <w:r w:rsidRPr="000421A8">
              <w:rPr>
                <w:rFonts w:hint="eastAsia"/>
                <w:color w:val="000000"/>
                <w:sz w:val="18"/>
                <w:szCs w:val="18"/>
              </w:rPr>
              <w:t>康臣药业集团有限公司</w:t>
            </w:r>
          </w:p>
        </w:tc>
        <w:tc>
          <w:tcPr>
            <w:tcW w:w="725" w:type="dxa"/>
            <w:vAlign w:val="center"/>
          </w:tcPr>
          <w:p w:rsidR="00E35C70" w:rsidRDefault="000421A8">
            <w:pPr>
              <w:jc w:val="center"/>
            </w:pPr>
            <w:r>
              <w:rPr>
                <w:color w:val="000000"/>
                <w:sz w:val="18"/>
                <w:szCs w:val="18"/>
              </w:rPr>
              <w:t>1681 HK</w:t>
            </w:r>
          </w:p>
        </w:tc>
        <w:tc>
          <w:tcPr>
            <w:tcW w:w="747" w:type="dxa"/>
            <w:vAlign w:val="center"/>
          </w:tcPr>
          <w:p w:rsidR="00E35C70" w:rsidRDefault="000421A8">
            <w:pPr>
              <w:jc w:val="center"/>
            </w:pPr>
            <w:r>
              <w:rPr>
                <w:color w:val="000000"/>
                <w:sz w:val="18"/>
                <w:szCs w:val="18"/>
              </w:rPr>
              <w:t>香港证券交易所</w:t>
            </w:r>
          </w:p>
        </w:tc>
        <w:tc>
          <w:tcPr>
            <w:tcW w:w="975" w:type="dxa"/>
            <w:vAlign w:val="center"/>
          </w:tcPr>
          <w:p w:rsidR="00E35C70" w:rsidRDefault="000421A8">
            <w:pPr>
              <w:jc w:val="center"/>
            </w:pPr>
            <w:r>
              <w:rPr>
                <w:color w:val="000000"/>
                <w:sz w:val="18"/>
                <w:szCs w:val="18"/>
              </w:rPr>
              <w:t>香港</w:t>
            </w:r>
          </w:p>
        </w:tc>
        <w:tc>
          <w:tcPr>
            <w:tcW w:w="986" w:type="dxa"/>
            <w:vAlign w:val="center"/>
          </w:tcPr>
          <w:p w:rsidR="00E35C70" w:rsidRDefault="000421A8">
            <w:pPr>
              <w:jc w:val="right"/>
            </w:pPr>
            <w:r>
              <w:rPr>
                <w:color w:val="000000"/>
                <w:sz w:val="18"/>
                <w:szCs w:val="18"/>
              </w:rPr>
              <w:t>800,000</w:t>
            </w:r>
          </w:p>
        </w:tc>
        <w:tc>
          <w:tcPr>
            <w:tcW w:w="1164" w:type="dxa"/>
            <w:vAlign w:val="center"/>
          </w:tcPr>
          <w:p w:rsidR="00E35C70" w:rsidRDefault="000421A8">
            <w:pPr>
              <w:jc w:val="right"/>
            </w:pPr>
            <w:r>
              <w:rPr>
                <w:color w:val="000000"/>
                <w:sz w:val="18"/>
                <w:szCs w:val="18"/>
              </w:rPr>
              <w:t>3,806,722.61</w:t>
            </w:r>
          </w:p>
        </w:tc>
        <w:tc>
          <w:tcPr>
            <w:tcW w:w="1175" w:type="dxa"/>
            <w:vAlign w:val="center"/>
          </w:tcPr>
          <w:p w:rsidR="00E35C70" w:rsidRDefault="000421A8">
            <w:pPr>
              <w:jc w:val="right"/>
            </w:pPr>
            <w:r>
              <w:rPr>
                <w:color w:val="000000"/>
                <w:sz w:val="18"/>
                <w:szCs w:val="18"/>
              </w:rPr>
              <w:t>2.38</w:t>
            </w:r>
          </w:p>
        </w:tc>
      </w:tr>
      <w:tr w:rsidR="00E35C70" w:rsidTr="000421A8">
        <w:trPr>
          <w:jc w:val="center"/>
        </w:trPr>
        <w:tc>
          <w:tcPr>
            <w:tcW w:w="1243" w:type="dxa"/>
            <w:vAlign w:val="center"/>
          </w:tcPr>
          <w:p w:rsidR="00E35C70" w:rsidRDefault="000421A8">
            <w:pPr>
              <w:jc w:val="center"/>
            </w:pPr>
            <w:r>
              <w:rPr>
                <w:color w:val="000000"/>
                <w:sz w:val="18"/>
                <w:szCs w:val="18"/>
              </w:rPr>
              <w:t>5</w:t>
            </w:r>
          </w:p>
        </w:tc>
        <w:tc>
          <w:tcPr>
            <w:tcW w:w="971" w:type="dxa"/>
            <w:vAlign w:val="center"/>
          </w:tcPr>
          <w:p w:rsidR="00E35C70" w:rsidRDefault="000421A8">
            <w:pPr>
              <w:jc w:val="center"/>
            </w:pPr>
            <w:r>
              <w:rPr>
                <w:color w:val="000000"/>
                <w:sz w:val="18"/>
                <w:szCs w:val="18"/>
              </w:rPr>
              <w:t>APPLE INC</w:t>
            </w:r>
          </w:p>
        </w:tc>
        <w:tc>
          <w:tcPr>
            <w:tcW w:w="993" w:type="dxa"/>
            <w:vAlign w:val="center"/>
          </w:tcPr>
          <w:p w:rsidR="00E35C70" w:rsidRDefault="000421A8">
            <w:pPr>
              <w:jc w:val="center"/>
            </w:pPr>
            <w:r>
              <w:rPr>
                <w:color w:val="000000"/>
                <w:sz w:val="18"/>
                <w:szCs w:val="18"/>
              </w:rPr>
              <w:t>苹果公司</w:t>
            </w:r>
          </w:p>
        </w:tc>
        <w:tc>
          <w:tcPr>
            <w:tcW w:w="725" w:type="dxa"/>
            <w:vAlign w:val="center"/>
          </w:tcPr>
          <w:p w:rsidR="00E35C70" w:rsidRDefault="000421A8">
            <w:pPr>
              <w:jc w:val="center"/>
            </w:pPr>
            <w:r>
              <w:rPr>
                <w:color w:val="000000"/>
                <w:sz w:val="18"/>
                <w:szCs w:val="18"/>
              </w:rPr>
              <w:t>AAPL US</w:t>
            </w:r>
          </w:p>
        </w:tc>
        <w:tc>
          <w:tcPr>
            <w:tcW w:w="747" w:type="dxa"/>
            <w:vAlign w:val="center"/>
          </w:tcPr>
          <w:p w:rsidR="00E35C70" w:rsidRDefault="000421A8">
            <w:pPr>
              <w:jc w:val="center"/>
            </w:pPr>
            <w:r>
              <w:rPr>
                <w:color w:val="000000"/>
                <w:sz w:val="18"/>
                <w:szCs w:val="18"/>
              </w:rPr>
              <w:t>美国证券交易所</w:t>
            </w:r>
          </w:p>
        </w:tc>
        <w:tc>
          <w:tcPr>
            <w:tcW w:w="975" w:type="dxa"/>
            <w:vAlign w:val="center"/>
          </w:tcPr>
          <w:p w:rsidR="00E35C70" w:rsidRDefault="000421A8">
            <w:pPr>
              <w:jc w:val="center"/>
            </w:pPr>
            <w:r>
              <w:rPr>
                <w:color w:val="000000"/>
                <w:sz w:val="18"/>
                <w:szCs w:val="18"/>
              </w:rPr>
              <w:t>美国</w:t>
            </w:r>
          </w:p>
        </w:tc>
        <w:tc>
          <w:tcPr>
            <w:tcW w:w="986" w:type="dxa"/>
            <w:vAlign w:val="center"/>
          </w:tcPr>
          <w:p w:rsidR="00E35C70" w:rsidRDefault="000421A8">
            <w:pPr>
              <w:jc w:val="right"/>
            </w:pPr>
            <w:r>
              <w:rPr>
                <w:color w:val="000000"/>
                <w:sz w:val="18"/>
                <w:szCs w:val="18"/>
              </w:rPr>
              <w:t>1,000</w:t>
            </w:r>
          </w:p>
        </w:tc>
        <w:tc>
          <w:tcPr>
            <w:tcW w:w="1164" w:type="dxa"/>
            <w:vAlign w:val="center"/>
          </w:tcPr>
          <w:p w:rsidR="00E35C70" w:rsidRDefault="000421A8">
            <w:pPr>
              <w:jc w:val="right"/>
            </w:pPr>
            <w:r>
              <w:rPr>
                <w:color w:val="000000"/>
                <w:sz w:val="18"/>
                <w:szCs w:val="18"/>
              </w:rPr>
              <w:t>3,302,078.15</w:t>
            </w:r>
          </w:p>
        </w:tc>
        <w:tc>
          <w:tcPr>
            <w:tcW w:w="1175" w:type="dxa"/>
            <w:vAlign w:val="center"/>
          </w:tcPr>
          <w:p w:rsidR="00E35C70" w:rsidRDefault="000421A8">
            <w:pPr>
              <w:jc w:val="right"/>
            </w:pPr>
            <w:r>
              <w:rPr>
                <w:color w:val="000000"/>
                <w:sz w:val="18"/>
                <w:szCs w:val="18"/>
              </w:rPr>
              <w:t>2.06</w:t>
            </w:r>
          </w:p>
        </w:tc>
      </w:tr>
      <w:tr w:rsidR="00E35C70" w:rsidTr="000421A8">
        <w:trPr>
          <w:jc w:val="center"/>
        </w:trPr>
        <w:tc>
          <w:tcPr>
            <w:tcW w:w="1243" w:type="dxa"/>
            <w:vAlign w:val="center"/>
          </w:tcPr>
          <w:p w:rsidR="00E35C70" w:rsidRDefault="000421A8">
            <w:pPr>
              <w:jc w:val="center"/>
            </w:pPr>
            <w:r>
              <w:rPr>
                <w:color w:val="000000"/>
                <w:sz w:val="18"/>
                <w:szCs w:val="18"/>
              </w:rPr>
              <w:t>6</w:t>
            </w:r>
          </w:p>
        </w:tc>
        <w:tc>
          <w:tcPr>
            <w:tcW w:w="971" w:type="dxa"/>
            <w:vAlign w:val="center"/>
          </w:tcPr>
          <w:p w:rsidR="00E35C70" w:rsidRDefault="000421A8">
            <w:pPr>
              <w:jc w:val="center"/>
            </w:pPr>
            <w:r>
              <w:rPr>
                <w:color w:val="000000"/>
                <w:sz w:val="18"/>
                <w:szCs w:val="18"/>
              </w:rPr>
              <w:t>SINOPEC SHANGHAI PETROCHEM-H</w:t>
            </w:r>
          </w:p>
        </w:tc>
        <w:tc>
          <w:tcPr>
            <w:tcW w:w="993" w:type="dxa"/>
            <w:vAlign w:val="center"/>
          </w:tcPr>
          <w:p w:rsidR="00E35C70" w:rsidRDefault="000421A8">
            <w:pPr>
              <w:jc w:val="center"/>
            </w:pPr>
            <w:r>
              <w:rPr>
                <w:color w:val="000000"/>
                <w:sz w:val="18"/>
                <w:szCs w:val="18"/>
              </w:rPr>
              <w:t>中国石化上海石油化工股份有限公司</w:t>
            </w:r>
          </w:p>
        </w:tc>
        <w:tc>
          <w:tcPr>
            <w:tcW w:w="725" w:type="dxa"/>
            <w:vAlign w:val="center"/>
          </w:tcPr>
          <w:p w:rsidR="00E35C70" w:rsidRDefault="000421A8">
            <w:pPr>
              <w:jc w:val="center"/>
            </w:pPr>
            <w:r>
              <w:rPr>
                <w:color w:val="000000"/>
                <w:sz w:val="18"/>
                <w:szCs w:val="18"/>
              </w:rPr>
              <w:t>338 HK</w:t>
            </w:r>
          </w:p>
        </w:tc>
        <w:tc>
          <w:tcPr>
            <w:tcW w:w="747" w:type="dxa"/>
            <w:vAlign w:val="center"/>
          </w:tcPr>
          <w:p w:rsidR="00E35C70" w:rsidRDefault="000421A8">
            <w:pPr>
              <w:jc w:val="center"/>
            </w:pPr>
            <w:r>
              <w:rPr>
                <w:color w:val="000000"/>
                <w:sz w:val="18"/>
                <w:szCs w:val="18"/>
              </w:rPr>
              <w:t>香港证券交易所</w:t>
            </w:r>
          </w:p>
        </w:tc>
        <w:tc>
          <w:tcPr>
            <w:tcW w:w="975" w:type="dxa"/>
            <w:vAlign w:val="center"/>
          </w:tcPr>
          <w:p w:rsidR="00E35C70" w:rsidRDefault="000421A8">
            <w:pPr>
              <w:jc w:val="center"/>
            </w:pPr>
            <w:r>
              <w:rPr>
                <w:color w:val="000000"/>
                <w:sz w:val="18"/>
                <w:szCs w:val="18"/>
              </w:rPr>
              <w:t>香港</w:t>
            </w:r>
          </w:p>
        </w:tc>
        <w:tc>
          <w:tcPr>
            <w:tcW w:w="986" w:type="dxa"/>
            <w:vAlign w:val="center"/>
          </w:tcPr>
          <w:p w:rsidR="00E35C70" w:rsidRDefault="000421A8">
            <w:pPr>
              <w:jc w:val="right"/>
            </w:pPr>
            <w:r>
              <w:rPr>
                <w:color w:val="000000"/>
                <w:sz w:val="18"/>
                <w:szCs w:val="18"/>
              </w:rPr>
              <w:t>2,000,000</w:t>
            </w:r>
          </w:p>
        </w:tc>
        <w:tc>
          <w:tcPr>
            <w:tcW w:w="1164" w:type="dxa"/>
            <w:vAlign w:val="center"/>
          </w:tcPr>
          <w:p w:rsidR="00E35C70" w:rsidRDefault="000421A8">
            <w:pPr>
              <w:jc w:val="right"/>
            </w:pPr>
            <w:r>
              <w:rPr>
                <w:color w:val="000000"/>
                <w:sz w:val="18"/>
                <w:szCs w:val="18"/>
              </w:rPr>
              <w:t>3,172,268.84</w:t>
            </w:r>
          </w:p>
        </w:tc>
        <w:tc>
          <w:tcPr>
            <w:tcW w:w="1175" w:type="dxa"/>
            <w:vAlign w:val="center"/>
          </w:tcPr>
          <w:p w:rsidR="00E35C70" w:rsidRDefault="000421A8">
            <w:pPr>
              <w:jc w:val="right"/>
            </w:pPr>
            <w:r>
              <w:rPr>
                <w:color w:val="000000"/>
                <w:sz w:val="18"/>
                <w:szCs w:val="18"/>
              </w:rPr>
              <w:t>1.98</w:t>
            </w:r>
          </w:p>
        </w:tc>
      </w:tr>
      <w:tr w:rsidR="00E35C70" w:rsidTr="000421A8">
        <w:trPr>
          <w:jc w:val="center"/>
        </w:trPr>
        <w:tc>
          <w:tcPr>
            <w:tcW w:w="1243" w:type="dxa"/>
            <w:vAlign w:val="center"/>
          </w:tcPr>
          <w:p w:rsidR="00E35C70" w:rsidRDefault="000421A8">
            <w:pPr>
              <w:jc w:val="center"/>
            </w:pPr>
            <w:r>
              <w:rPr>
                <w:color w:val="000000"/>
                <w:sz w:val="18"/>
                <w:szCs w:val="18"/>
              </w:rPr>
              <w:t>7</w:t>
            </w:r>
          </w:p>
        </w:tc>
        <w:tc>
          <w:tcPr>
            <w:tcW w:w="971" w:type="dxa"/>
            <w:vAlign w:val="center"/>
          </w:tcPr>
          <w:p w:rsidR="00E35C70" w:rsidRDefault="000421A8">
            <w:pPr>
              <w:jc w:val="center"/>
            </w:pPr>
            <w:r>
              <w:rPr>
                <w:color w:val="000000"/>
                <w:sz w:val="18"/>
                <w:szCs w:val="18"/>
              </w:rPr>
              <w:t>HC INTERNATIONAL INC</w:t>
            </w:r>
          </w:p>
        </w:tc>
        <w:tc>
          <w:tcPr>
            <w:tcW w:w="993" w:type="dxa"/>
            <w:vAlign w:val="center"/>
          </w:tcPr>
          <w:p w:rsidR="00E35C70" w:rsidRDefault="000421A8">
            <w:pPr>
              <w:jc w:val="center"/>
            </w:pPr>
            <w:r>
              <w:rPr>
                <w:color w:val="000000"/>
                <w:sz w:val="18"/>
                <w:szCs w:val="18"/>
              </w:rPr>
              <w:t>慧聪网</w:t>
            </w:r>
          </w:p>
        </w:tc>
        <w:tc>
          <w:tcPr>
            <w:tcW w:w="725" w:type="dxa"/>
            <w:vAlign w:val="center"/>
          </w:tcPr>
          <w:p w:rsidR="00E35C70" w:rsidRDefault="000421A8">
            <w:pPr>
              <w:jc w:val="center"/>
            </w:pPr>
            <w:r>
              <w:rPr>
                <w:color w:val="000000"/>
                <w:sz w:val="18"/>
                <w:szCs w:val="18"/>
              </w:rPr>
              <w:t>8292 HK</w:t>
            </w:r>
          </w:p>
        </w:tc>
        <w:tc>
          <w:tcPr>
            <w:tcW w:w="747" w:type="dxa"/>
            <w:vAlign w:val="center"/>
          </w:tcPr>
          <w:p w:rsidR="00E35C70" w:rsidRDefault="000421A8">
            <w:pPr>
              <w:jc w:val="center"/>
            </w:pPr>
            <w:r>
              <w:rPr>
                <w:color w:val="000000"/>
                <w:sz w:val="18"/>
                <w:szCs w:val="18"/>
              </w:rPr>
              <w:t>香港证券交易所</w:t>
            </w:r>
          </w:p>
        </w:tc>
        <w:tc>
          <w:tcPr>
            <w:tcW w:w="975" w:type="dxa"/>
            <w:vAlign w:val="center"/>
          </w:tcPr>
          <w:p w:rsidR="00E35C70" w:rsidRDefault="000421A8">
            <w:pPr>
              <w:jc w:val="center"/>
            </w:pPr>
            <w:r>
              <w:rPr>
                <w:color w:val="000000"/>
                <w:sz w:val="18"/>
                <w:szCs w:val="18"/>
              </w:rPr>
              <w:t>香港</w:t>
            </w:r>
          </w:p>
        </w:tc>
        <w:tc>
          <w:tcPr>
            <w:tcW w:w="986" w:type="dxa"/>
            <w:vAlign w:val="center"/>
          </w:tcPr>
          <w:p w:rsidR="00E35C70" w:rsidRDefault="000421A8">
            <w:pPr>
              <w:jc w:val="right"/>
            </w:pPr>
            <w:r>
              <w:rPr>
                <w:color w:val="000000"/>
                <w:sz w:val="18"/>
                <w:szCs w:val="18"/>
              </w:rPr>
              <w:t>200,000</w:t>
            </w:r>
          </w:p>
        </w:tc>
        <w:tc>
          <w:tcPr>
            <w:tcW w:w="1164" w:type="dxa"/>
            <w:vAlign w:val="center"/>
          </w:tcPr>
          <w:p w:rsidR="00E35C70" w:rsidRDefault="000421A8">
            <w:pPr>
              <w:jc w:val="right"/>
            </w:pPr>
            <w:r>
              <w:rPr>
                <w:color w:val="000000"/>
                <w:sz w:val="18"/>
                <w:szCs w:val="18"/>
              </w:rPr>
              <w:t>3,156,407.50</w:t>
            </w:r>
          </w:p>
        </w:tc>
        <w:tc>
          <w:tcPr>
            <w:tcW w:w="1175" w:type="dxa"/>
            <w:vAlign w:val="center"/>
          </w:tcPr>
          <w:p w:rsidR="00E35C70" w:rsidRDefault="000421A8">
            <w:pPr>
              <w:jc w:val="right"/>
            </w:pPr>
            <w:r>
              <w:rPr>
                <w:color w:val="000000"/>
                <w:sz w:val="18"/>
                <w:szCs w:val="18"/>
              </w:rPr>
              <w:t>1.97</w:t>
            </w:r>
          </w:p>
        </w:tc>
      </w:tr>
      <w:tr w:rsidR="00E35C70" w:rsidTr="000421A8">
        <w:trPr>
          <w:jc w:val="center"/>
        </w:trPr>
        <w:tc>
          <w:tcPr>
            <w:tcW w:w="1243" w:type="dxa"/>
            <w:vAlign w:val="center"/>
          </w:tcPr>
          <w:p w:rsidR="00E35C70" w:rsidRDefault="000421A8">
            <w:pPr>
              <w:jc w:val="center"/>
            </w:pPr>
            <w:r>
              <w:rPr>
                <w:color w:val="000000"/>
                <w:sz w:val="18"/>
                <w:szCs w:val="18"/>
              </w:rPr>
              <w:t>8</w:t>
            </w:r>
          </w:p>
        </w:tc>
        <w:tc>
          <w:tcPr>
            <w:tcW w:w="971" w:type="dxa"/>
            <w:vAlign w:val="center"/>
          </w:tcPr>
          <w:p w:rsidR="00E35C70" w:rsidRDefault="000421A8">
            <w:pPr>
              <w:jc w:val="center"/>
            </w:pPr>
            <w:r>
              <w:rPr>
                <w:color w:val="000000"/>
                <w:sz w:val="18"/>
                <w:szCs w:val="18"/>
              </w:rPr>
              <w:t>ROCHE HOLDING AG-GENUSSCHEIN</w:t>
            </w:r>
          </w:p>
        </w:tc>
        <w:tc>
          <w:tcPr>
            <w:tcW w:w="993" w:type="dxa"/>
            <w:vAlign w:val="center"/>
          </w:tcPr>
          <w:p w:rsidR="00E35C70" w:rsidRDefault="000421A8">
            <w:pPr>
              <w:jc w:val="center"/>
            </w:pPr>
            <w:r>
              <w:rPr>
                <w:color w:val="000000"/>
                <w:sz w:val="18"/>
                <w:szCs w:val="18"/>
              </w:rPr>
              <w:t>罗氏公司</w:t>
            </w:r>
          </w:p>
        </w:tc>
        <w:tc>
          <w:tcPr>
            <w:tcW w:w="725" w:type="dxa"/>
            <w:vAlign w:val="center"/>
          </w:tcPr>
          <w:p w:rsidR="00E35C70" w:rsidRDefault="000421A8">
            <w:pPr>
              <w:jc w:val="center"/>
            </w:pPr>
            <w:r>
              <w:rPr>
                <w:color w:val="000000"/>
                <w:sz w:val="18"/>
                <w:szCs w:val="18"/>
              </w:rPr>
              <w:t>ROG VX</w:t>
            </w:r>
          </w:p>
        </w:tc>
        <w:tc>
          <w:tcPr>
            <w:tcW w:w="747" w:type="dxa"/>
            <w:vAlign w:val="center"/>
          </w:tcPr>
          <w:p w:rsidR="00E35C70" w:rsidRDefault="000421A8">
            <w:pPr>
              <w:jc w:val="center"/>
            </w:pPr>
            <w:r>
              <w:rPr>
                <w:color w:val="000000"/>
                <w:sz w:val="18"/>
                <w:szCs w:val="18"/>
              </w:rPr>
              <w:t>瑞士证券交易所</w:t>
            </w:r>
          </w:p>
        </w:tc>
        <w:tc>
          <w:tcPr>
            <w:tcW w:w="975" w:type="dxa"/>
            <w:vAlign w:val="center"/>
          </w:tcPr>
          <w:p w:rsidR="00E35C70" w:rsidRDefault="000421A8">
            <w:pPr>
              <w:jc w:val="center"/>
            </w:pPr>
            <w:r>
              <w:rPr>
                <w:color w:val="000000"/>
                <w:sz w:val="18"/>
                <w:szCs w:val="18"/>
              </w:rPr>
              <w:t>瑞士</w:t>
            </w:r>
          </w:p>
        </w:tc>
        <w:tc>
          <w:tcPr>
            <w:tcW w:w="986" w:type="dxa"/>
            <w:vAlign w:val="center"/>
          </w:tcPr>
          <w:p w:rsidR="00E35C70" w:rsidRDefault="000421A8">
            <w:pPr>
              <w:jc w:val="right"/>
            </w:pPr>
            <w:r>
              <w:rPr>
                <w:color w:val="000000"/>
                <w:sz w:val="18"/>
                <w:szCs w:val="18"/>
              </w:rPr>
              <w:t>1,437</w:t>
            </w:r>
          </w:p>
        </w:tc>
        <w:tc>
          <w:tcPr>
            <w:tcW w:w="1164" w:type="dxa"/>
            <w:vAlign w:val="center"/>
          </w:tcPr>
          <w:p w:rsidR="00E35C70" w:rsidRDefault="000421A8">
            <w:pPr>
              <w:jc w:val="right"/>
            </w:pPr>
            <w:r>
              <w:rPr>
                <w:color w:val="000000"/>
                <w:sz w:val="18"/>
                <w:szCs w:val="18"/>
              </w:rPr>
              <w:t>2,652,462.05</w:t>
            </w:r>
          </w:p>
        </w:tc>
        <w:tc>
          <w:tcPr>
            <w:tcW w:w="1175" w:type="dxa"/>
            <w:vAlign w:val="center"/>
          </w:tcPr>
          <w:p w:rsidR="00E35C70" w:rsidRDefault="000421A8">
            <w:pPr>
              <w:jc w:val="right"/>
            </w:pPr>
            <w:r>
              <w:rPr>
                <w:color w:val="000000"/>
                <w:sz w:val="18"/>
                <w:szCs w:val="18"/>
              </w:rPr>
              <w:t>1.66</w:t>
            </w:r>
          </w:p>
        </w:tc>
      </w:tr>
      <w:tr w:rsidR="00E35C70" w:rsidTr="000421A8">
        <w:trPr>
          <w:jc w:val="center"/>
        </w:trPr>
        <w:tc>
          <w:tcPr>
            <w:tcW w:w="1243" w:type="dxa"/>
            <w:vAlign w:val="center"/>
          </w:tcPr>
          <w:p w:rsidR="00E35C70" w:rsidRDefault="000421A8">
            <w:pPr>
              <w:jc w:val="center"/>
            </w:pPr>
            <w:r>
              <w:rPr>
                <w:color w:val="000000"/>
                <w:sz w:val="18"/>
                <w:szCs w:val="18"/>
              </w:rPr>
              <w:t>9</w:t>
            </w:r>
          </w:p>
        </w:tc>
        <w:tc>
          <w:tcPr>
            <w:tcW w:w="971" w:type="dxa"/>
            <w:vAlign w:val="center"/>
          </w:tcPr>
          <w:p w:rsidR="00E35C70" w:rsidRDefault="000421A8">
            <w:pPr>
              <w:jc w:val="center"/>
            </w:pPr>
            <w:r>
              <w:rPr>
                <w:color w:val="000000"/>
                <w:sz w:val="18"/>
                <w:szCs w:val="18"/>
              </w:rPr>
              <w:t>SCHLUMBERGER LTD</w:t>
            </w:r>
          </w:p>
        </w:tc>
        <w:tc>
          <w:tcPr>
            <w:tcW w:w="993" w:type="dxa"/>
            <w:vAlign w:val="center"/>
          </w:tcPr>
          <w:p w:rsidR="00E35C70" w:rsidRDefault="000421A8">
            <w:pPr>
              <w:jc w:val="center"/>
            </w:pPr>
            <w:r>
              <w:rPr>
                <w:color w:val="000000"/>
                <w:sz w:val="18"/>
                <w:szCs w:val="18"/>
              </w:rPr>
              <w:t>斯伦贝谢公司</w:t>
            </w:r>
          </w:p>
        </w:tc>
        <w:tc>
          <w:tcPr>
            <w:tcW w:w="725" w:type="dxa"/>
            <w:vAlign w:val="center"/>
          </w:tcPr>
          <w:p w:rsidR="00E35C70" w:rsidRDefault="000421A8">
            <w:pPr>
              <w:jc w:val="center"/>
            </w:pPr>
            <w:r>
              <w:rPr>
                <w:color w:val="000000"/>
                <w:sz w:val="18"/>
                <w:szCs w:val="18"/>
              </w:rPr>
              <w:t>SLB US</w:t>
            </w:r>
          </w:p>
        </w:tc>
        <w:tc>
          <w:tcPr>
            <w:tcW w:w="747" w:type="dxa"/>
            <w:vAlign w:val="center"/>
          </w:tcPr>
          <w:p w:rsidR="00E35C70" w:rsidRDefault="000421A8">
            <w:pPr>
              <w:jc w:val="center"/>
            </w:pPr>
            <w:r>
              <w:rPr>
                <w:color w:val="000000"/>
                <w:sz w:val="18"/>
                <w:szCs w:val="18"/>
              </w:rPr>
              <w:t>美国证券交易所</w:t>
            </w:r>
          </w:p>
        </w:tc>
        <w:tc>
          <w:tcPr>
            <w:tcW w:w="975" w:type="dxa"/>
            <w:vAlign w:val="center"/>
          </w:tcPr>
          <w:p w:rsidR="00E35C70" w:rsidRDefault="000421A8">
            <w:pPr>
              <w:jc w:val="center"/>
            </w:pPr>
            <w:r>
              <w:rPr>
                <w:color w:val="000000"/>
                <w:sz w:val="18"/>
                <w:szCs w:val="18"/>
              </w:rPr>
              <w:t>美国</w:t>
            </w:r>
          </w:p>
        </w:tc>
        <w:tc>
          <w:tcPr>
            <w:tcW w:w="986" w:type="dxa"/>
            <w:vAlign w:val="center"/>
          </w:tcPr>
          <w:p w:rsidR="00E35C70" w:rsidRDefault="000421A8">
            <w:pPr>
              <w:jc w:val="right"/>
            </w:pPr>
            <w:r>
              <w:rPr>
                <w:color w:val="000000"/>
                <w:sz w:val="18"/>
                <w:szCs w:val="18"/>
              </w:rPr>
              <w:t>4,320</w:t>
            </w:r>
          </w:p>
        </w:tc>
        <w:tc>
          <w:tcPr>
            <w:tcW w:w="1164" w:type="dxa"/>
            <w:vAlign w:val="center"/>
          </w:tcPr>
          <w:p w:rsidR="00E35C70" w:rsidRDefault="000421A8">
            <w:pPr>
              <w:jc w:val="right"/>
            </w:pPr>
            <w:r>
              <w:rPr>
                <w:color w:val="000000"/>
                <w:sz w:val="18"/>
                <w:szCs w:val="18"/>
              </w:rPr>
              <w:t>2,591,264.52</w:t>
            </w:r>
          </w:p>
        </w:tc>
        <w:tc>
          <w:tcPr>
            <w:tcW w:w="1175" w:type="dxa"/>
            <w:vAlign w:val="center"/>
          </w:tcPr>
          <w:p w:rsidR="00E35C70" w:rsidRDefault="000421A8">
            <w:pPr>
              <w:jc w:val="right"/>
            </w:pPr>
            <w:r>
              <w:rPr>
                <w:color w:val="000000"/>
                <w:sz w:val="18"/>
                <w:szCs w:val="18"/>
              </w:rPr>
              <w:t>1.62</w:t>
            </w:r>
          </w:p>
        </w:tc>
      </w:tr>
      <w:tr w:rsidR="00E35C70" w:rsidTr="000421A8">
        <w:trPr>
          <w:jc w:val="center"/>
        </w:trPr>
        <w:tc>
          <w:tcPr>
            <w:tcW w:w="1243" w:type="dxa"/>
            <w:vAlign w:val="center"/>
          </w:tcPr>
          <w:p w:rsidR="00E35C70" w:rsidRDefault="000421A8">
            <w:pPr>
              <w:jc w:val="center"/>
            </w:pPr>
            <w:r>
              <w:rPr>
                <w:color w:val="000000"/>
                <w:sz w:val="18"/>
                <w:szCs w:val="18"/>
              </w:rPr>
              <w:t>10</w:t>
            </w:r>
          </w:p>
        </w:tc>
        <w:tc>
          <w:tcPr>
            <w:tcW w:w="971" w:type="dxa"/>
            <w:vAlign w:val="center"/>
          </w:tcPr>
          <w:p w:rsidR="00E35C70" w:rsidRDefault="000421A8">
            <w:pPr>
              <w:jc w:val="center"/>
            </w:pPr>
            <w:r>
              <w:rPr>
                <w:color w:val="000000"/>
                <w:sz w:val="18"/>
                <w:szCs w:val="18"/>
              </w:rPr>
              <w:t>YY INC-ADR</w:t>
            </w:r>
          </w:p>
        </w:tc>
        <w:tc>
          <w:tcPr>
            <w:tcW w:w="993" w:type="dxa"/>
            <w:vAlign w:val="center"/>
          </w:tcPr>
          <w:p w:rsidR="00E35C70" w:rsidRDefault="000421A8">
            <w:pPr>
              <w:jc w:val="center"/>
            </w:pPr>
            <w:r>
              <w:rPr>
                <w:color w:val="000000"/>
                <w:sz w:val="18"/>
                <w:szCs w:val="18"/>
              </w:rPr>
              <w:t>欢聚时代</w:t>
            </w:r>
          </w:p>
        </w:tc>
        <w:tc>
          <w:tcPr>
            <w:tcW w:w="725" w:type="dxa"/>
            <w:vAlign w:val="center"/>
          </w:tcPr>
          <w:p w:rsidR="00E35C70" w:rsidRDefault="000421A8">
            <w:pPr>
              <w:jc w:val="center"/>
            </w:pPr>
            <w:r>
              <w:rPr>
                <w:color w:val="000000"/>
                <w:sz w:val="18"/>
                <w:szCs w:val="18"/>
              </w:rPr>
              <w:t>YY US</w:t>
            </w:r>
          </w:p>
        </w:tc>
        <w:tc>
          <w:tcPr>
            <w:tcW w:w="747" w:type="dxa"/>
            <w:vAlign w:val="center"/>
          </w:tcPr>
          <w:p w:rsidR="00E35C70" w:rsidRDefault="000421A8">
            <w:pPr>
              <w:jc w:val="center"/>
            </w:pPr>
            <w:r>
              <w:rPr>
                <w:color w:val="000000"/>
                <w:sz w:val="18"/>
                <w:szCs w:val="18"/>
              </w:rPr>
              <w:t>美国证券交易所</w:t>
            </w:r>
          </w:p>
        </w:tc>
        <w:tc>
          <w:tcPr>
            <w:tcW w:w="975" w:type="dxa"/>
            <w:vAlign w:val="center"/>
          </w:tcPr>
          <w:p w:rsidR="00E35C70" w:rsidRDefault="000421A8">
            <w:pPr>
              <w:jc w:val="center"/>
            </w:pPr>
            <w:r>
              <w:rPr>
                <w:color w:val="000000"/>
                <w:sz w:val="18"/>
                <w:szCs w:val="18"/>
              </w:rPr>
              <w:t>美国</w:t>
            </w:r>
          </w:p>
        </w:tc>
        <w:tc>
          <w:tcPr>
            <w:tcW w:w="986" w:type="dxa"/>
            <w:vAlign w:val="center"/>
          </w:tcPr>
          <w:p w:rsidR="00E35C70" w:rsidRDefault="000421A8">
            <w:pPr>
              <w:jc w:val="right"/>
            </w:pPr>
            <w:r>
              <w:rPr>
                <w:color w:val="000000"/>
                <w:sz w:val="18"/>
                <w:szCs w:val="18"/>
              </w:rPr>
              <w:t>5,000</w:t>
            </w:r>
          </w:p>
        </w:tc>
        <w:tc>
          <w:tcPr>
            <w:tcW w:w="1164" w:type="dxa"/>
            <w:vAlign w:val="center"/>
          </w:tcPr>
          <w:p w:rsidR="00E35C70" w:rsidRDefault="000421A8">
            <w:pPr>
              <w:jc w:val="right"/>
            </w:pPr>
            <w:r>
              <w:rPr>
                <w:color w:val="000000"/>
                <w:sz w:val="18"/>
                <w:szCs w:val="18"/>
              </w:rPr>
              <w:t>2,348,871.78</w:t>
            </w:r>
          </w:p>
        </w:tc>
        <w:tc>
          <w:tcPr>
            <w:tcW w:w="1175" w:type="dxa"/>
            <w:vAlign w:val="center"/>
          </w:tcPr>
          <w:p w:rsidR="00E35C70" w:rsidRDefault="000421A8">
            <w:pPr>
              <w:jc w:val="right"/>
            </w:pPr>
            <w:r>
              <w:rPr>
                <w:color w:val="000000"/>
                <w:sz w:val="18"/>
                <w:szCs w:val="18"/>
              </w:rPr>
              <w:t>1.47</w:t>
            </w:r>
          </w:p>
        </w:tc>
      </w:tr>
    </w:tbl>
    <w:p w:rsidR="001301B6" w:rsidRDefault="00EC7C78" w:rsidP="001301B6">
      <w:pPr>
        <w:spacing w:line="288" w:lineRule="auto"/>
        <w:rPr>
          <w:b/>
          <w:color w:val="000000"/>
          <w:highlight w:val="green"/>
        </w:rPr>
      </w:pPr>
      <w:r w:rsidRPr="00EC7C78">
        <w:rPr>
          <w:rFonts w:hint="eastAsia"/>
          <w:color w:val="000000"/>
          <w:sz w:val="24"/>
        </w:rPr>
        <w:t>注：前十名股票及存托凭证的排名是按照上市公司不同的上市交易所合并计算排列所得。</w:t>
      </w:r>
    </w:p>
    <w:p w:rsidR="00521EDE" w:rsidRPr="001301B6" w:rsidRDefault="00521EDE" w:rsidP="00707A5E">
      <w:pPr>
        <w:autoSpaceDE w:val="0"/>
        <w:autoSpaceDN w:val="0"/>
        <w:adjustRightInd w:val="0"/>
        <w:spacing w:before="29" w:line="288" w:lineRule="auto"/>
        <w:ind w:left="15"/>
        <w:jc w:val="left"/>
        <w:rPr>
          <w:color w:val="00000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707A5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707A5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707A5E">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707A5E">
      <w:pPr>
        <w:autoSpaceDE w:val="0"/>
        <w:autoSpaceDN w:val="0"/>
        <w:adjustRightInd w:val="0"/>
        <w:spacing w:before="29" w:line="288" w:lineRule="auto"/>
        <w:ind w:left="15"/>
        <w:jc w:val="left"/>
        <w:rPr>
          <w:b/>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707A5E">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5.9</w:t>
      </w:r>
      <w:r w:rsidR="000D4219" w:rsidRPr="008640AE">
        <w:rPr>
          <w:b/>
          <w:color w:val="000000"/>
          <w:kern w:val="0"/>
          <w:sz w:val="24"/>
        </w:rPr>
        <w:t xml:space="preserve"> </w:t>
      </w:r>
      <w:r w:rsidRPr="008640AE">
        <w:rPr>
          <w:b/>
          <w:color w:val="000000"/>
          <w:kern w:val="0"/>
          <w:sz w:val="24"/>
        </w:rPr>
        <w:t>报告期末按公允价值占基金资产净值比例大小排序的前十名基金投资明细</w:t>
      </w:r>
    </w:p>
    <w:p w:rsidR="00521EDE" w:rsidRPr="008640AE" w:rsidRDefault="00521EDE" w:rsidP="00707A5E">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5.10 </w:t>
      </w:r>
      <w:r w:rsidRPr="008640AE">
        <w:rPr>
          <w:b/>
          <w:color w:val="000000"/>
          <w:kern w:val="0"/>
          <w:sz w:val="24"/>
        </w:rPr>
        <w:t>投资组合报告附注</w:t>
      </w:r>
    </w:p>
    <w:p w:rsidR="0076518F" w:rsidRPr="008640AE" w:rsidRDefault="004966FE" w:rsidP="00707A5E">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707A5E">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707A5E">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707A5E">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707A5E">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707A5E">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707A5E">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707A5E">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707A5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707A5E">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707A5E">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707A5E">
            <w:pPr>
              <w:autoSpaceDE w:val="0"/>
              <w:autoSpaceDN w:val="0"/>
              <w:adjustRightInd w:val="0"/>
              <w:spacing w:before="29" w:line="288" w:lineRule="auto"/>
              <w:ind w:left="15"/>
              <w:jc w:val="right"/>
              <w:rPr>
                <w:color w:val="000000"/>
                <w:kern w:val="0"/>
                <w:sz w:val="24"/>
              </w:rPr>
            </w:pPr>
            <w:r w:rsidRPr="008640AE">
              <w:rPr>
                <w:color w:val="000000"/>
                <w:kern w:val="0"/>
                <w:sz w:val="24"/>
              </w:rPr>
              <w:t>357,471.46</w:t>
            </w:r>
          </w:p>
        </w:tc>
      </w:tr>
      <w:tr w:rsidR="002C2678" w:rsidRPr="008640AE" w:rsidTr="00B64F6B">
        <w:trPr>
          <w:jc w:val="center"/>
        </w:trPr>
        <w:tc>
          <w:tcPr>
            <w:tcW w:w="802" w:type="dxa"/>
            <w:vAlign w:val="center"/>
          </w:tcPr>
          <w:p w:rsidR="002C2678" w:rsidRPr="008640AE" w:rsidRDefault="002C2678" w:rsidP="00707A5E">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707A5E">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707A5E">
            <w:pPr>
              <w:autoSpaceDE w:val="0"/>
              <w:autoSpaceDN w:val="0"/>
              <w:adjustRightInd w:val="0"/>
              <w:spacing w:before="29" w:line="288" w:lineRule="auto"/>
              <w:ind w:left="15"/>
              <w:jc w:val="right"/>
              <w:rPr>
                <w:color w:val="000000"/>
                <w:kern w:val="0"/>
                <w:sz w:val="24"/>
              </w:rPr>
            </w:pPr>
            <w:r w:rsidRPr="008640AE">
              <w:rPr>
                <w:color w:val="000000"/>
                <w:kern w:val="0"/>
                <w:sz w:val="24"/>
              </w:rPr>
              <w:t>206,047.03</w:t>
            </w:r>
          </w:p>
        </w:tc>
      </w:tr>
      <w:tr w:rsidR="002C2678" w:rsidRPr="008640AE" w:rsidTr="00B64F6B">
        <w:trPr>
          <w:jc w:val="center"/>
        </w:trPr>
        <w:tc>
          <w:tcPr>
            <w:tcW w:w="802" w:type="dxa"/>
            <w:vAlign w:val="center"/>
          </w:tcPr>
          <w:p w:rsidR="002C2678" w:rsidRPr="008640AE" w:rsidRDefault="002C2678" w:rsidP="00707A5E">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707A5E">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707A5E">
            <w:pPr>
              <w:autoSpaceDE w:val="0"/>
              <w:autoSpaceDN w:val="0"/>
              <w:adjustRightInd w:val="0"/>
              <w:spacing w:before="29" w:line="288" w:lineRule="auto"/>
              <w:ind w:left="15"/>
              <w:jc w:val="right"/>
              <w:rPr>
                <w:color w:val="000000"/>
                <w:kern w:val="0"/>
                <w:sz w:val="24"/>
              </w:rPr>
            </w:pPr>
            <w:r w:rsidRPr="008640AE">
              <w:rPr>
                <w:color w:val="000000"/>
                <w:kern w:val="0"/>
                <w:sz w:val="24"/>
              </w:rPr>
              <w:t>343.13</w:t>
            </w:r>
          </w:p>
        </w:tc>
      </w:tr>
      <w:tr w:rsidR="002C2678" w:rsidRPr="008640AE" w:rsidTr="00B64F6B">
        <w:trPr>
          <w:jc w:val="center"/>
        </w:trPr>
        <w:tc>
          <w:tcPr>
            <w:tcW w:w="802" w:type="dxa"/>
            <w:vAlign w:val="center"/>
          </w:tcPr>
          <w:p w:rsidR="002C2678" w:rsidRPr="008640AE" w:rsidRDefault="002C2678" w:rsidP="00707A5E">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707A5E">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707A5E">
            <w:pPr>
              <w:autoSpaceDE w:val="0"/>
              <w:autoSpaceDN w:val="0"/>
              <w:adjustRightInd w:val="0"/>
              <w:spacing w:before="29" w:line="288" w:lineRule="auto"/>
              <w:ind w:left="15"/>
              <w:jc w:val="right"/>
              <w:rPr>
                <w:color w:val="000000"/>
                <w:kern w:val="0"/>
                <w:sz w:val="24"/>
              </w:rPr>
            </w:pPr>
            <w:r w:rsidRPr="008640AE">
              <w:rPr>
                <w:color w:val="000000"/>
                <w:kern w:val="0"/>
                <w:sz w:val="24"/>
              </w:rPr>
              <w:t>25,680.77</w:t>
            </w:r>
          </w:p>
        </w:tc>
      </w:tr>
      <w:tr w:rsidR="002C2678" w:rsidRPr="008640AE" w:rsidTr="00B64F6B">
        <w:trPr>
          <w:jc w:val="center"/>
        </w:trPr>
        <w:tc>
          <w:tcPr>
            <w:tcW w:w="802" w:type="dxa"/>
            <w:vAlign w:val="center"/>
          </w:tcPr>
          <w:p w:rsidR="002C2678" w:rsidRPr="008640AE" w:rsidRDefault="002C2678" w:rsidP="00707A5E">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707A5E">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707A5E">
            <w:pPr>
              <w:autoSpaceDE w:val="0"/>
              <w:autoSpaceDN w:val="0"/>
              <w:adjustRightInd w:val="0"/>
              <w:spacing w:before="29" w:line="288" w:lineRule="auto"/>
              <w:ind w:left="15"/>
              <w:jc w:val="right"/>
              <w:rPr>
                <w:color w:val="000000"/>
                <w:kern w:val="0"/>
                <w:sz w:val="24"/>
              </w:rPr>
            </w:pPr>
            <w:r w:rsidRPr="008640AE">
              <w:rPr>
                <w:color w:val="000000"/>
                <w:kern w:val="0"/>
                <w:sz w:val="24"/>
              </w:rPr>
              <w:t>215,477.84</w:t>
            </w:r>
          </w:p>
        </w:tc>
      </w:tr>
      <w:tr w:rsidR="00F951CF" w:rsidRPr="008640AE" w:rsidTr="00B64F6B">
        <w:trPr>
          <w:jc w:val="center"/>
        </w:trPr>
        <w:tc>
          <w:tcPr>
            <w:tcW w:w="802" w:type="dxa"/>
            <w:vAlign w:val="center"/>
          </w:tcPr>
          <w:p w:rsidR="00F951CF" w:rsidRPr="008640AE" w:rsidRDefault="00F951CF" w:rsidP="00707A5E">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707A5E">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707A5E">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707A5E">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707A5E">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707A5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707A5E">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707A5E">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707A5E">
            <w:pPr>
              <w:autoSpaceDE w:val="0"/>
              <w:autoSpaceDN w:val="0"/>
              <w:adjustRightInd w:val="0"/>
              <w:spacing w:before="29" w:line="288" w:lineRule="auto"/>
              <w:ind w:left="15"/>
              <w:jc w:val="right"/>
              <w:rPr>
                <w:color w:val="000000"/>
                <w:kern w:val="0"/>
                <w:sz w:val="24"/>
              </w:rPr>
            </w:pPr>
            <w:r w:rsidRPr="008640AE">
              <w:rPr>
                <w:color w:val="000000"/>
                <w:kern w:val="0"/>
                <w:sz w:val="24"/>
              </w:rPr>
              <w:t>805,020.23</w:t>
            </w:r>
          </w:p>
        </w:tc>
      </w:tr>
    </w:tbl>
    <w:p w:rsidR="00A22D4B" w:rsidRPr="008640AE" w:rsidRDefault="00A22D4B" w:rsidP="00707A5E">
      <w:pPr>
        <w:autoSpaceDE w:val="0"/>
        <w:autoSpaceDN w:val="0"/>
        <w:adjustRightInd w:val="0"/>
        <w:spacing w:before="29" w:line="288" w:lineRule="auto"/>
        <w:jc w:val="left"/>
        <w:rPr>
          <w:b/>
          <w:color w:val="000000"/>
          <w:kern w:val="0"/>
          <w:sz w:val="24"/>
        </w:rPr>
      </w:pPr>
    </w:p>
    <w:p w:rsidR="0076518F" w:rsidRPr="008640AE" w:rsidRDefault="0076518F" w:rsidP="00707A5E">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707A5E">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707A5E">
      <w:pPr>
        <w:autoSpaceDE w:val="0"/>
        <w:autoSpaceDN w:val="0"/>
        <w:adjustRightInd w:val="0"/>
        <w:spacing w:before="29" w:line="288" w:lineRule="auto"/>
        <w:jc w:val="left"/>
        <w:rPr>
          <w:color w:val="000000"/>
          <w:sz w:val="24"/>
        </w:rPr>
      </w:pPr>
    </w:p>
    <w:p w:rsidR="0076518F" w:rsidRPr="008640AE" w:rsidRDefault="0076518F" w:rsidP="00707A5E">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707A5E">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707A5E">
      <w:pPr>
        <w:autoSpaceDE w:val="0"/>
        <w:autoSpaceDN w:val="0"/>
        <w:adjustRightInd w:val="0"/>
        <w:spacing w:before="29" w:line="288" w:lineRule="auto"/>
        <w:jc w:val="left"/>
        <w:rPr>
          <w:color w:val="000000"/>
          <w:sz w:val="24"/>
        </w:rPr>
      </w:pPr>
    </w:p>
    <w:p w:rsidR="0076518F" w:rsidRPr="008640AE" w:rsidRDefault="0076518F" w:rsidP="00707A5E">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707A5E">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707A5E">
      <w:pPr>
        <w:spacing w:before="29" w:line="288" w:lineRule="auto"/>
        <w:rPr>
          <w:color w:val="000000"/>
          <w:sz w:val="24"/>
        </w:rPr>
      </w:pPr>
    </w:p>
    <w:p w:rsidR="0076518F" w:rsidRPr="008640AE" w:rsidRDefault="0076518F" w:rsidP="005839D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707A5E">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707A5E">
            <w:pPr>
              <w:autoSpaceDE w:val="0"/>
              <w:autoSpaceDN w:val="0"/>
              <w:adjustRightInd w:val="0"/>
              <w:spacing w:before="29" w:line="288" w:lineRule="auto"/>
              <w:ind w:left="17"/>
              <w:jc w:val="left"/>
              <w:rPr>
                <w:color w:val="000000"/>
                <w:kern w:val="0"/>
                <w:sz w:val="24"/>
              </w:rPr>
            </w:pPr>
            <w:r w:rsidRPr="008640AE">
              <w:rPr>
                <w:color w:val="000000"/>
                <w:kern w:val="0"/>
                <w:sz w:val="24"/>
              </w:rPr>
              <w:t>本</w:t>
            </w:r>
            <w:r w:rsidR="008975BC"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707A5E">
            <w:pPr>
              <w:autoSpaceDE w:val="0"/>
              <w:autoSpaceDN w:val="0"/>
              <w:adjustRightInd w:val="0"/>
              <w:spacing w:before="29" w:line="288" w:lineRule="auto"/>
              <w:ind w:left="17"/>
              <w:jc w:val="right"/>
              <w:rPr>
                <w:color w:val="000000"/>
                <w:sz w:val="24"/>
              </w:rPr>
            </w:pPr>
            <w:r w:rsidRPr="008640AE">
              <w:rPr>
                <w:color w:val="000000"/>
                <w:sz w:val="24"/>
              </w:rPr>
              <w:t>103,620,567.46</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707A5E">
            <w:pPr>
              <w:autoSpaceDE w:val="0"/>
              <w:autoSpaceDN w:val="0"/>
              <w:adjustRightInd w:val="0"/>
              <w:spacing w:before="29" w:line="288" w:lineRule="auto"/>
              <w:ind w:left="17"/>
              <w:jc w:val="left"/>
              <w:rPr>
                <w:color w:val="000000"/>
                <w:kern w:val="0"/>
                <w:sz w:val="24"/>
              </w:rPr>
            </w:pPr>
            <w:r w:rsidRPr="008640AE">
              <w:rPr>
                <w:color w:val="000000"/>
                <w:kern w:val="0"/>
                <w:sz w:val="24"/>
              </w:rPr>
              <w:t>本报告期基金总申购份额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707A5E">
            <w:pPr>
              <w:autoSpaceDE w:val="0"/>
              <w:autoSpaceDN w:val="0"/>
              <w:adjustRightInd w:val="0"/>
              <w:spacing w:before="29" w:line="288" w:lineRule="auto"/>
              <w:ind w:left="17"/>
              <w:jc w:val="right"/>
              <w:rPr>
                <w:color w:val="000000"/>
                <w:sz w:val="24"/>
              </w:rPr>
            </w:pPr>
            <w:r w:rsidRPr="008640AE">
              <w:rPr>
                <w:color w:val="000000"/>
                <w:sz w:val="24"/>
              </w:rPr>
              <w:t>7,267,391.34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707A5E">
            <w:pPr>
              <w:autoSpaceDE w:val="0"/>
              <w:autoSpaceDN w:val="0"/>
              <w:adjustRightInd w:val="0"/>
              <w:spacing w:before="29" w:line="288" w:lineRule="auto"/>
              <w:ind w:left="17"/>
              <w:jc w:val="left"/>
              <w:rPr>
                <w:color w:val="000000"/>
                <w:kern w:val="0"/>
                <w:sz w:val="24"/>
              </w:rPr>
            </w:pPr>
            <w:r w:rsidRPr="008640AE">
              <w:rPr>
                <w:color w:val="000000"/>
                <w:kern w:val="0"/>
                <w:sz w:val="24"/>
              </w:rPr>
              <w:t>减：本报告期基金总赎回份额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707A5E">
            <w:pPr>
              <w:autoSpaceDE w:val="0"/>
              <w:autoSpaceDN w:val="0"/>
              <w:adjustRightInd w:val="0"/>
              <w:spacing w:before="29" w:line="288" w:lineRule="auto"/>
              <w:ind w:left="17"/>
              <w:jc w:val="right"/>
              <w:rPr>
                <w:color w:val="000000"/>
                <w:sz w:val="24"/>
              </w:rPr>
            </w:pPr>
            <w:r w:rsidRPr="008640AE">
              <w:rPr>
                <w:color w:val="000000"/>
                <w:sz w:val="24"/>
              </w:rPr>
              <w:t>9,516,871.62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707A5E">
            <w:pPr>
              <w:autoSpaceDE w:val="0"/>
              <w:autoSpaceDN w:val="0"/>
              <w:adjustRightInd w:val="0"/>
              <w:spacing w:before="29" w:line="288" w:lineRule="auto"/>
              <w:ind w:left="17"/>
              <w:jc w:val="left"/>
              <w:rPr>
                <w:color w:val="000000"/>
                <w:kern w:val="0"/>
                <w:sz w:val="24"/>
              </w:rPr>
            </w:pPr>
            <w:r w:rsidRPr="008640AE">
              <w:rPr>
                <w:color w:val="000000"/>
                <w:kern w:val="0"/>
                <w:sz w:val="24"/>
              </w:rPr>
              <w:t>本报告期基金拆分变动份额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707A5E">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707A5E">
            <w:pPr>
              <w:autoSpaceDE w:val="0"/>
              <w:autoSpaceDN w:val="0"/>
              <w:adjustRightInd w:val="0"/>
              <w:spacing w:before="29" w:line="288" w:lineRule="auto"/>
              <w:ind w:left="17"/>
              <w:jc w:val="left"/>
              <w:rPr>
                <w:color w:val="000000"/>
                <w:kern w:val="0"/>
                <w:sz w:val="24"/>
              </w:rPr>
            </w:pPr>
            <w:r w:rsidRPr="008640AE">
              <w:rPr>
                <w:color w:val="000000"/>
                <w:kern w:val="0"/>
                <w:sz w:val="24"/>
              </w:rPr>
              <w:t>本报告期期末基金份额总额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707A5E">
            <w:pPr>
              <w:autoSpaceDE w:val="0"/>
              <w:autoSpaceDN w:val="0"/>
              <w:adjustRightInd w:val="0"/>
              <w:spacing w:before="29" w:line="288" w:lineRule="auto"/>
              <w:ind w:left="17"/>
              <w:jc w:val="right"/>
              <w:rPr>
                <w:color w:val="000000"/>
                <w:sz w:val="24"/>
              </w:rPr>
            </w:pPr>
            <w:r w:rsidRPr="008640AE">
              <w:rPr>
                <w:color w:val="000000"/>
                <w:sz w:val="24"/>
              </w:rPr>
              <w:t>101,371,087.18</w:t>
            </w:r>
          </w:p>
        </w:tc>
      </w:tr>
    </w:tbl>
    <w:p w:rsidR="00E35C70" w:rsidRDefault="000421A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707A5E">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707A5E">
      <w:pPr>
        <w:autoSpaceDE w:val="0"/>
        <w:autoSpaceDN w:val="0"/>
        <w:adjustRightInd w:val="0"/>
        <w:spacing w:before="29" w:line="288" w:lineRule="auto"/>
        <w:jc w:val="left"/>
        <w:rPr>
          <w:color w:val="000000"/>
          <w:sz w:val="24"/>
        </w:rPr>
      </w:pPr>
    </w:p>
    <w:p w:rsidR="005E64DA" w:rsidRPr="008640AE" w:rsidRDefault="005E64DA" w:rsidP="005839D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508"/>
        <w:gridCol w:w="1442"/>
        <w:gridCol w:w="1767"/>
        <w:gridCol w:w="1343"/>
      </w:tblGrid>
      <w:tr w:rsidR="005E64DA" w:rsidRPr="008640AE" w:rsidTr="000421A8">
        <w:trPr>
          <w:trHeight w:val="340"/>
          <w:jc w:val="center"/>
        </w:trPr>
        <w:tc>
          <w:tcPr>
            <w:tcW w:w="1032" w:type="dxa"/>
            <w:vAlign w:val="center"/>
          </w:tcPr>
          <w:p w:rsidR="005E64DA" w:rsidRPr="008640AE" w:rsidRDefault="005E64DA" w:rsidP="00707A5E">
            <w:pPr>
              <w:pStyle w:val="ad"/>
              <w:adjustRightInd w:val="0"/>
              <w:snapToGrid w:val="0"/>
              <w:spacing w:before="29" w:line="288" w:lineRule="auto"/>
              <w:jc w:val="center"/>
              <w:rPr>
                <w:color w:val="000000"/>
                <w:kern w:val="0"/>
              </w:rPr>
            </w:pPr>
            <w:r w:rsidRPr="008640AE">
              <w:rPr>
                <w:color w:val="000000"/>
                <w:kern w:val="0"/>
              </w:rPr>
              <w:t>序号</w:t>
            </w:r>
          </w:p>
        </w:tc>
        <w:tc>
          <w:tcPr>
            <w:tcW w:w="1776" w:type="dxa"/>
            <w:vAlign w:val="center"/>
          </w:tcPr>
          <w:p w:rsidR="005E64DA" w:rsidRPr="008640AE" w:rsidRDefault="005E64DA" w:rsidP="00707A5E">
            <w:pPr>
              <w:adjustRightInd w:val="0"/>
              <w:snapToGrid w:val="0"/>
              <w:spacing w:before="29" w:line="288" w:lineRule="auto"/>
              <w:jc w:val="center"/>
              <w:rPr>
                <w:color w:val="000000"/>
                <w:kern w:val="0"/>
                <w:sz w:val="24"/>
              </w:rPr>
            </w:pPr>
            <w:r w:rsidRPr="008640AE">
              <w:rPr>
                <w:color w:val="000000"/>
                <w:kern w:val="0"/>
                <w:sz w:val="24"/>
              </w:rPr>
              <w:t>交易方式</w:t>
            </w:r>
          </w:p>
        </w:tc>
        <w:tc>
          <w:tcPr>
            <w:tcW w:w="1508" w:type="dxa"/>
            <w:vAlign w:val="center"/>
          </w:tcPr>
          <w:p w:rsidR="005E64DA" w:rsidRPr="008640AE" w:rsidRDefault="005E64DA" w:rsidP="00707A5E">
            <w:pPr>
              <w:adjustRightInd w:val="0"/>
              <w:snapToGrid w:val="0"/>
              <w:spacing w:before="29" w:line="288" w:lineRule="auto"/>
              <w:rPr>
                <w:color w:val="000000"/>
                <w:kern w:val="0"/>
                <w:sz w:val="24"/>
              </w:rPr>
            </w:pPr>
            <w:r w:rsidRPr="008640AE">
              <w:rPr>
                <w:color w:val="000000"/>
                <w:kern w:val="0"/>
                <w:sz w:val="24"/>
              </w:rPr>
              <w:t>交易日期</w:t>
            </w:r>
          </w:p>
        </w:tc>
        <w:tc>
          <w:tcPr>
            <w:tcW w:w="1442" w:type="dxa"/>
            <w:vAlign w:val="center"/>
          </w:tcPr>
          <w:p w:rsidR="005E64DA" w:rsidRPr="008640AE" w:rsidRDefault="005E64DA" w:rsidP="00707A5E">
            <w:pPr>
              <w:adjustRightInd w:val="0"/>
              <w:snapToGrid w:val="0"/>
              <w:spacing w:before="29" w:line="288" w:lineRule="auto"/>
              <w:jc w:val="center"/>
              <w:rPr>
                <w:color w:val="000000"/>
                <w:kern w:val="0"/>
                <w:sz w:val="24"/>
              </w:rPr>
            </w:pPr>
            <w:r w:rsidRPr="008640AE">
              <w:rPr>
                <w:color w:val="000000"/>
                <w:kern w:val="0"/>
                <w:sz w:val="24"/>
              </w:rPr>
              <w:t>交易份额（份）</w:t>
            </w:r>
          </w:p>
        </w:tc>
        <w:tc>
          <w:tcPr>
            <w:tcW w:w="1767" w:type="dxa"/>
            <w:vAlign w:val="center"/>
          </w:tcPr>
          <w:p w:rsidR="005E64DA" w:rsidRPr="008640AE" w:rsidRDefault="005E64DA" w:rsidP="00707A5E">
            <w:pPr>
              <w:adjustRightInd w:val="0"/>
              <w:snapToGrid w:val="0"/>
              <w:spacing w:before="29" w:line="288" w:lineRule="auto"/>
              <w:jc w:val="center"/>
              <w:rPr>
                <w:color w:val="000000"/>
                <w:kern w:val="0"/>
                <w:sz w:val="24"/>
              </w:rPr>
            </w:pPr>
            <w:r w:rsidRPr="008640AE">
              <w:rPr>
                <w:color w:val="000000"/>
                <w:kern w:val="0"/>
                <w:sz w:val="24"/>
              </w:rPr>
              <w:t>交易金额（元）</w:t>
            </w:r>
          </w:p>
        </w:tc>
        <w:tc>
          <w:tcPr>
            <w:tcW w:w="1343" w:type="dxa"/>
            <w:vAlign w:val="center"/>
          </w:tcPr>
          <w:p w:rsidR="005E64DA" w:rsidRPr="008640AE" w:rsidRDefault="005E64DA" w:rsidP="00707A5E">
            <w:pPr>
              <w:adjustRightInd w:val="0"/>
              <w:snapToGrid w:val="0"/>
              <w:spacing w:before="29" w:line="288" w:lineRule="auto"/>
              <w:jc w:val="center"/>
              <w:rPr>
                <w:color w:val="000000"/>
                <w:kern w:val="0"/>
                <w:sz w:val="24"/>
              </w:rPr>
            </w:pPr>
            <w:r w:rsidRPr="008640AE">
              <w:rPr>
                <w:color w:val="000000"/>
                <w:kern w:val="0"/>
                <w:sz w:val="24"/>
              </w:rPr>
              <w:t>适用费率</w:t>
            </w:r>
          </w:p>
        </w:tc>
      </w:tr>
      <w:tr w:rsidR="00E35C70" w:rsidTr="000421A8">
        <w:trPr>
          <w:jc w:val="center"/>
        </w:trPr>
        <w:tc>
          <w:tcPr>
            <w:tcW w:w="1032" w:type="dxa"/>
            <w:vAlign w:val="center"/>
          </w:tcPr>
          <w:p w:rsidR="00E35C70" w:rsidRDefault="000421A8">
            <w:pPr>
              <w:jc w:val="center"/>
            </w:pPr>
            <w:r>
              <w:rPr>
                <w:color w:val="000000"/>
                <w:sz w:val="24"/>
              </w:rPr>
              <w:t>1</w:t>
            </w:r>
          </w:p>
        </w:tc>
        <w:tc>
          <w:tcPr>
            <w:tcW w:w="1776" w:type="dxa"/>
            <w:vAlign w:val="center"/>
          </w:tcPr>
          <w:p w:rsidR="00E35C70" w:rsidRDefault="000421A8">
            <w:pPr>
              <w:jc w:val="center"/>
            </w:pPr>
            <w:r>
              <w:rPr>
                <w:color w:val="000000"/>
                <w:sz w:val="24"/>
              </w:rPr>
              <w:t>红利再投</w:t>
            </w:r>
          </w:p>
        </w:tc>
        <w:tc>
          <w:tcPr>
            <w:tcW w:w="1508" w:type="dxa"/>
            <w:vAlign w:val="center"/>
          </w:tcPr>
          <w:p w:rsidR="00E35C70" w:rsidRDefault="000421A8">
            <w:pPr>
              <w:jc w:val="center"/>
            </w:pPr>
            <w:r>
              <w:rPr>
                <w:color w:val="000000"/>
                <w:sz w:val="24"/>
              </w:rPr>
              <w:t>2014-01-10</w:t>
            </w:r>
          </w:p>
        </w:tc>
        <w:tc>
          <w:tcPr>
            <w:tcW w:w="1442" w:type="dxa"/>
            <w:vAlign w:val="center"/>
          </w:tcPr>
          <w:p w:rsidR="00E35C70" w:rsidRDefault="000421A8">
            <w:pPr>
              <w:jc w:val="right"/>
            </w:pPr>
            <w:r>
              <w:rPr>
                <w:color w:val="000000"/>
                <w:sz w:val="24"/>
              </w:rPr>
              <w:t>558,904.79</w:t>
            </w:r>
          </w:p>
        </w:tc>
        <w:tc>
          <w:tcPr>
            <w:tcW w:w="1767" w:type="dxa"/>
            <w:vAlign w:val="center"/>
          </w:tcPr>
          <w:p w:rsidR="00E35C70" w:rsidRDefault="000421A8">
            <w:pPr>
              <w:jc w:val="right"/>
            </w:pPr>
            <w:r>
              <w:rPr>
                <w:color w:val="000000"/>
                <w:sz w:val="24"/>
              </w:rPr>
              <w:t>874,685.99</w:t>
            </w:r>
          </w:p>
        </w:tc>
        <w:tc>
          <w:tcPr>
            <w:tcW w:w="1343" w:type="dxa"/>
            <w:vAlign w:val="center"/>
          </w:tcPr>
          <w:p w:rsidR="00E35C70" w:rsidRDefault="000421A8">
            <w:pPr>
              <w:jc w:val="center"/>
            </w:pPr>
            <w:r>
              <w:rPr>
                <w:color w:val="000000"/>
                <w:sz w:val="24"/>
              </w:rPr>
              <w:t>0.00%</w:t>
            </w:r>
          </w:p>
        </w:tc>
      </w:tr>
      <w:tr w:rsidR="005E64DA" w:rsidRPr="008640AE" w:rsidTr="000421A8">
        <w:trPr>
          <w:trHeight w:val="340"/>
          <w:jc w:val="center"/>
        </w:trPr>
        <w:tc>
          <w:tcPr>
            <w:tcW w:w="1032" w:type="dxa"/>
            <w:vAlign w:val="center"/>
          </w:tcPr>
          <w:p w:rsidR="005E64DA" w:rsidRPr="008640AE" w:rsidRDefault="005E64DA" w:rsidP="00707A5E">
            <w:pPr>
              <w:pStyle w:val="ad"/>
              <w:adjustRightInd w:val="0"/>
              <w:snapToGrid w:val="0"/>
              <w:spacing w:before="29" w:line="288" w:lineRule="auto"/>
              <w:jc w:val="center"/>
              <w:rPr>
                <w:color w:val="000000"/>
                <w:kern w:val="0"/>
              </w:rPr>
            </w:pPr>
            <w:r w:rsidRPr="008640AE">
              <w:rPr>
                <w:color w:val="000000"/>
                <w:kern w:val="0"/>
              </w:rPr>
              <w:t>合计</w:t>
            </w:r>
          </w:p>
        </w:tc>
        <w:tc>
          <w:tcPr>
            <w:tcW w:w="1776" w:type="dxa"/>
            <w:vAlign w:val="center"/>
          </w:tcPr>
          <w:p w:rsidR="005E64DA" w:rsidRPr="008640AE" w:rsidRDefault="005E64DA" w:rsidP="00707A5E">
            <w:pPr>
              <w:adjustRightInd w:val="0"/>
              <w:snapToGrid w:val="0"/>
              <w:spacing w:before="29" w:line="288" w:lineRule="auto"/>
              <w:jc w:val="right"/>
              <w:rPr>
                <w:color w:val="0000FF"/>
                <w:kern w:val="0"/>
                <w:sz w:val="18"/>
              </w:rPr>
            </w:pPr>
          </w:p>
        </w:tc>
        <w:tc>
          <w:tcPr>
            <w:tcW w:w="1508" w:type="dxa"/>
            <w:vAlign w:val="center"/>
          </w:tcPr>
          <w:p w:rsidR="005E64DA" w:rsidRPr="008640AE" w:rsidRDefault="005E64DA" w:rsidP="00707A5E">
            <w:pPr>
              <w:adjustRightInd w:val="0"/>
              <w:snapToGrid w:val="0"/>
              <w:spacing w:before="29" w:line="288" w:lineRule="auto"/>
              <w:jc w:val="right"/>
              <w:rPr>
                <w:color w:val="0000FF"/>
                <w:kern w:val="0"/>
                <w:sz w:val="18"/>
              </w:rPr>
            </w:pPr>
          </w:p>
        </w:tc>
        <w:tc>
          <w:tcPr>
            <w:tcW w:w="1442" w:type="dxa"/>
            <w:vAlign w:val="center"/>
          </w:tcPr>
          <w:p w:rsidR="005E64DA" w:rsidRPr="008640AE" w:rsidRDefault="005E64DA" w:rsidP="00707A5E">
            <w:pPr>
              <w:adjustRightInd w:val="0"/>
              <w:snapToGrid w:val="0"/>
              <w:spacing w:before="29" w:line="288" w:lineRule="auto"/>
              <w:jc w:val="right"/>
              <w:rPr>
                <w:color w:val="000000"/>
                <w:sz w:val="24"/>
              </w:rPr>
            </w:pPr>
            <w:r w:rsidRPr="008640AE">
              <w:rPr>
                <w:color w:val="000000"/>
                <w:sz w:val="24"/>
              </w:rPr>
              <w:t>558,904.79</w:t>
            </w:r>
          </w:p>
        </w:tc>
        <w:tc>
          <w:tcPr>
            <w:tcW w:w="1767" w:type="dxa"/>
            <w:vAlign w:val="center"/>
          </w:tcPr>
          <w:p w:rsidR="005E64DA" w:rsidRPr="008640AE" w:rsidRDefault="005E64DA" w:rsidP="00707A5E">
            <w:pPr>
              <w:adjustRightInd w:val="0"/>
              <w:snapToGrid w:val="0"/>
              <w:spacing w:before="29" w:line="288" w:lineRule="auto"/>
              <w:jc w:val="right"/>
              <w:rPr>
                <w:color w:val="000000"/>
                <w:sz w:val="24"/>
              </w:rPr>
            </w:pPr>
            <w:r w:rsidRPr="008640AE">
              <w:rPr>
                <w:color w:val="000000"/>
                <w:sz w:val="24"/>
              </w:rPr>
              <w:t>874,685.99</w:t>
            </w:r>
          </w:p>
        </w:tc>
        <w:tc>
          <w:tcPr>
            <w:tcW w:w="1343" w:type="dxa"/>
            <w:vAlign w:val="center"/>
          </w:tcPr>
          <w:p w:rsidR="005E64DA" w:rsidRPr="008640AE" w:rsidRDefault="005E64DA" w:rsidP="00707A5E">
            <w:pPr>
              <w:adjustRightInd w:val="0"/>
              <w:snapToGrid w:val="0"/>
              <w:spacing w:before="29" w:line="288" w:lineRule="auto"/>
              <w:jc w:val="right"/>
              <w:rPr>
                <w:color w:val="0000FF"/>
                <w:kern w:val="0"/>
                <w:sz w:val="18"/>
              </w:rPr>
            </w:pPr>
          </w:p>
        </w:tc>
      </w:tr>
    </w:tbl>
    <w:p w:rsidR="00200B62" w:rsidRDefault="00EC7C78" w:rsidP="00707A5E">
      <w:pPr>
        <w:autoSpaceDE w:val="0"/>
        <w:autoSpaceDN w:val="0"/>
        <w:adjustRightInd w:val="0"/>
        <w:spacing w:before="29" w:line="288" w:lineRule="auto"/>
        <w:jc w:val="left"/>
        <w:rPr>
          <w:color w:val="000000"/>
          <w:sz w:val="24"/>
        </w:rPr>
      </w:pPr>
      <w:r w:rsidRPr="00EC7C78">
        <w:rPr>
          <w:rFonts w:hint="eastAsia"/>
          <w:color w:val="000000"/>
          <w:sz w:val="24"/>
        </w:rPr>
        <w:t>注：本基金管理人本报告期末持有本基金份额</w:t>
      </w:r>
      <w:r w:rsidRPr="00EC7C78">
        <w:rPr>
          <w:rFonts w:hint="eastAsia"/>
          <w:color w:val="000000"/>
          <w:sz w:val="24"/>
        </w:rPr>
        <w:t>22,986,750.67</w:t>
      </w:r>
      <w:r w:rsidRPr="00EC7C78">
        <w:rPr>
          <w:rFonts w:hint="eastAsia"/>
          <w:color w:val="000000"/>
          <w:sz w:val="24"/>
        </w:rPr>
        <w:t>份，占本基金期末总份额</w:t>
      </w:r>
      <w:r w:rsidRPr="00EC7C78">
        <w:rPr>
          <w:rFonts w:hint="eastAsia"/>
          <w:color w:val="000000"/>
          <w:sz w:val="24"/>
        </w:rPr>
        <w:t>22.68%</w:t>
      </w:r>
      <w:r w:rsidRPr="00EC7C78">
        <w:rPr>
          <w:rFonts w:hint="eastAsia"/>
          <w:color w:val="000000"/>
          <w:sz w:val="24"/>
        </w:rPr>
        <w:t>。</w:t>
      </w:r>
    </w:p>
    <w:p w:rsidR="00CA44A6" w:rsidRPr="008640AE" w:rsidRDefault="00CA44A6" w:rsidP="00707A5E">
      <w:pPr>
        <w:autoSpaceDE w:val="0"/>
        <w:autoSpaceDN w:val="0"/>
        <w:adjustRightInd w:val="0"/>
        <w:spacing w:before="29" w:line="288" w:lineRule="auto"/>
        <w:jc w:val="left"/>
        <w:rPr>
          <w:color w:val="000000"/>
          <w:sz w:val="24"/>
        </w:rPr>
      </w:pPr>
    </w:p>
    <w:p w:rsidR="00CA44A6" w:rsidRPr="00414345" w:rsidRDefault="00CA44A6" w:rsidP="005839D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F66A09" w:rsidRDefault="00BD6B28" w:rsidP="006915A4">
      <w:pPr>
        <w:autoSpaceDE w:val="0"/>
        <w:autoSpaceDN w:val="0"/>
        <w:adjustRightInd w:val="0"/>
        <w:spacing w:before="312" w:after="312" w:line="288" w:lineRule="auto"/>
        <w:ind w:firstLineChars="200" w:firstLine="480"/>
        <w:jc w:val="left"/>
        <w:rPr>
          <w:color w:val="000000"/>
          <w:sz w:val="24"/>
        </w:rPr>
      </w:pPr>
      <w:r w:rsidRPr="00BD6B28">
        <w:rPr>
          <w:rFonts w:hint="eastAsia"/>
          <w:color w:val="000000"/>
          <w:sz w:val="24"/>
        </w:rPr>
        <w:t>本基金托管人</w:t>
      </w:r>
      <w:r w:rsidRPr="00BD6B28">
        <w:rPr>
          <w:color w:val="000000"/>
          <w:sz w:val="24"/>
        </w:rPr>
        <w:t>2014</w:t>
      </w:r>
      <w:r w:rsidRPr="00BD6B28">
        <w:rPr>
          <w:rFonts w:hint="eastAsia"/>
          <w:color w:val="000000"/>
          <w:sz w:val="24"/>
        </w:rPr>
        <w:t>年</w:t>
      </w:r>
      <w:r w:rsidRPr="00BD6B28">
        <w:rPr>
          <w:color w:val="000000"/>
          <w:sz w:val="24"/>
        </w:rPr>
        <w:t>2</w:t>
      </w:r>
      <w:r w:rsidRPr="00BD6B28">
        <w:rPr>
          <w:rFonts w:hint="eastAsia"/>
          <w:color w:val="000000"/>
          <w:sz w:val="24"/>
        </w:rPr>
        <w:t>月</w:t>
      </w:r>
      <w:r w:rsidRPr="00BD6B28">
        <w:rPr>
          <w:color w:val="000000"/>
          <w:sz w:val="24"/>
        </w:rPr>
        <w:t>7</w:t>
      </w:r>
      <w:r w:rsidRPr="00BD6B28">
        <w:rPr>
          <w:rFonts w:hint="eastAsia"/>
          <w:color w:val="000000"/>
          <w:sz w:val="24"/>
        </w:rPr>
        <w:t>日发布任免通知，解聘尹东中国建设银行投资托管业务部总经理助理职务。</w:t>
      </w:r>
    </w:p>
    <w:p w:rsidR="0076518F" w:rsidRPr="008640AE" w:rsidRDefault="0076518F" w:rsidP="005839D9">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CA44A6">
        <w:rPr>
          <w:rFonts w:hint="eastAsia"/>
          <w:color w:val="000000"/>
          <w:kern w:val="0"/>
          <w:sz w:val="24"/>
          <w:szCs w:val="24"/>
        </w:rPr>
        <w:t>9</w:t>
      </w:r>
      <w:r w:rsidR="00CA44A6" w:rsidRPr="008640AE">
        <w:rPr>
          <w:color w:val="000000"/>
          <w:kern w:val="0"/>
          <w:sz w:val="24"/>
          <w:szCs w:val="24"/>
        </w:rPr>
        <w:t xml:space="preserve"> </w:t>
      </w:r>
      <w:r w:rsidRPr="008640AE">
        <w:rPr>
          <w:color w:val="000000"/>
          <w:kern w:val="0"/>
          <w:sz w:val="24"/>
          <w:szCs w:val="24"/>
        </w:rPr>
        <w:t>备查文件目录</w:t>
      </w:r>
    </w:p>
    <w:p w:rsidR="008975BC" w:rsidRPr="008640AE" w:rsidRDefault="00CA44A6" w:rsidP="00707A5E">
      <w:pPr>
        <w:autoSpaceDE w:val="0"/>
        <w:autoSpaceDN w:val="0"/>
        <w:adjustRightInd w:val="0"/>
        <w:spacing w:before="29" w:line="288" w:lineRule="auto"/>
        <w:jc w:val="left"/>
        <w:rPr>
          <w:b/>
          <w:bCs/>
          <w:color w:val="000000"/>
          <w:kern w:val="0"/>
          <w:sz w:val="24"/>
        </w:rPr>
      </w:pPr>
      <w:r>
        <w:rPr>
          <w:rFonts w:hint="eastAsia"/>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E35C70" w:rsidRDefault="000421A8">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E35C70" w:rsidRDefault="000421A8">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E35C70" w:rsidRDefault="000421A8">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E35C70" w:rsidRDefault="000421A8">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E35C70" w:rsidRDefault="000421A8">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E35C70" w:rsidRDefault="000421A8">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E35C70" w:rsidRDefault="000421A8">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707A5E">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707A5E">
      <w:pPr>
        <w:spacing w:before="29" w:line="288" w:lineRule="auto"/>
        <w:ind w:firstLineChars="200" w:firstLine="480"/>
        <w:rPr>
          <w:color w:val="000000"/>
          <w:sz w:val="24"/>
        </w:rPr>
      </w:pPr>
    </w:p>
    <w:p w:rsidR="008975BC" w:rsidRPr="008640AE" w:rsidRDefault="00CA44A6" w:rsidP="00707A5E">
      <w:pPr>
        <w:autoSpaceDE w:val="0"/>
        <w:autoSpaceDN w:val="0"/>
        <w:adjustRightInd w:val="0"/>
        <w:spacing w:before="29" w:line="288" w:lineRule="auto"/>
        <w:jc w:val="left"/>
        <w:rPr>
          <w:b/>
          <w:bCs/>
          <w:color w:val="000000"/>
          <w:kern w:val="0"/>
          <w:sz w:val="24"/>
        </w:rPr>
      </w:pPr>
      <w:r>
        <w:rPr>
          <w:rFonts w:hint="eastAsia"/>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707A5E">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707A5E">
      <w:pPr>
        <w:spacing w:before="29" w:line="288" w:lineRule="auto"/>
        <w:ind w:firstLineChars="200" w:firstLine="480"/>
        <w:rPr>
          <w:color w:val="000000"/>
          <w:sz w:val="24"/>
        </w:rPr>
      </w:pPr>
    </w:p>
    <w:p w:rsidR="008975BC" w:rsidRPr="008640AE" w:rsidRDefault="00CA44A6" w:rsidP="00707A5E">
      <w:pPr>
        <w:autoSpaceDE w:val="0"/>
        <w:autoSpaceDN w:val="0"/>
        <w:adjustRightInd w:val="0"/>
        <w:spacing w:before="29" w:line="288" w:lineRule="auto"/>
        <w:jc w:val="left"/>
        <w:rPr>
          <w:b/>
          <w:bCs/>
          <w:color w:val="000000"/>
          <w:kern w:val="0"/>
          <w:sz w:val="24"/>
        </w:rPr>
      </w:pPr>
      <w:r>
        <w:rPr>
          <w:rFonts w:hint="eastAsia"/>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E35C70" w:rsidRDefault="000421A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BD6B28" w:rsidRDefault="008975BC">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sectPr w:rsidR="00BD6B28"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A5B" w:rsidRDefault="002D6A5B">
      <w:r>
        <w:separator/>
      </w:r>
    </w:p>
  </w:endnote>
  <w:endnote w:type="continuationSeparator" w:id="0">
    <w:p w:rsidR="002D6A5B" w:rsidRDefault="002D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F66A09">
      <w:rPr>
        <w:kern w:val="0"/>
        <w:szCs w:val="21"/>
      </w:rPr>
      <w:fldChar w:fldCharType="begin"/>
    </w:r>
    <w:r>
      <w:rPr>
        <w:kern w:val="0"/>
        <w:szCs w:val="21"/>
      </w:rPr>
      <w:instrText xml:space="preserve"> PAGE </w:instrText>
    </w:r>
    <w:r w:rsidR="00F66A09">
      <w:rPr>
        <w:kern w:val="0"/>
        <w:szCs w:val="21"/>
      </w:rPr>
      <w:fldChar w:fldCharType="separate"/>
    </w:r>
    <w:r w:rsidR="009741FE">
      <w:rPr>
        <w:noProof/>
        <w:kern w:val="0"/>
        <w:szCs w:val="21"/>
      </w:rPr>
      <w:t>8</w:t>
    </w:r>
    <w:r w:rsidR="00F66A09">
      <w:rPr>
        <w:kern w:val="0"/>
        <w:szCs w:val="21"/>
      </w:rPr>
      <w:fldChar w:fldCharType="end"/>
    </w:r>
    <w:r>
      <w:rPr>
        <w:rFonts w:hint="eastAsia"/>
        <w:kern w:val="0"/>
        <w:szCs w:val="21"/>
      </w:rPr>
      <w:t>页共</w:t>
    </w:r>
    <w:r w:rsidR="00F66A09">
      <w:rPr>
        <w:kern w:val="0"/>
        <w:szCs w:val="21"/>
      </w:rPr>
      <w:fldChar w:fldCharType="begin"/>
    </w:r>
    <w:r>
      <w:rPr>
        <w:kern w:val="0"/>
        <w:szCs w:val="21"/>
      </w:rPr>
      <w:instrText xml:space="preserve"> NUMPAGES </w:instrText>
    </w:r>
    <w:r w:rsidR="00F66A09">
      <w:rPr>
        <w:kern w:val="0"/>
        <w:szCs w:val="21"/>
      </w:rPr>
      <w:fldChar w:fldCharType="separate"/>
    </w:r>
    <w:r w:rsidR="009741FE">
      <w:rPr>
        <w:noProof/>
        <w:kern w:val="0"/>
        <w:szCs w:val="21"/>
      </w:rPr>
      <w:t>12</w:t>
    </w:r>
    <w:r w:rsidR="00F66A09">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F66A09">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A5B" w:rsidRDefault="002D6A5B">
      <w:r>
        <w:separator/>
      </w:r>
    </w:p>
  </w:footnote>
  <w:footnote w:type="continuationSeparator" w:id="0">
    <w:p w:rsidR="002D6A5B" w:rsidRDefault="002D6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054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1A8"/>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1B6"/>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A21A9"/>
    <w:rsid w:val="001A3475"/>
    <w:rsid w:val="001A4A63"/>
    <w:rsid w:val="001A59D8"/>
    <w:rsid w:val="001A5FA6"/>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265"/>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64F9"/>
    <w:rsid w:val="00297B13"/>
    <w:rsid w:val="002A1F14"/>
    <w:rsid w:val="002A2678"/>
    <w:rsid w:val="002A2E01"/>
    <w:rsid w:val="002A398F"/>
    <w:rsid w:val="002A530F"/>
    <w:rsid w:val="002A5C6B"/>
    <w:rsid w:val="002A5D31"/>
    <w:rsid w:val="002A6CD3"/>
    <w:rsid w:val="002A714F"/>
    <w:rsid w:val="002B14C2"/>
    <w:rsid w:val="002B1851"/>
    <w:rsid w:val="002B27FF"/>
    <w:rsid w:val="002B4320"/>
    <w:rsid w:val="002B6793"/>
    <w:rsid w:val="002C042C"/>
    <w:rsid w:val="002C1726"/>
    <w:rsid w:val="002C21A6"/>
    <w:rsid w:val="002C2678"/>
    <w:rsid w:val="002C26D5"/>
    <w:rsid w:val="002C3CD4"/>
    <w:rsid w:val="002C5777"/>
    <w:rsid w:val="002D2BDD"/>
    <w:rsid w:val="002D31BB"/>
    <w:rsid w:val="002D32E3"/>
    <w:rsid w:val="002D6A5B"/>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54B2A"/>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BE6"/>
    <w:rsid w:val="0052009E"/>
    <w:rsid w:val="00520ED7"/>
    <w:rsid w:val="00521EDE"/>
    <w:rsid w:val="00525E59"/>
    <w:rsid w:val="005318CC"/>
    <w:rsid w:val="005346F1"/>
    <w:rsid w:val="005349B1"/>
    <w:rsid w:val="005374BC"/>
    <w:rsid w:val="0054090A"/>
    <w:rsid w:val="00543367"/>
    <w:rsid w:val="00543BFA"/>
    <w:rsid w:val="00547D9C"/>
    <w:rsid w:val="00547DA1"/>
    <w:rsid w:val="00551A1A"/>
    <w:rsid w:val="00552829"/>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39D9"/>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726C"/>
    <w:rsid w:val="006674BD"/>
    <w:rsid w:val="006676A0"/>
    <w:rsid w:val="00670857"/>
    <w:rsid w:val="00671124"/>
    <w:rsid w:val="006727B0"/>
    <w:rsid w:val="0067307E"/>
    <w:rsid w:val="006804FA"/>
    <w:rsid w:val="00686EC0"/>
    <w:rsid w:val="00687AD5"/>
    <w:rsid w:val="00691153"/>
    <w:rsid w:val="006915A4"/>
    <w:rsid w:val="006949ED"/>
    <w:rsid w:val="00695251"/>
    <w:rsid w:val="00695ADE"/>
    <w:rsid w:val="00695C0D"/>
    <w:rsid w:val="00696356"/>
    <w:rsid w:val="006A1DAE"/>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6EC9"/>
    <w:rsid w:val="00797637"/>
    <w:rsid w:val="007A3680"/>
    <w:rsid w:val="007A59B8"/>
    <w:rsid w:val="007A72D3"/>
    <w:rsid w:val="007A75F5"/>
    <w:rsid w:val="007B2862"/>
    <w:rsid w:val="007B662A"/>
    <w:rsid w:val="007C2C7E"/>
    <w:rsid w:val="007C56EA"/>
    <w:rsid w:val="007D1292"/>
    <w:rsid w:val="007D28C9"/>
    <w:rsid w:val="007D3CC8"/>
    <w:rsid w:val="007D4AE2"/>
    <w:rsid w:val="007D62F9"/>
    <w:rsid w:val="007D63A4"/>
    <w:rsid w:val="007E1AA2"/>
    <w:rsid w:val="007E303C"/>
    <w:rsid w:val="007E4C1F"/>
    <w:rsid w:val="007F0759"/>
    <w:rsid w:val="007F25C0"/>
    <w:rsid w:val="007F26D5"/>
    <w:rsid w:val="007F5F52"/>
    <w:rsid w:val="007F766F"/>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1FE"/>
    <w:rsid w:val="009746CA"/>
    <w:rsid w:val="00981963"/>
    <w:rsid w:val="00983C82"/>
    <w:rsid w:val="00984520"/>
    <w:rsid w:val="0098545C"/>
    <w:rsid w:val="00985BF7"/>
    <w:rsid w:val="00990071"/>
    <w:rsid w:val="009900B5"/>
    <w:rsid w:val="00991EA9"/>
    <w:rsid w:val="00992BA2"/>
    <w:rsid w:val="00992F83"/>
    <w:rsid w:val="0099508A"/>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1BF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3FC2"/>
    <w:rsid w:val="00B47485"/>
    <w:rsid w:val="00B518C3"/>
    <w:rsid w:val="00B55185"/>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7C61"/>
    <w:rsid w:val="00BB1EB3"/>
    <w:rsid w:val="00BB2678"/>
    <w:rsid w:val="00BC2343"/>
    <w:rsid w:val="00BC76D5"/>
    <w:rsid w:val="00BD18B8"/>
    <w:rsid w:val="00BD30C8"/>
    <w:rsid w:val="00BD3EB4"/>
    <w:rsid w:val="00BD5C65"/>
    <w:rsid w:val="00BD6B28"/>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215"/>
    <w:rsid w:val="00C439FB"/>
    <w:rsid w:val="00C43F23"/>
    <w:rsid w:val="00C4675D"/>
    <w:rsid w:val="00C467F0"/>
    <w:rsid w:val="00C50011"/>
    <w:rsid w:val="00C503D3"/>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44A6"/>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751"/>
    <w:rsid w:val="00D33FBF"/>
    <w:rsid w:val="00D36F6E"/>
    <w:rsid w:val="00D37343"/>
    <w:rsid w:val="00D4205E"/>
    <w:rsid w:val="00D565EC"/>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444"/>
    <w:rsid w:val="00E30EDF"/>
    <w:rsid w:val="00E31FBA"/>
    <w:rsid w:val="00E35C70"/>
    <w:rsid w:val="00E36AAE"/>
    <w:rsid w:val="00E413A9"/>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7A7"/>
    <w:rsid w:val="00E87C2F"/>
    <w:rsid w:val="00E906B4"/>
    <w:rsid w:val="00E9095B"/>
    <w:rsid w:val="00E90CF1"/>
    <w:rsid w:val="00E9399B"/>
    <w:rsid w:val="00E94008"/>
    <w:rsid w:val="00E94762"/>
    <w:rsid w:val="00E96B52"/>
    <w:rsid w:val="00EA2244"/>
    <w:rsid w:val="00EA3F21"/>
    <w:rsid w:val="00EA411E"/>
    <w:rsid w:val="00EA5FC0"/>
    <w:rsid w:val="00EA6FA7"/>
    <w:rsid w:val="00EB067F"/>
    <w:rsid w:val="00EB1F02"/>
    <w:rsid w:val="00EB51FD"/>
    <w:rsid w:val="00EB5BC5"/>
    <w:rsid w:val="00EB72C1"/>
    <w:rsid w:val="00EC086C"/>
    <w:rsid w:val="00EC0963"/>
    <w:rsid w:val="00EC42D0"/>
    <w:rsid w:val="00EC4BA3"/>
    <w:rsid w:val="00EC5CE6"/>
    <w:rsid w:val="00EC638F"/>
    <w:rsid w:val="00EC7C78"/>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66A09"/>
    <w:rsid w:val="00F710BE"/>
    <w:rsid w:val="00F7221D"/>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A55"/>
    <w:rsid w:val="00FA4D4F"/>
    <w:rsid w:val="00FA54E8"/>
    <w:rsid w:val="00FA5CA2"/>
    <w:rsid w:val="00FB2D17"/>
    <w:rsid w:val="00FB2F69"/>
    <w:rsid w:val="00FB39F7"/>
    <w:rsid w:val="00FB3BCA"/>
    <w:rsid w:val="00FB45FF"/>
    <w:rsid w:val="00FB47E0"/>
    <w:rsid w:val="00FB5D97"/>
    <w:rsid w:val="00FB7363"/>
    <w:rsid w:val="00FB757E"/>
    <w:rsid w:val="00FC1CA5"/>
    <w:rsid w:val="00FC2979"/>
    <w:rsid w:val="00FC45F4"/>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5473"/>
    <o:shapelayout v:ext="edit">
      <o:idmap v:ext="edit" data="1"/>
    </o:shapelayout>
  </w:shapeDefaults>
  <w:decimalSymbol w:val="."/>
  <w:listSeparator w:val=","/>
  <w15:docId w15:val="{A2CFBFCE-6ABA-4A8A-BB90-0C22C3BF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uiPriority w:val="99"/>
    <w:rsid w:val="00A7634D"/>
    <w:rPr>
      <w:b/>
      <w:bCs/>
      <w:kern w:val="44"/>
      <w:sz w:val="44"/>
      <w:szCs w:val="44"/>
    </w:rPr>
  </w:style>
  <w:style w:type="character" w:customStyle="1" w:styleId="Char1">
    <w:name w:val="日期 Char"/>
    <w:basedOn w:val="a1"/>
    <w:link w:val="ad"/>
    <w:rsid w:val="00C503D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2</TotalTime>
  <Pages>12</Pages>
  <Words>1119</Words>
  <Characters>6383</Characters>
  <Application>Microsoft Office Word</Application>
  <DocSecurity>0</DocSecurity>
  <Lines>53</Lines>
  <Paragraphs>14</Paragraphs>
  <ScaleCrop>false</ScaleCrop>
  <Company>TRT. Ltd. Co.</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cp:revision>
  <cp:lastPrinted>2007-07-19T00:46:00Z</cp:lastPrinted>
  <dcterms:created xsi:type="dcterms:W3CDTF">2014-04-21T09:03:00Z</dcterms:created>
  <dcterms:modified xsi:type="dcterms:W3CDTF">2014-04-21T09:14:00Z</dcterms:modified>
</cp:coreProperties>
</file>